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F3B22C" w14:textId="77777777" w:rsidR="005658D5" w:rsidRPr="00A730B0" w:rsidRDefault="005658D5" w:rsidP="005658D5">
      <w:pPr>
        <w:spacing w:line="480" w:lineRule="auto"/>
        <w:rPr>
          <w:rFonts w:asciiTheme="majorHAnsi" w:hAnsiTheme="majorHAnsi" w:cstheme="majorHAnsi"/>
          <w:b/>
          <w:sz w:val="24"/>
          <w:szCs w:val="24"/>
        </w:rPr>
      </w:pPr>
    </w:p>
    <w:p w14:paraId="740726FC" w14:textId="77777777" w:rsidR="005658D5" w:rsidRPr="00A730B0" w:rsidRDefault="005658D5" w:rsidP="005658D5">
      <w:pPr>
        <w:spacing w:line="480" w:lineRule="auto"/>
        <w:rPr>
          <w:rFonts w:asciiTheme="majorHAnsi" w:hAnsiTheme="majorHAnsi" w:cstheme="majorHAnsi"/>
          <w:b/>
          <w:sz w:val="24"/>
          <w:szCs w:val="24"/>
        </w:rPr>
      </w:pPr>
    </w:p>
    <w:p w14:paraId="315C0FD5" w14:textId="1B4A633D" w:rsidR="005658D5" w:rsidRPr="005658D5" w:rsidRDefault="005658D5" w:rsidP="005658D5">
      <w:pPr>
        <w:jc w:val="center"/>
        <w:rPr>
          <w:rFonts w:asciiTheme="majorHAnsi" w:hAnsiTheme="majorHAnsi" w:cstheme="majorHAnsi"/>
          <w:b/>
          <w:sz w:val="24"/>
          <w:szCs w:val="24"/>
          <w:lang w:val="en-US"/>
        </w:rPr>
      </w:pPr>
      <w:r w:rsidRPr="005658D5">
        <w:rPr>
          <w:rFonts w:asciiTheme="majorHAnsi" w:hAnsiTheme="majorHAnsi" w:cstheme="majorHAnsi"/>
          <w:b/>
          <w:sz w:val="24"/>
          <w:szCs w:val="24"/>
          <w:lang w:val="en-US"/>
        </w:rPr>
        <w:t xml:space="preserve">Stressful Life Events and Self-Control: </w:t>
      </w:r>
    </w:p>
    <w:p w14:paraId="0B3FC9C6" w14:textId="77777777" w:rsidR="005E74DC" w:rsidRDefault="005658D5" w:rsidP="005658D5">
      <w:pPr>
        <w:jc w:val="center"/>
        <w:rPr>
          <w:rFonts w:asciiTheme="majorHAnsi" w:hAnsiTheme="majorHAnsi" w:cstheme="majorHAnsi"/>
          <w:b/>
          <w:sz w:val="24"/>
          <w:szCs w:val="24"/>
          <w:lang w:val="en-US"/>
        </w:rPr>
      </w:pPr>
      <w:r w:rsidRPr="005658D5">
        <w:rPr>
          <w:rFonts w:asciiTheme="majorHAnsi" w:hAnsiTheme="majorHAnsi" w:cstheme="majorHAnsi"/>
          <w:b/>
          <w:sz w:val="24"/>
          <w:szCs w:val="24"/>
          <w:lang w:val="en-US"/>
        </w:rPr>
        <w:t>Testing Gene x Environment Interaction with a Polygenic Approach</w:t>
      </w:r>
    </w:p>
    <w:p w14:paraId="239AEC9C" w14:textId="22C23EF1" w:rsidR="005658D5" w:rsidRDefault="005658D5" w:rsidP="005E74DC">
      <w:pPr>
        <w:jc w:val="center"/>
        <w:rPr>
          <w:rFonts w:asciiTheme="majorHAnsi" w:hAnsiTheme="majorHAnsi" w:cstheme="majorHAnsi"/>
          <w:sz w:val="24"/>
          <w:szCs w:val="24"/>
          <w:shd w:val="clear" w:color="auto" w:fill="FFFFFF"/>
          <w:lang w:val="en-US"/>
        </w:rPr>
      </w:pPr>
      <w:r w:rsidRPr="005658D5">
        <w:rPr>
          <w:rFonts w:asciiTheme="majorHAnsi" w:hAnsiTheme="majorHAnsi" w:cstheme="majorHAnsi"/>
          <w:b/>
          <w:sz w:val="24"/>
          <w:szCs w:val="24"/>
          <w:lang w:val="en-US"/>
        </w:rPr>
        <w:br/>
      </w:r>
      <w:r w:rsidRPr="005658D5">
        <w:rPr>
          <w:rFonts w:asciiTheme="majorHAnsi" w:hAnsiTheme="majorHAnsi" w:cstheme="majorHAnsi"/>
          <w:sz w:val="24"/>
          <w:szCs w:val="24"/>
          <w:shd w:val="clear" w:color="auto" w:fill="FFFFFF"/>
          <w:lang w:val="en-US"/>
        </w:rPr>
        <w:t>Willems, Y. E.</w:t>
      </w:r>
      <w:r w:rsidR="005E74DC">
        <w:rPr>
          <w:rFonts w:asciiTheme="majorHAnsi" w:hAnsiTheme="majorHAnsi" w:cstheme="majorHAnsi"/>
          <w:sz w:val="24"/>
          <w:szCs w:val="24"/>
          <w:shd w:val="clear" w:color="auto" w:fill="FFFFFF"/>
          <w:vertAlign w:val="superscript"/>
          <w:lang w:val="en-US"/>
        </w:rPr>
        <w:t>1,2</w:t>
      </w:r>
      <w:r w:rsidR="001266B1">
        <w:rPr>
          <w:rFonts w:asciiTheme="majorHAnsi" w:hAnsiTheme="majorHAnsi" w:cstheme="majorHAnsi"/>
          <w:sz w:val="24"/>
          <w:szCs w:val="24"/>
          <w:shd w:val="clear" w:color="auto" w:fill="FFFFFF"/>
          <w:vertAlign w:val="superscript"/>
          <w:lang w:val="en-US"/>
        </w:rPr>
        <w:t>*</w:t>
      </w:r>
      <w:r w:rsidRPr="005658D5">
        <w:rPr>
          <w:rFonts w:asciiTheme="majorHAnsi" w:hAnsiTheme="majorHAnsi" w:cstheme="majorHAnsi"/>
          <w:sz w:val="24"/>
          <w:szCs w:val="24"/>
          <w:shd w:val="clear" w:color="auto" w:fill="FFFFFF"/>
          <w:lang w:val="en-US"/>
        </w:rPr>
        <w:t xml:space="preserve">, Hottenga, J. </w:t>
      </w:r>
      <w:r>
        <w:rPr>
          <w:rFonts w:asciiTheme="majorHAnsi" w:hAnsiTheme="majorHAnsi" w:cstheme="majorHAnsi"/>
          <w:sz w:val="24"/>
          <w:szCs w:val="24"/>
          <w:shd w:val="clear" w:color="auto" w:fill="FFFFFF"/>
          <w:lang w:val="en-US"/>
        </w:rPr>
        <w:t>J.</w:t>
      </w:r>
      <w:r w:rsidR="005E74DC" w:rsidRPr="005E74DC">
        <w:rPr>
          <w:rFonts w:asciiTheme="majorHAnsi" w:hAnsiTheme="majorHAnsi" w:cstheme="majorHAnsi"/>
          <w:sz w:val="24"/>
          <w:szCs w:val="24"/>
          <w:shd w:val="clear" w:color="auto" w:fill="FFFFFF"/>
          <w:vertAlign w:val="superscript"/>
          <w:lang w:val="en-US"/>
        </w:rPr>
        <w:t xml:space="preserve"> </w:t>
      </w:r>
      <w:r w:rsidR="005E74DC">
        <w:rPr>
          <w:rFonts w:asciiTheme="majorHAnsi" w:hAnsiTheme="majorHAnsi" w:cstheme="majorHAnsi"/>
          <w:sz w:val="24"/>
          <w:szCs w:val="24"/>
          <w:shd w:val="clear" w:color="auto" w:fill="FFFFFF"/>
          <w:vertAlign w:val="superscript"/>
          <w:lang w:val="en-US"/>
        </w:rPr>
        <w:t>1,2</w:t>
      </w:r>
      <w:r>
        <w:rPr>
          <w:rFonts w:asciiTheme="majorHAnsi" w:hAnsiTheme="majorHAnsi" w:cstheme="majorHAnsi"/>
          <w:sz w:val="24"/>
          <w:szCs w:val="24"/>
          <w:shd w:val="clear" w:color="auto" w:fill="FFFFFF"/>
          <w:lang w:val="en-US"/>
        </w:rPr>
        <w:t>,</w:t>
      </w:r>
      <w:r w:rsidR="00DC40C4">
        <w:rPr>
          <w:rFonts w:asciiTheme="majorHAnsi" w:hAnsiTheme="majorHAnsi" w:cstheme="majorHAnsi"/>
          <w:sz w:val="24"/>
          <w:szCs w:val="24"/>
          <w:shd w:val="clear" w:color="auto" w:fill="FFFFFF"/>
          <w:lang w:val="en-US"/>
        </w:rPr>
        <w:t xml:space="preserve"> </w:t>
      </w:r>
      <w:r w:rsidRPr="005658D5">
        <w:rPr>
          <w:rFonts w:asciiTheme="majorHAnsi" w:hAnsiTheme="majorHAnsi" w:cstheme="majorHAnsi"/>
          <w:sz w:val="24"/>
          <w:szCs w:val="24"/>
          <w:shd w:val="clear" w:color="auto" w:fill="FFFFFF"/>
          <w:lang w:val="en-US"/>
        </w:rPr>
        <w:t>Ligthart, L.</w:t>
      </w:r>
      <w:r w:rsidR="005E74DC" w:rsidRPr="005E74DC">
        <w:rPr>
          <w:rFonts w:asciiTheme="majorHAnsi" w:hAnsiTheme="majorHAnsi" w:cstheme="majorHAnsi"/>
          <w:sz w:val="24"/>
          <w:szCs w:val="24"/>
          <w:shd w:val="clear" w:color="auto" w:fill="FFFFFF"/>
          <w:vertAlign w:val="superscript"/>
          <w:lang w:val="en-US"/>
        </w:rPr>
        <w:t xml:space="preserve"> </w:t>
      </w:r>
      <w:r w:rsidR="005E74DC">
        <w:rPr>
          <w:rFonts w:asciiTheme="majorHAnsi" w:hAnsiTheme="majorHAnsi" w:cstheme="majorHAnsi"/>
          <w:sz w:val="24"/>
          <w:szCs w:val="24"/>
          <w:shd w:val="clear" w:color="auto" w:fill="FFFFFF"/>
          <w:vertAlign w:val="superscript"/>
          <w:lang w:val="en-US"/>
        </w:rPr>
        <w:t>1,2</w:t>
      </w:r>
      <w:r>
        <w:rPr>
          <w:rFonts w:asciiTheme="majorHAnsi" w:hAnsiTheme="majorHAnsi" w:cstheme="majorHAnsi"/>
          <w:sz w:val="24"/>
          <w:szCs w:val="24"/>
          <w:shd w:val="clear" w:color="auto" w:fill="FFFFFF"/>
          <w:lang w:val="en-US"/>
        </w:rPr>
        <w:t>, Willemsen, G.</w:t>
      </w:r>
      <w:r w:rsidR="001266B1" w:rsidRPr="001266B1">
        <w:rPr>
          <w:rFonts w:asciiTheme="majorHAnsi" w:hAnsiTheme="majorHAnsi" w:cstheme="majorHAnsi"/>
          <w:sz w:val="24"/>
          <w:szCs w:val="24"/>
          <w:shd w:val="clear" w:color="auto" w:fill="FFFFFF"/>
          <w:vertAlign w:val="superscript"/>
          <w:lang w:val="en-US"/>
        </w:rPr>
        <w:t xml:space="preserve"> </w:t>
      </w:r>
      <w:r w:rsidR="001266B1">
        <w:rPr>
          <w:rFonts w:asciiTheme="majorHAnsi" w:hAnsiTheme="majorHAnsi" w:cstheme="majorHAnsi"/>
          <w:sz w:val="24"/>
          <w:szCs w:val="24"/>
          <w:shd w:val="clear" w:color="auto" w:fill="FFFFFF"/>
          <w:vertAlign w:val="superscript"/>
          <w:lang w:val="en-US"/>
        </w:rPr>
        <w:t>1,2</w:t>
      </w:r>
      <w:r>
        <w:rPr>
          <w:rFonts w:asciiTheme="majorHAnsi" w:hAnsiTheme="majorHAnsi" w:cstheme="majorHAnsi"/>
          <w:sz w:val="24"/>
          <w:szCs w:val="24"/>
          <w:shd w:val="clear" w:color="auto" w:fill="FFFFFF"/>
          <w:lang w:val="en-US"/>
        </w:rPr>
        <w:t>,</w:t>
      </w:r>
      <w:r w:rsidR="00DC40C4">
        <w:rPr>
          <w:rFonts w:asciiTheme="majorHAnsi" w:hAnsiTheme="majorHAnsi" w:cstheme="majorHAnsi"/>
          <w:sz w:val="24"/>
          <w:szCs w:val="24"/>
          <w:shd w:val="clear" w:color="auto" w:fill="FFFFFF"/>
          <w:lang w:val="en-US"/>
        </w:rPr>
        <w:t xml:space="preserve"> </w:t>
      </w:r>
      <w:r w:rsidRPr="005658D5">
        <w:rPr>
          <w:rFonts w:asciiTheme="majorHAnsi" w:hAnsiTheme="majorHAnsi" w:cstheme="majorHAnsi"/>
          <w:sz w:val="24"/>
          <w:szCs w:val="24"/>
          <w:shd w:val="clear" w:color="auto" w:fill="FFFFFF"/>
          <w:lang w:val="en-US"/>
        </w:rPr>
        <w:t>Boomsma, D. I.</w:t>
      </w:r>
      <w:r w:rsidR="001266B1" w:rsidRPr="001266B1">
        <w:rPr>
          <w:rFonts w:asciiTheme="majorHAnsi" w:hAnsiTheme="majorHAnsi" w:cstheme="majorHAnsi"/>
          <w:sz w:val="24"/>
          <w:szCs w:val="24"/>
          <w:shd w:val="clear" w:color="auto" w:fill="FFFFFF"/>
          <w:vertAlign w:val="superscript"/>
          <w:lang w:val="en-US"/>
        </w:rPr>
        <w:t xml:space="preserve"> </w:t>
      </w:r>
      <w:r w:rsidR="001266B1">
        <w:rPr>
          <w:rFonts w:asciiTheme="majorHAnsi" w:hAnsiTheme="majorHAnsi" w:cstheme="majorHAnsi"/>
          <w:sz w:val="24"/>
          <w:szCs w:val="24"/>
          <w:shd w:val="clear" w:color="auto" w:fill="FFFFFF"/>
          <w:vertAlign w:val="superscript"/>
          <w:lang w:val="en-US"/>
        </w:rPr>
        <w:t>1,2,3</w:t>
      </w:r>
      <w:r w:rsidRPr="005658D5">
        <w:rPr>
          <w:rFonts w:asciiTheme="majorHAnsi" w:hAnsiTheme="majorHAnsi" w:cstheme="majorHAnsi"/>
          <w:sz w:val="24"/>
          <w:szCs w:val="24"/>
          <w:shd w:val="clear" w:color="auto" w:fill="FFFFFF"/>
          <w:lang w:val="en-US"/>
        </w:rPr>
        <w:t>, Finkenauer, C.</w:t>
      </w:r>
      <w:r w:rsidR="001266B1" w:rsidRPr="001266B1">
        <w:rPr>
          <w:rFonts w:asciiTheme="majorHAnsi" w:hAnsiTheme="majorHAnsi" w:cstheme="majorHAnsi"/>
          <w:sz w:val="24"/>
          <w:szCs w:val="24"/>
          <w:shd w:val="clear" w:color="auto" w:fill="FFFFFF"/>
          <w:vertAlign w:val="superscript"/>
          <w:lang w:val="en-US"/>
        </w:rPr>
        <w:t xml:space="preserve"> </w:t>
      </w:r>
      <w:r w:rsidR="001266B1">
        <w:rPr>
          <w:rFonts w:asciiTheme="majorHAnsi" w:hAnsiTheme="majorHAnsi" w:cstheme="majorHAnsi"/>
          <w:sz w:val="24"/>
          <w:szCs w:val="24"/>
          <w:shd w:val="clear" w:color="auto" w:fill="FFFFFF"/>
          <w:vertAlign w:val="superscript"/>
          <w:lang w:val="en-US"/>
        </w:rPr>
        <w:t>1,2,3,4</w:t>
      </w:r>
      <w:r>
        <w:rPr>
          <w:rFonts w:asciiTheme="majorHAnsi" w:hAnsiTheme="majorHAnsi" w:cstheme="majorHAnsi"/>
          <w:sz w:val="24"/>
          <w:szCs w:val="24"/>
          <w:shd w:val="clear" w:color="auto" w:fill="FFFFFF"/>
          <w:lang w:val="en-US"/>
        </w:rPr>
        <w:t xml:space="preserve">, &amp; </w:t>
      </w:r>
      <w:r w:rsidRPr="005658D5">
        <w:rPr>
          <w:rFonts w:asciiTheme="majorHAnsi" w:hAnsiTheme="majorHAnsi" w:cstheme="majorHAnsi"/>
          <w:sz w:val="24"/>
          <w:szCs w:val="24"/>
          <w:shd w:val="clear" w:color="auto" w:fill="FFFFFF"/>
          <w:lang w:val="en-US"/>
        </w:rPr>
        <w:t>Bartels, M.</w:t>
      </w:r>
      <w:r w:rsidR="001266B1" w:rsidRPr="001266B1">
        <w:rPr>
          <w:rFonts w:asciiTheme="majorHAnsi" w:hAnsiTheme="majorHAnsi" w:cstheme="majorHAnsi"/>
          <w:sz w:val="24"/>
          <w:szCs w:val="24"/>
          <w:shd w:val="clear" w:color="auto" w:fill="FFFFFF"/>
          <w:vertAlign w:val="superscript"/>
          <w:lang w:val="en-US"/>
        </w:rPr>
        <w:t xml:space="preserve"> </w:t>
      </w:r>
      <w:r w:rsidR="001266B1">
        <w:rPr>
          <w:rFonts w:asciiTheme="majorHAnsi" w:hAnsiTheme="majorHAnsi" w:cstheme="majorHAnsi"/>
          <w:sz w:val="24"/>
          <w:szCs w:val="24"/>
          <w:shd w:val="clear" w:color="auto" w:fill="FFFFFF"/>
          <w:vertAlign w:val="superscript"/>
          <w:lang w:val="en-US"/>
        </w:rPr>
        <w:t>1,2,3</w:t>
      </w:r>
      <w:r>
        <w:rPr>
          <w:rFonts w:asciiTheme="majorHAnsi" w:hAnsiTheme="majorHAnsi" w:cstheme="majorHAnsi"/>
          <w:sz w:val="24"/>
          <w:szCs w:val="24"/>
          <w:shd w:val="clear" w:color="auto" w:fill="FFFFFF"/>
          <w:lang w:val="en-US"/>
        </w:rPr>
        <w:t xml:space="preserve"> </w:t>
      </w:r>
    </w:p>
    <w:p w14:paraId="5A14EA73" w14:textId="77777777" w:rsidR="005E74DC" w:rsidRDefault="005E74DC" w:rsidP="005E74DC">
      <w:pPr>
        <w:jc w:val="center"/>
        <w:rPr>
          <w:rFonts w:asciiTheme="majorHAnsi" w:hAnsiTheme="majorHAnsi" w:cstheme="majorHAnsi"/>
          <w:sz w:val="24"/>
          <w:szCs w:val="24"/>
          <w:shd w:val="clear" w:color="auto" w:fill="FFFFFF"/>
          <w:lang w:val="en-US"/>
        </w:rPr>
      </w:pPr>
    </w:p>
    <w:p w14:paraId="704FA9F7" w14:textId="77777777" w:rsidR="001266B1" w:rsidRPr="001266B1" w:rsidRDefault="005E74DC" w:rsidP="001266B1">
      <w:pPr>
        <w:pStyle w:val="NormalWeb"/>
        <w:spacing w:before="0" w:beforeAutospacing="0" w:after="0" w:afterAutospacing="0" w:line="480" w:lineRule="auto"/>
        <w:rPr>
          <w:rFonts w:asciiTheme="majorHAnsi" w:hAnsiTheme="majorHAnsi" w:cstheme="majorHAnsi"/>
          <w:lang w:val="en-GB"/>
        </w:rPr>
      </w:pPr>
      <w:r w:rsidRPr="001266B1">
        <w:rPr>
          <w:rFonts w:asciiTheme="majorHAnsi" w:hAnsiTheme="majorHAnsi" w:cstheme="majorHAnsi"/>
          <w:vertAlign w:val="superscript"/>
          <w:lang w:val="en-GB"/>
        </w:rPr>
        <w:t>1</w:t>
      </w:r>
      <w:r w:rsidRPr="001266B1">
        <w:rPr>
          <w:rFonts w:asciiTheme="majorHAnsi" w:hAnsiTheme="majorHAnsi" w:cstheme="majorHAnsi"/>
          <w:lang w:val="en-GB"/>
        </w:rPr>
        <w:t>Department of Biological Psychology, Vrije Universiteit Amsterdam, The Netherlands</w:t>
      </w:r>
      <w:r w:rsidRPr="001266B1">
        <w:rPr>
          <w:rFonts w:asciiTheme="majorHAnsi" w:hAnsiTheme="majorHAnsi" w:cstheme="majorHAnsi"/>
          <w:lang w:val="en-GB"/>
        </w:rPr>
        <w:br/>
      </w:r>
      <w:r w:rsidRPr="001266B1">
        <w:rPr>
          <w:rFonts w:asciiTheme="majorHAnsi" w:hAnsiTheme="majorHAnsi" w:cstheme="majorHAnsi"/>
          <w:vertAlign w:val="superscript"/>
          <w:lang w:val="en-GB"/>
        </w:rPr>
        <w:t>2</w:t>
      </w:r>
      <w:r w:rsidRPr="001266B1">
        <w:rPr>
          <w:rFonts w:asciiTheme="majorHAnsi" w:hAnsiTheme="majorHAnsi" w:cstheme="majorHAnsi"/>
          <w:lang w:val="en-GB"/>
        </w:rPr>
        <w:t xml:space="preserve">Amsterdam Public Health Research Institute, </w:t>
      </w:r>
      <w:r w:rsidRPr="001266B1">
        <w:rPr>
          <w:rFonts w:asciiTheme="majorHAnsi" w:eastAsia="Cambria" w:hAnsiTheme="majorHAnsi" w:cstheme="majorHAnsi"/>
        </w:rPr>
        <w:t>Amsterdam University Medical Centers</w:t>
      </w:r>
      <w:r w:rsidRPr="001266B1">
        <w:rPr>
          <w:rFonts w:asciiTheme="majorHAnsi" w:hAnsiTheme="majorHAnsi" w:cstheme="majorHAnsi"/>
          <w:lang w:val="en-GB"/>
        </w:rPr>
        <w:t>, The Netherlands</w:t>
      </w:r>
    </w:p>
    <w:p w14:paraId="6D35510A" w14:textId="31D8C521" w:rsidR="005E74DC" w:rsidRPr="001266B1" w:rsidRDefault="001266B1" w:rsidP="001266B1">
      <w:pPr>
        <w:pStyle w:val="NormalWeb"/>
        <w:spacing w:before="0" w:beforeAutospacing="0" w:after="0" w:afterAutospacing="0" w:line="480" w:lineRule="auto"/>
        <w:rPr>
          <w:rFonts w:asciiTheme="majorHAnsi" w:hAnsiTheme="majorHAnsi" w:cstheme="majorHAnsi"/>
          <w:sz w:val="22"/>
          <w:szCs w:val="22"/>
          <w:lang w:val="en-GB"/>
        </w:rPr>
      </w:pPr>
      <w:r w:rsidRPr="001266B1">
        <w:rPr>
          <w:rFonts w:asciiTheme="majorHAnsi" w:eastAsia="Cambria" w:hAnsiTheme="majorHAnsi" w:cstheme="majorHAnsi"/>
          <w:vertAlign w:val="superscript"/>
          <w:lang w:val="en-GB"/>
        </w:rPr>
        <w:t xml:space="preserve">3 </w:t>
      </w:r>
      <w:r w:rsidRPr="001266B1">
        <w:rPr>
          <w:rFonts w:asciiTheme="majorHAnsi" w:eastAsia="Cambria" w:hAnsiTheme="majorHAnsi" w:cstheme="majorHAnsi"/>
        </w:rPr>
        <w:t>Amsterdam Neuroscience, Amsterdam University Medical Centers, The Netherlands</w:t>
      </w:r>
      <w:r w:rsidR="005E74DC" w:rsidRPr="001266B1">
        <w:rPr>
          <w:rFonts w:asciiTheme="majorHAnsi" w:hAnsiTheme="majorHAnsi" w:cstheme="majorHAnsi"/>
          <w:lang w:val="en-GB"/>
        </w:rPr>
        <w:br/>
      </w:r>
      <w:r w:rsidRPr="001266B1">
        <w:rPr>
          <w:rFonts w:asciiTheme="majorHAnsi" w:eastAsia="Cambria" w:hAnsiTheme="majorHAnsi" w:cstheme="majorHAnsi"/>
          <w:vertAlign w:val="superscript"/>
          <w:lang w:val="en-GB"/>
        </w:rPr>
        <w:t>4</w:t>
      </w:r>
      <w:r w:rsidR="005E74DC" w:rsidRPr="001266B1">
        <w:rPr>
          <w:rFonts w:asciiTheme="majorHAnsi" w:eastAsia="Cambria" w:hAnsiTheme="majorHAnsi" w:cstheme="majorHAnsi"/>
          <w:lang w:val="en-GB"/>
        </w:rPr>
        <w:t>Department of Interdisciplinary Social Science, Universiteit Utrecht, The Netherlands</w:t>
      </w:r>
      <w:r w:rsidR="005E74DC" w:rsidRPr="00835083">
        <w:rPr>
          <w:rFonts w:ascii="Times New Roman" w:hAnsi="Times New Roman" w:cs="Times New Roman"/>
          <w:lang w:val="en-GB"/>
        </w:rPr>
        <w:br/>
      </w:r>
    </w:p>
    <w:p w14:paraId="699CB800" w14:textId="10F572C1" w:rsidR="005658D5" w:rsidRDefault="001266B1" w:rsidP="001266B1">
      <w:pPr>
        <w:spacing w:line="480" w:lineRule="auto"/>
        <w:rPr>
          <w:rFonts w:asciiTheme="majorHAnsi" w:hAnsiTheme="majorHAnsi" w:cstheme="majorHAnsi"/>
          <w:lang w:val="en-GB"/>
        </w:rPr>
      </w:pPr>
      <w:r w:rsidRPr="001266B1">
        <w:rPr>
          <w:rFonts w:asciiTheme="majorHAnsi" w:hAnsiTheme="majorHAnsi" w:cstheme="majorHAnsi"/>
        </w:rPr>
        <w:t xml:space="preserve">*Corresponding author at van der Boechorststraat 7-9, 1081 BT, Amsterdam, The Netherlands. </w:t>
      </w:r>
      <w:r w:rsidRPr="001266B1">
        <w:rPr>
          <w:rFonts w:asciiTheme="majorHAnsi" w:hAnsiTheme="majorHAnsi" w:cstheme="majorHAnsi"/>
          <w:lang w:val="en-GB"/>
        </w:rPr>
        <w:t xml:space="preserve">E-mail: </w:t>
      </w:r>
      <w:hyperlink r:id="rId8" w:history="1">
        <w:r w:rsidRPr="001266B1">
          <w:rPr>
            <w:rFonts w:asciiTheme="majorHAnsi" w:hAnsiTheme="majorHAnsi" w:cstheme="majorHAnsi"/>
            <w:lang w:val="en-GB"/>
          </w:rPr>
          <w:t>y.e.willems@vu.nl</w:t>
        </w:r>
      </w:hyperlink>
      <w:r w:rsidRPr="001266B1">
        <w:rPr>
          <w:rFonts w:asciiTheme="majorHAnsi" w:hAnsiTheme="majorHAnsi" w:cstheme="majorHAnsi"/>
          <w:lang w:val="en-GB"/>
        </w:rPr>
        <w:t>, Phone nr: +31205984382</w:t>
      </w:r>
    </w:p>
    <w:p w14:paraId="3340095E" w14:textId="77777777" w:rsidR="001266B1" w:rsidRPr="001266B1" w:rsidRDefault="001266B1" w:rsidP="001266B1">
      <w:pPr>
        <w:spacing w:line="480" w:lineRule="auto"/>
        <w:rPr>
          <w:rFonts w:asciiTheme="majorHAnsi" w:hAnsiTheme="majorHAnsi" w:cstheme="majorHAnsi"/>
          <w:lang w:val="en-US"/>
        </w:rPr>
      </w:pPr>
    </w:p>
    <w:p w14:paraId="1C57A68A" w14:textId="198B9543" w:rsidR="005658D5" w:rsidRPr="00624094" w:rsidRDefault="005658D5" w:rsidP="005658D5">
      <w:pPr>
        <w:spacing w:line="480" w:lineRule="auto"/>
        <w:jc w:val="center"/>
        <w:outlineLvl w:val="0"/>
        <w:rPr>
          <w:rFonts w:asciiTheme="majorHAnsi" w:hAnsiTheme="majorHAnsi" w:cstheme="majorHAnsi"/>
          <w:i/>
          <w:sz w:val="24"/>
          <w:szCs w:val="24"/>
          <w:shd w:val="clear" w:color="auto" w:fill="FFFFFF"/>
          <w:lang w:val="en-US"/>
        </w:rPr>
      </w:pPr>
      <w:r w:rsidRPr="00E60CDA">
        <w:rPr>
          <w:rFonts w:asciiTheme="majorHAnsi" w:hAnsiTheme="majorHAnsi" w:cstheme="majorHAnsi"/>
          <w:sz w:val="24"/>
          <w:szCs w:val="24"/>
          <w:lang w:val="en-US"/>
        </w:rPr>
        <w:br/>
      </w:r>
    </w:p>
    <w:p w14:paraId="57795808" w14:textId="77777777" w:rsidR="000C5B26" w:rsidRPr="00E60CDA" w:rsidRDefault="000C5B26" w:rsidP="00AB1C13">
      <w:pPr>
        <w:spacing w:line="480" w:lineRule="auto"/>
        <w:rPr>
          <w:rFonts w:asciiTheme="majorHAnsi" w:hAnsiTheme="majorHAnsi" w:cstheme="majorHAnsi"/>
          <w:sz w:val="24"/>
          <w:szCs w:val="24"/>
          <w:lang w:val="en-US"/>
        </w:rPr>
      </w:pPr>
      <w:r w:rsidRPr="00E60CDA">
        <w:rPr>
          <w:rFonts w:asciiTheme="majorHAnsi" w:hAnsiTheme="majorHAnsi" w:cstheme="majorHAnsi"/>
          <w:sz w:val="24"/>
          <w:szCs w:val="24"/>
          <w:lang w:val="en-US"/>
        </w:rPr>
        <w:br w:type="column"/>
      </w:r>
    </w:p>
    <w:p w14:paraId="61CAC2D7" w14:textId="2A8178BD" w:rsidR="00DC40C4" w:rsidRPr="00DC40C4" w:rsidRDefault="00DC40C4" w:rsidP="00DC40C4">
      <w:pPr>
        <w:spacing w:line="480" w:lineRule="auto"/>
        <w:jc w:val="center"/>
        <w:rPr>
          <w:rFonts w:asciiTheme="majorHAnsi" w:hAnsiTheme="majorHAnsi" w:cstheme="majorHAnsi"/>
          <w:b/>
          <w:sz w:val="24"/>
          <w:szCs w:val="24"/>
          <w:lang w:val="en-US"/>
        </w:rPr>
      </w:pPr>
      <w:r w:rsidRPr="00DC40C4">
        <w:rPr>
          <w:rFonts w:asciiTheme="majorHAnsi" w:hAnsiTheme="majorHAnsi" w:cstheme="majorHAnsi"/>
          <w:b/>
          <w:sz w:val="24"/>
          <w:szCs w:val="24"/>
          <w:lang w:val="en-US"/>
        </w:rPr>
        <w:t>Abstract</w:t>
      </w:r>
    </w:p>
    <w:p w14:paraId="467B9964" w14:textId="59538BDB" w:rsidR="001266B1" w:rsidRPr="001266B1" w:rsidRDefault="00141B7D" w:rsidP="00E756EE">
      <w:pPr>
        <w:spacing w:line="480" w:lineRule="auto"/>
        <w:rPr>
          <w:rFonts w:asciiTheme="majorHAnsi" w:hAnsiTheme="majorHAnsi" w:cstheme="majorHAnsi"/>
          <w:sz w:val="24"/>
          <w:szCs w:val="24"/>
          <w:lang w:val="en-US"/>
        </w:rPr>
      </w:pPr>
      <w:r w:rsidRPr="00141B7D">
        <w:rPr>
          <w:rFonts w:asciiTheme="majorHAnsi" w:hAnsiTheme="majorHAnsi" w:cstheme="majorHAnsi"/>
          <w:b/>
          <w:sz w:val="24"/>
          <w:szCs w:val="24"/>
          <w:lang w:val="en-US"/>
        </w:rPr>
        <w:t>Background:</w:t>
      </w:r>
      <w:r>
        <w:rPr>
          <w:rFonts w:asciiTheme="majorHAnsi" w:hAnsiTheme="majorHAnsi" w:cstheme="majorHAnsi"/>
          <w:sz w:val="24"/>
          <w:szCs w:val="24"/>
          <w:lang w:val="en-US"/>
        </w:rPr>
        <w:t xml:space="preserve"> </w:t>
      </w:r>
      <w:r w:rsidR="00E756EE" w:rsidRPr="00E756EE">
        <w:rPr>
          <w:rFonts w:asciiTheme="majorHAnsi" w:hAnsiTheme="majorHAnsi" w:cstheme="majorHAnsi"/>
          <w:sz w:val="24"/>
          <w:szCs w:val="24"/>
          <w:lang w:val="en-US"/>
        </w:rPr>
        <w:t>Ill decisions and reckless behaviors due to low self-control are concurrently and longitudinally costly, and revealing possible factors contributing to individual differences in self-control is necessary. It is hypothesized that genetically sensitivity interacts with life stressors in the prediction of the development of low self-control</w:t>
      </w:r>
      <w:r w:rsidR="00E756EE">
        <w:rPr>
          <w:rFonts w:asciiTheme="majorHAnsi" w:hAnsiTheme="majorHAnsi" w:cstheme="majorHAnsi"/>
          <w:sz w:val="24"/>
          <w:szCs w:val="24"/>
          <w:lang w:val="en-US"/>
        </w:rPr>
        <w:t xml:space="preserve"> (gene environment interaction)</w:t>
      </w:r>
      <w:r w:rsidR="00E756EE" w:rsidRPr="00E756EE">
        <w:rPr>
          <w:rFonts w:asciiTheme="majorHAnsi" w:hAnsiTheme="majorHAnsi" w:cstheme="majorHAnsi"/>
          <w:sz w:val="24"/>
          <w:szCs w:val="24"/>
          <w:lang w:val="en-US"/>
        </w:rPr>
        <w:t xml:space="preserve">, yet attempts to test this hypothesis mostly concern candidate gene studies yielding inconclusive results. The goal of this research </w:t>
      </w:r>
      <w:r w:rsidR="00E756EE">
        <w:rPr>
          <w:rFonts w:asciiTheme="majorHAnsi" w:hAnsiTheme="majorHAnsi" w:cstheme="majorHAnsi"/>
          <w:sz w:val="24"/>
          <w:szCs w:val="24"/>
          <w:lang w:val="en-US"/>
        </w:rPr>
        <w:t>was</w:t>
      </w:r>
      <w:r w:rsidR="00E756EE" w:rsidRPr="00E756EE">
        <w:rPr>
          <w:rFonts w:asciiTheme="majorHAnsi" w:hAnsiTheme="majorHAnsi" w:cstheme="majorHAnsi"/>
          <w:sz w:val="24"/>
          <w:szCs w:val="24"/>
          <w:lang w:val="en-US"/>
        </w:rPr>
        <w:t xml:space="preserve"> to bring findings from large scale gene identification studies into the developmental psychology framework</w:t>
      </w:r>
      <w:r w:rsidR="00E756EE">
        <w:rPr>
          <w:rFonts w:asciiTheme="majorHAnsi" w:hAnsiTheme="majorHAnsi" w:cstheme="majorHAnsi"/>
          <w:sz w:val="24"/>
          <w:szCs w:val="24"/>
          <w:lang w:val="en-US"/>
        </w:rPr>
        <w:t>, taking the polygenic nature of complex traits into account</w:t>
      </w:r>
      <w:r w:rsidR="00E756EE" w:rsidRPr="00E756EE">
        <w:rPr>
          <w:rFonts w:asciiTheme="majorHAnsi" w:hAnsiTheme="majorHAnsi" w:cstheme="majorHAnsi"/>
          <w:sz w:val="24"/>
          <w:szCs w:val="24"/>
          <w:lang w:val="en-US"/>
        </w:rPr>
        <w:t xml:space="preserve">. </w:t>
      </w:r>
      <w:r w:rsidRPr="00141B7D">
        <w:rPr>
          <w:rFonts w:asciiTheme="majorHAnsi" w:hAnsiTheme="majorHAnsi" w:cstheme="majorHAnsi"/>
          <w:b/>
          <w:sz w:val="24"/>
          <w:szCs w:val="24"/>
          <w:lang w:val="en-US"/>
        </w:rPr>
        <w:t>Methods:</w:t>
      </w:r>
      <w:r>
        <w:rPr>
          <w:rFonts w:asciiTheme="majorHAnsi" w:hAnsiTheme="majorHAnsi" w:cstheme="majorHAnsi"/>
          <w:sz w:val="24"/>
          <w:szCs w:val="24"/>
          <w:lang w:val="en-US"/>
        </w:rPr>
        <w:t xml:space="preserve"> </w:t>
      </w:r>
      <w:r w:rsidR="00E756EE" w:rsidRPr="00E756EE">
        <w:rPr>
          <w:rFonts w:asciiTheme="majorHAnsi" w:hAnsiTheme="majorHAnsi" w:cstheme="majorHAnsi"/>
          <w:sz w:val="24"/>
          <w:szCs w:val="24"/>
          <w:lang w:val="en-US"/>
        </w:rPr>
        <w:t xml:space="preserve">Using data of a large population-based twin sample, we </w:t>
      </w:r>
      <w:r w:rsidR="00E756EE">
        <w:rPr>
          <w:rFonts w:asciiTheme="majorHAnsi" w:hAnsiTheme="majorHAnsi" w:cstheme="majorHAnsi"/>
          <w:sz w:val="24"/>
          <w:szCs w:val="24"/>
          <w:lang w:val="en-US"/>
        </w:rPr>
        <w:t>tested</w:t>
      </w:r>
      <w:r w:rsidR="00E756EE" w:rsidRPr="00E756EE">
        <w:rPr>
          <w:rFonts w:asciiTheme="majorHAnsi" w:hAnsiTheme="majorHAnsi" w:cstheme="majorHAnsi"/>
          <w:sz w:val="24"/>
          <w:szCs w:val="24"/>
          <w:lang w:val="en-US"/>
        </w:rPr>
        <w:t xml:space="preserve"> whether polygenic risk scores for self-control problems – based on the most recent ADHD GWAS</w:t>
      </w:r>
      <w:r w:rsidR="00DC40C4">
        <w:rPr>
          <w:rFonts w:asciiTheme="majorHAnsi" w:hAnsiTheme="majorHAnsi" w:cstheme="majorHAnsi"/>
          <w:sz w:val="24"/>
          <w:szCs w:val="24"/>
          <w:lang w:val="en-US"/>
        </w:rPr>
        <w:t xml:space="preserve"> </w:t>
      </w:r>
      <w:r w:rsidR="00E756EE" w:rsidRPr="00E756EE">
        <w:rPr>
          <w:rFonts w:asciiTheme="majorHAnsi" w:hAnsiTheme="majorHAnsi" w:cstheme="majorHAnsi"/>
          <w:sz w:val="24"/>
          <w:szCs w:val="24"/>
          <w:lang w:val="en-US"/>
        </w:rPr>
        <w:t xml:space="preserve">– predict self-control problems in adults, and whether </w:t>
      </w:r>
      <w:r w:rsidR="00E756EE">
        <w:rPr>
          <w:rFonts w:asciiTheme="majorHAnsi" w:hAnsiTheme="majorHAnsi" w:cstheme="majorHAnsi"/>
          <w:sz w:val="24"/>
          <w:szCs w:val="24"/>
          <w:lang w:val="en-US"/>
        </w:rPr>
        <w:t xml:space="preserve">this </w:t>
      </w:r>
      <w:r w:rsidR="00E756EE" w:rsidRPr="00E756EE">
        <w:rPr>
          <w:rFonts w:asciiTheme="majorHAnsi" w:hAnsiTheme="majorHAnsi" w:cstheme="majorHAnsi"/>
          <w:sz w:val="24"/>
          <w:szCs w:val="24"/>
          <w:lang w:val="en-US"/>
        </w:rPr>
        <w:t xml:space="preserve">polygenic risk scores interact with the presence of environmental stressors. </w:t>
      </w:r>
      <w:r w:rsidRPr="00141B7D">
        <w:rPr>
          <w:rFonts w:asciiTheme="majorHAnsi" w:hAnsiTheme="majorHAnsi" w:cstheme="majorHAnsi"/>
          <w:b/>
          <w:sz w:val="24"/>
          <w:szCs w:val="24"/>
          <w:lang w:val="en-US"/>
        </w:rPr>
        <w:t>Results:</w:t>
      </w:r>
      <w:r>
        <w:rPr>
          <w:rFonts w:asciiTheme="majorHAnsi" w:hAnsiTheme="majorHAnsi" w:cstheme="majorHAnsi"/>
          <w:sz w:val="24"/>
          <w:szCs w:val="24"/>
          <w:lang w:val="en-US"/>
        </w:rPr>
        <w:t xml:space="preserve"> </w:t>
      </w:r>
      <w:r w:rsidR="0020002B">
        <w:rPr>
          <w:rFonts w:asciiTheme="majorHAnsi" w:hAnsiTheme="majorHAnsi" w:cstheme="majorHAnsi"/>
          <w:sz w:val="24"/>
          <w:szCs w:val="24"/>
          <w:lang w:val="en-US"/>
        </w:rPr>
        <w:t xml:space="preserve">While polygenic scores and life stressors significantly predicted low self-control, we did not find a significant interaction effect. </w:t>
      </w:r>
      <w:r w:rsidRPr="00141B7D">
        <w:rPr>
          <w:rFonts w:asciiTheme="majorHAnsi" w:hAnsiTheme="majorHAnsi" w:cstheme="majorHAnsi"/>
          <w:b/>
          <w:sz w:val="24"/>
          <w:szCs w:val="24"/>
          <w:lang w:val="en-US"/>
        </w:rPr>
        <w:t>Conclusions:</w:t>
      </w:r>
      <w:r w:rsidR="00DC40C4">
        <w:rPr>
          <w:rFonts w:asciiTheme="majorHAnsi" w:hAnsiTheme="majorHAnsi" w:cstheme="majorHAnsi"/>
          <w:sz w:val="24"/>
          <w:szCs w:val="24"/>
          <w:lang w:val="en-US"/>
        </w:rPr>
        <w:t xml:space="preserve"> </w:t>
      </w:r>
      <w:r w:rsidRPr="00BC3C29">
        <w:rPr>
          <w:rFonts w:asciiTheme="majorHAnsi" w:hAnsiTheme="majorHAnsi" w:cstheme="majorHAnsi"/>
          <w:sz w:val="24"/>
          <w:szCs w:val="24"/>
          <w:lang w:val="en-US"/>
        </w:rPr>
        <w:t xml:space="preserve">Empirically, </w:t>
      </w:r>
      <w:r w:rsidRPr="00141B7D">
        <w:rPr>
          <w:rFonts w:asciiTheme="majorHAnsi" w:hAnsiTheme="majorHAnsi" w:cstheme="majorHAnsi"/>
          <w:sz w:val="24"/>
          <w:szCs w:val="24"/>
          <w:lang w:val="en-US"/>
        </w:rPr>
        <w:t>finding statistical evidence for this hypothesis remains a challenge</w:t>
      </w:r>
      <w:r w:rsidRPr="00BC3C29">
        <w:rPr>
          <w:rFonts w:asciiTheme="majorHAnsi" w:hAnsiTheme="majorHAnsi" w:cstheme="majorHAnsi"/>
          <w:bCs/>
          <w:sz w:val="24"/>
          <w:szCs w:val="24"/>
          <w:lang w:val="en-US"/>
        </w:rPr>
        <w:t>, and</w:t>
      </w:r>
      <w:r w:rsidRPr="00BC3C29">
        <w:rPr>
          <w:rFonts w:asciiTheme="majorHAnsi" w:hAnsiTheme="majorHAnsi" w:cstheme="majorHAnsi"/>
          <w:b/>
          <w:sz w:val="24"/>
          <w:szCs w:val="24"/>
          <w:lang w:val="en-US"/>
        </w:rPr>
        <w:t xml:space="preserve"> </w:t>
      </w:r>
      <w:r w:rsidRPr="00BC3C29">
        <w:rPr>
          <w:rFonts w:asciiTheme="majorHAnsi" w:hAnsiTheme="majorHAnsi" w:cstheme="majorHAnsi"/>
          <w:sz w:val="24"/>
          <w:szCs w:val="24"/>
          <w:lang w:val="en-US"/>
        </w:rPr>
        <w:t>more research is needed to investigate how to better detect G x E.</w:t>
      </w:r>
      <w:r w:rsidR="001266B1">
        <w:rPr>
          <w:rFonts w:asciiTheme="majorHAnsi" w:hAnsiTheme="majorHAnsi" w:cstheme="majorHAnsi"/>
          <w:sz w:val="24"/>
          <w:szCs w:val="24"/>
          <w:lang w:val="en-US"/>
        </w:rPr>
        <w:br/>
        <w:t xml:space="preserve"> </w:t>
      </w:r>
      <w:r w:rsidR="001266B1">
        <w:rPr>
          <w:rFonts w:asciiTheme="majorHAnsi" w:hAnsiTheme="majorHAnsi" w:cstheme="majorHAnsi"/>
          <w:sz w:val="24"/>
          <w:szCs w:val="24"/>
          <w:lang w:val="en-US"/>
        </w:rPr>
        <w:tab/>
      </w:r>
      <w:r w:rsidR="001266B1">
        <w:rPr>
          <w:rFonts w:asciiTheme="majorHAnsi" w:hAnsiTheme="majorHAnsi" w:cstheme="majorHAnsi"/>
          <w:i/>
          <w:sz w:val="24"/>
          <w:szCs w:val="24"/>
          <w:lang w:val="en-US"/>
        </w:rPr>
        <w:t xml:space="preserve">Key-words: </w:t>
      </w:r>
      <w:r w:rsidR="00FD3384" w:rsidRPr="00FD3384">
        <w:rPr>
          <w:rFonts w:asciiTheme="majorHAnsi" w:hAnsiTheme="majorHAnsi" w:cstheme="majorHAnsi"/>
          <w:sz w:val="24"/>
          <w:szCs w:val="24"/>
          <w:lang w:val="en-US"/>
        </w:rPr>
        <w:t>Genetics; Environment; Interaction; Polygenic Score; Self-control; Life Events</w:t>
      </w:r>
    </w:p>
    <w:p w14:paraId="37C0CE14" w14:textId="5430FAD5" w:rsidR="00E756EE" w:rsidRDefault="00E756EE" w:rsidP="00E756EE">
      <w:pPr>
        <w:spacing w:line="360" w:lineRule="auto"/>
        <w:rPr>
          <w:rFonts w:asciiTheme="majorHAnsi" w:hAnsiTheme="majorHAnsi" w:cstheme="majorHAnsi"/>
          <w:sz w:val="24"/>
          <w:szCs w:val="24"/>
          <w:lang w:val="en-US"/>
        </w:rPr>
      </w:pPr>
    </w:p>
    <w:p w14:paraId="76139E42" w14:textId="69AB44DB" w:rsidR="00DC40C4" w:rsidRDefault="00DC40C4" w:rsidP="00E756EE">
      <w:pPr>
        <w:spacing w:line="360" w:lineRule="auto"/>
        <w:rPr>
          <w:rFonts w:asciiTheme="majorHAnsi" w:hAnsiTheme="majorHAnsi" w:cstheme="majorHAnsi"/>
          <w:sz w:val="24"/>
          <w:szCs w:val="24"/>
          <w:lang w:val="en-US"/>
        </w:rPr>
      </w:pPr>
    </w:p>
    <w:p w14:paraId="1A39601B" w14:textId="2628A521" w:rsidR="00DC40C4" w:rsidRPr="00B314D5" w:rsidRDefault="00DC40C4" w:rsidP="00E756EE">
      <w:pPr>
        <w:spacing w:line="360" w:lineRule="auto"/>
        <w:rPr>
          <w:rFonts w:cstheme="minorHAnsi"/>
          <w:sz w:val="24"/>
          <w:szCs w:val="24"/>
          <w:lang w:val="en-GB"/>
        </w:rPr>
      </w:pPr>
    </w:p>
    <w:p w14:paraId="486ABF08" w14:textId="77777777" w:rsidR="00E756EE" w:rsidRPr="00E756EE" w:rsidRDefault="00E756EE" w:rsidP="00AB1C13">
      <w:pPr>
        <w:spacing w:line="480" w:lineRule="auto"/>
        <w:rPr>
          <w:rFonts w:asciiTheme="majorHAnsi" w:hAnsiTheme="majorHAnsi" w:cstheme="majorHAnsi"/>
          <w:i/>
          <w:iCs/>
          <w:sz w:val="24"/>
          <w:szCs w:val="24"/>
          <w:lang w:val="en-GB"/>
        </w:rPr>
      </w:pPr>
    </w:p>
    <w:p w14:paraId="3150DBB4" w14:textId="00F8496B" w:rsidR="0020002B" w:rsidRDefault="0020002B" w:rsidP="0020002B">
      <w:pPr>
        <w:rPr>
          <w:rFonts w:asciiTheme="majorHAnsi" w:hAnsiTheme="majorHAnsi" w:cstheme="majorHAnsi"/>
          <w:sz w:val="24"/>
          <w:szCs w:val="24"/>
          <w:lang w:val="en-US"/>
        </w:rPr>
      </w:pPr>
    </w:p>
    <w:p w14:paraId="50253DF9" w14:textId="525B9B11" w:rsidR="001266B1" w:rsidRPr="001266B1" w:rsidRDefault="001266B1" w:rsidP="001266B1">
      <w:pPr>
        <w:jc w:val="center"/>
        <w:rPr>
          <w:rFonts w:asciiTheme="majorHAnsi" w:hAnsiTheme="majorHAnsi" w:cstheme="majorHAnsi"/>
          <w:b/>
          <w:sz w:val="24"/>
          <w:szCs w:val="24"/>
          <w:lang w:val="en-US"/>
        </w:rPr>
      </w:pPr>
      <w:r w:rsidRPr="001266B1">
        <w:rPr>
          <w:rFonts w:asciiTheme="majorHAnsi" w:hAnsiTheme="majorHAnsi" w:cstheme="majorHAnsi"/>
          <w:b/>
          <w:sz w:val="24"/>
          <w:szCs w:val="24"/>
          <w:lang w:val="en-US"/>
        </w:rPr>
        <w:t>Introduction</w:t>
      </w:r>
    </w:p>
    <w:p w14:paraId="649EEDE4" w14:textId="77777777" w:rsidR="0020002B" w:rsidRPr="00E60CDA" w:rsidRDefault="0020002B" w:rsidP="0020002B">
      <w:pPr>
        <w:spacing w:line="480" w:lineRule="auto"/>
        <w:rPr>
          <w:rFonts w:asciiTheme="majorHAnsi" w:hAnsiTheme="majorHAnsi" w:cstheme="majorHAnsi"/>
          <w:sz w:val="24"/>
          <w:szCs w:val="24"/>
          <w:lang w:val="en-US"/>
        </w:rPr>
      </w:pPr>
      <w:r w:rsidRPr="00E60CDA">
        <w:rPr>
          <w:rFonts w:asciiTheme="majorHAnsi" w:hAnsiTheme="majorHAnsi" w:cstheme="majorHAnsi"/>
          <w:sz w:val="24"/>
          <w:szCs w:val="24"/>
          <w:lang w:val="en-US"/>
        </w:rPr>
        <w:t xml:space="preserve">Not being able to exert self-control – the inability to alter unwanted impulses and behavior, in order to bring them into agreement with goal-driven responses – places individuals at risk for myriad negative outcomes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{"citationItems":[{"id":"ITEM-1","itemData":{"DOI":"10.1177/1088868311418749","ISBN":"1532-7957 (Electronic)","ISSN":"1088-8683","PMID":"21878607","abstract":"Given assertions of the theoretical, empirical, and practical importance of self-control, this meta-analytic study sought to review evidence concerning the relationship between dispositional self-control and behavior. The authors provide a brief overview over prominent theories of self-control, identifying implicit assumptions surrounding the effects of self-control that warrant empirical testing. They report the results of a meta-analysis of 102 studies (total N = 32,648) investigating the behavioral effects of self-control using the Self-Control Scale, the Barratt Impulsiveness Scale, and the Low Self-Control Scale. A small to medium positive effect of self-control on behavior was found for the three scales. Only the Self-Control Scale allowed for a fine-grained analysis of conceptual moderators of the self-control behavior relation. Specifically, self-control (measured by the Self-Control Scale) related similarly to the performance of desired behaviors and the inhibition of undesired behaviors, but its effects varied dramatically across life domains (e.g., achievement, adjustment). In addition, the associations between self-control and behavior were significantly stronger for automatic (as compared to controlled) behavior and for imagined (as compared to actual) behavior.","author":[{"dropping-particle":"","family":"Ridder","given":"D. T. D.","non-dropping-particle":"de","parse-names":false,"suffix":""},{"dropping-particle":"","family":"Lensvelt-Mulders","given":"G.","non-dropping-particle":"","parse-names":false,"suffix":""},{"dropping-particle":"","family":"Finkenauer","given":"C.","non-dropping-particle":"","parse-names":false,"suffix":""},{"dropping-particle":"","family":"Stok","given":"F. M.","non-dropping-particle":"","parse-names":false,"suffix":""},{"dropping-particle":"","family":"Baumeister","given":"R. F.","non-dropping-particle":"","parse-names":false,"suffix":""}],"container-title":"Personality and Social Psychology Review","id":"ITEM-1","issue":"1","issued":{"date-parts":[["2012"]]},"page":"76-99","title":"Taking Stock of Self-Control: A Meta-Analysis of How Trait Self-Control Relates to a Wide Range of Behaviors","type":"article-journal","volume":"16"},"uris":["http://www.mendeley.com/documents/?uuid=23bb3442-8bc5-4814-85d0-88170ee3b36f"]}],"mendeley":{"formattedCitation":"(de Ridder, Lensvelt-Mulders, Finkenauer, Stok, &amp; Baumeister, 2012)","plainTextFormattedCitation":"(de Ridder, Lensvelt-Mulders, Finkenauer, Stok, &amp; Baumeister, 2012)","previouslyFormattedCitation":"(de Ridder, Lensvelt-Mulders, Finkenauer, Stok, &amp; Baumeister, 2012)"},"properties":{"noteIndex":0},"schema":"https://github.com/citation-style-language/schema/raw/master/csl-citation.json"}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(de Ridder, Lensvelt-Mulders, Finkenauer, Stok, &amp; Baumeister, 2012)</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xml:space="preserve">. For example, individuals with low self-control do worse </w:t>
      </w:r>
      <w:r>
        <w:rPr>
          <w:rFonts w:asciiTheme="majorHAnsi" w:hAnsiTheme="majorHAnsi" w:cstheme="majorHAnsi"/>
          <w:sz w:val="24"/>
          <w:szCs w:val="24"/>
          <w:lang w:val="en-US"/>
        </w:rPr>
        <w:t>at</w:t>
      </w:r>
      <w:r w:rsidRPr="00E60CDA">
        <w:rPr>
          <w:rFonts w:asciiTheme="majorHAnsi" w:hAnsiTheme="majorHAnsi" w:cstheme="majorHAnsi"/>
          <w:sz w:val="24"/>
          <w:szCs w:val="24"/>
          <w:lang w:val="en-US"/>
        </w:rPr>
        <w:t xml:space="preserve"> school</w:t>
      </w:r>
      <w:r>
        <w:rPr>
          <w:rFonts w:asciiTheme="majorHAnsi" w:hAnsiTheme="majorHAnsi" w:cstheme="majorHAnsi"/>
          <w:sz w:val="24"/>
          <w:szCs w:val="24"/>
          <w:lang w:val="en-US"/>
        </w:rPr>
        <w:t xml:space="preserve"> and work</w:t>
      </w:r>
      <w:r w:rsidRPr="00E60CDA">
        <w:rPr>
          <w:rFonts w:asciiTheme="majorHAnsi" w:hAnsiTheme="majorHAnsi" w:cstheme="majorHAnsi"/>
          <w:sz w:val="24"/>
          <w:szCs w:val="24"/>
          <w:lang w:val="en-US"/>
        </w:rPr>
        <w:t xml:space="preserve">, display unhealthier lifestyles (more substance use, higher sugar intake), and are more likely to experience mental health problems </w:t>
      </w:r>
      <w:r>
        <w:rPr>
          <w:rFonts w:asciiTheme="majorHAnsi" w:hAnsiTheme="majorHAnsi" w:cstheme="majorHAnsi"/>
          <w:sz w:val="24"/>
          <w:szCs w:val="24"/>
          <w:lang w:val="en-US"/>
        </w:rPr>
        <w:t>than</w:t>
      </w:r>
      <w:r w:rsidRPr="00E60CDA">
        <w:rPr>
          <w:rFonts w:asciiTheme="majorHAnsi" w:hAnsiTheme="majorHAnsi" w:cstheme="majorHAnsi"/>
          <w:sz w:val="24"/>
          <w:szCs w:val="24"/>
          <w:lang w:val="en-US"/>
        </w:rPr>
        <w:t xml:space="preserve"> individuals with high self-control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{"citationItems":[{"id":"ITEM-1","itemData":{"DOI":"10.1073/pnas.1019725108","ISSN":"1091-6490","PMID":"21300864","abstract":"Self-control is among the most widely studied constructs in the social sciences. For instance, more than 3% of peer-reviewed psychology articles in the past year were referenced by the key word “self-control” or closely related terms. The report by Moffitt et al. (1) in PNAS substantially advances this growing literature by demonstrating robust predictive associations between childhood self-control and a wide range of consequential life outcomes in a large, nationally representative sample of New Zealanders.\n\nMonikers for self-control vary widely and include delay of gratification, effortful control, willpower, executive control, time preference, self-discipline, self-regulation, and ego strength. Moffitt et al. (1) use the term self-control synonymously with conscientiousness, a large class of personality traits that includes responsibility, industriousness, and orderliness (2). The common thread running through diverse conceptualizations of self-control is the idea of effortful regulation of the self by the self. Self-controlled individuals are more adept than their impulsive counterparts at regulating their behavioral, emotional, and attentional impulses to achieve long-term goals.\n\nThe notion of effortful self-governance presumes an internal conflict between mutually exclusive responses. One cannot, alas, have one's cake later and eat it now, too. Critical to situations that call upon self-control is that one response … \n\n1E-mail: duckworth{at}psych.upenn.edu.","author":[{"dropping-particle":"","family":"Duckworth","given":"Angela L","non-dropping-particle":"","parse-names":false,"suffix":""}],"container-title":"Proceedings of the National Academy of Sciences of the United States of America","id":"ITEM-1","issue":"7","issued":{"date-parts":[["2011","2","15"]]},"page":"2639-40","publisher":"National Academy of Sciences","title":"The significance of self-control.","type":"article-journal","volume":"108"},"uris":["http://www.mendeley.com/documents/?uuid=e06cd2fe-f6c3-3929-8c56-1c742ef87ad9"]},{"id":"ITEM-2","itemData":{"DOI":"10.1016/j.jcrimjus.2016.10.001","ISSN":"0047-2352","abstract":"Purpose: The current meta-analysis examines the link between\nself-control and measures of crime and deviance, taking stock of the\nempirical status of self-control theory and focusing on work published\nbetween 2000 and 2010.\nMethods: A total of 796 studies were reviewed for inclusion/exclusion\ncriteria and yielded a final study sample of 99 studies (88\ncross-sectional and 19 longitudinal effect sizes, analyzed separately).\nRandom effects mean correlations between self-control and deviance were\nanalyzed for cross-sectional and longitudinal studies, respectively.\nPublication bias was assessed using multiple methods.\nResults: A random effects mean correlation between self-control and\ndeviance was M-r = 0.415 for cross-sectional studies and M-r = 0.345 for\nlongitudinal ones; this effect did not significantly differ by study\ndesign. Studies with more male participants, studies based on older or\nUS-based populations, and self-report studies found weaker effects.\nConclusions: Substantial empirical support was found for the main\nargument of self-control theory and on the transdisciplinary link\nbetween self-control and measures of crime and deviance. In contrast to\nPratt and Cullen, but consistent with theory, the effect from\ncross-sectional versus longitudinal studies did not significantly\ndiffer. There was no evidence of publication bias. (C) 2016 The Authors.\nPublished by Elsevier Ltd.","author":[{"dropping-particle":"","family":"Vazsonyi","given":"Alexander T","non-dropping-particle":"","parse-names":false,"suffix":""},{"dropping-particle":"","family":"Mikuska","given":"Jakub","non-dropping-particle":"","parse-names":false,"suffix":""},{"dropping-particle":"","family":"Kelley","given":"Erin L","non-dropping-particle":"","parse-names":false,"suffix":""}],"container-title":"JOURNAL OF CRIMINAL JUSTICE","id":"ITEM-2","issued":{"date-parts":[["2017"]]},"page":"48-63","title":"It's time: A meta-analysis on the self-control-deviance link","type":"article-journal","volume":"48"},"uris":["http://www.mendeley.com/documents/?uuid=2659883b-f53e-49ab-9421-9c056e7bfc23"]},{"id":"ITEM-3","itemData":{"DOI":"10.1073/pnas.1010076108","ISBN":"1010076108","ISSN":"0027-8424","author":[{"dropping-particle":"","family":"Moffitt","given":"T. E.","non-dropping-particle":"","parse-names":false,"suffix":""},{"dropping-particle":"","family":"Arseneault","given":"L.","non-dropping-particle":"","parse-names":false,"suffix":""},{"dropping-particle":"","family":"Belsky","given":"D.","non-dropping-particle":"","parse-names":false,"suffix":""},{"dropping-particle":"","family":"Dickson","given":"N.","non-dropping-particle":"","parse-names":false,"suffix":""},{"dropping-particle":"","family":"Hancox","given":"R. J.","non-dropping-particle":"","parse-names":false,"suffix":""},{"dropping-particle":"","family":"Harrington","given":"H.","non-dropping-particle":"","parse-names":false,"suffix":""},{"dropping-particle":"","family":"Houts","given":"R.","non-dropping-particle":"","parse-names":false,"suffix":""},{"dropping-particle":"","family":"Poulton","given":"R.","non-dropping-particle":"","parse-names":false,"suffix":""},{"dropping-particle":"","family":"Roberts","given":"B. W.","non-dropping-particle":"","parse-names":false,"suffix":""},{"dropping-particle":"","family":"Ross","given":"S.","non-dropping-particle":"","parse-names":false,"suffix":""},{"dropping-particle":"","family":"Sears","given":"M. R.","non-dropping-particle":"","parse-names":false,"suffix":""},{"dropping-particle":"","family":"Thomson","given":"W. M.","non-dropping-particle":"","parse-names":false,"suffix":""},{"dropping-particle":"","family":"Caspi","given":"A.","non-dropping-particle":"","parse-names":false,"suffix":""}],"container-title":"Proceedings of the National Academy of Sciences","id":"ITEM-3","issue":"7","issued":{"date-parts":[["2011"]]},"page":"2693-2698","title":"A gradient of childhood self-control predicts health, wealth, and public safety","type":"article-journal","volume":"108"},"uris":["http://www.mendeley.com/documents/?uuid=19469494-7b5d-4744-8766-f9cc291ca81b"]}],"mendeley":{"formattedCitation":"(Duckworth, 2011; Moffitt et al., 2011; Vazsonyi, Mikuska, &amp; Kelley, 2017)","manualFormatting":"(Moffitt et al., 2011; Vazsonyi, Mikuska, &amp; Kelley, 2017)","plainTextFormattedCitation":"(Duckworth, 2011; Moffitt et al., 2011; Vazsonyi, Mikuska, &amp; Kelley, 2017)","previouslyFormattedCitation":"(Duckworth, 2011; Moffitt et al., 2011; Vazsonyi, Mikuska, &amp; Kelley, 2017)"},"properties":{"noteIndex":0},"schema":"https://github.com/citation-style-language/schema/raw/master/csl-citation.json"}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(Moffitt et al., 2011; Vazsonyi, Mikuska, &amp; Kelley, 2017)</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xml:space="preserve">. Because low self-control is a powerful predictor of psychological and physiological problems, it is important to identify how individual differences in self-control in the population arise. </w:t>
      </w:r>
      <w:r w:rsidRPr="00E60CDA">
        <w:rPr>
          <w:rFonts w:asciiTheme="majorHAnsi" w:hAnsiTheme="majorHAnsi" w:cstheme="majorHAnsi"/>
          <w:sz w:val="24"/>
          <w:szCs w:val="24"/>
          <w:lang w:val="en-US"/>
        </w:rPr>
        <w:br/>
        <w:t xml:space="preserve"> </w:t>
      </w:r>
      <w:r w:rsidRPr="00E60CDA">
        <w:rPr>
          <w:rFonts w:asciiTheme="majorHAnsi" w:hAnsiTheme="majorHAnsi" w:cstheme="majorHAnsi"/>
          <w:sz w:val="24"/>
          <w:szCs w:val="24"/>
          <w:lang w:val="en-US"/>
        </w:rPr>
        <w:tab/>
        <w:t xml:space="preserve">In </w:t>
      </w:r>
      <w:r>
        <w:rPr>
          <w:rFonts w:asciiTheme="majorHAnsi" w:hAnsiTheme="majorHAnsi" w:cstheme="majorHAnsi"/>
          <w:sz w:val="24"/>
          <w:szCs w:val="24"/>
          <w:lang w:val="en-US"/>
        </w:rPr>
        <w:t>a</w:t>
      </w:r>
      <w:r w:rsidRPr="00E60CDA">
        <w:rPr>
          <w:rFonts w:asciiTheme="majorHAnsi" w:hAnsiTheme="majorHAnsi" w:cstheme="majorHAnsi"/>
          <w:sz w:val="24"/>
          <w:szCs w:val="24"/>
          <w:lang w:val="en-US"/>
        </w:rPr>
        <w:t xml:space="preserve"> recent meta-analysis</w:t>
      </w:r>
      <w:r>
        <w:rPr>
          <w:rFonts w:asciiTheme="majorHAnsi" w:hAnsiTheme="majorHAnsi" w:cstheme="majorHAnsi"/>
          <w:sz w:val="24"/>
          <w:szCs w:val="24"/>
          <w:lang w:val="en-US"/>
        </w:rPr>
        <w:t>,</w:t>
      </w:r>
      <w:r w:rsidRPr="00E60CDA">
        <w:rPr>
          <w:rFonts w:asciiTheme="majorHAnsi" w:hAnsiTheme="majorHAnsi" w:cstheme="majorHAnsi"/>
          <w:sz w:val="24"/>
          <w:szCs w:val="24"/>
          <w:lang w:val="en-US"/>
        </w:rPr>
        <w:t xml:space="preserve"> we report that differences in self-control are for about 60% accounted for by genetic differences and for 40% by environmental factors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{"citationItems":[{"id":"ITEM-1","itemData":{"DOI":"10.1016/j.neubiorev.2019.02.012","ISSN":"18737528","abstract":"© 2019 The Authors Self-control is the ability to control one's impulses when faced with challenges or temptations, and is robustly associated with physiological and psychological well-being. Twin studies show that self-control is heritable, but estimates range between 0% and 90%, making it difficult to draw firm conclusions. The aim of this study was to perform a meta-analysis to provide a quantitative overview of the heritability of self-control. A systematic search resulted in 31 included studies, 17 reporting on individual samples, based on a sample size of &gt;30,000 twins, published between 1997 and 2018. Our results revealed an overall monozygotic twin correlation of 0.58, and an overall dizygotic twin correlation of 0.28, resulting in a heritability estimate of 60%. The heritability of self-control did not vary across gender or age. The heritability did differ across informants, with stronger heritability estimates based on parent report versus self-report or observations. This finding provides evidence that when aiming to understand individual differences in self-control, one should take genetic factors into account. Recommendations for future research are discussed.","author":[{"dropping-particle":"","family":"Willems","given":"Y.E.","non-dropping-particle":"","parse-names":false,"suffix":""},{"dropping-particle":"","family":"Boesen","given":"N.","non-dropping-particle":"","parse-names":false,"suffix":""},{"dropping-particle":"","family":"Li","given":"J.","non-dropping-particle":"","parse-names":false,"suffix":""},{"dropping-particle":"","family":"Finkenauer","given":"C.","non-dropping-particle":"","parse-names":false,"suffix":""},{"dropping-particle":"","family":"Bartels","given":"M.","non-dropping-particle":"","parse-names":false,"suffix":""}],"container-title":"Neuroscience and Biobehavioral Reviews","id":"ITEM-1","issued":{"date-parts":[["2019"]]},"title":"The heritability of self-control: A meta-analysis","type":"article-journal","volume":"100"},"uris":["http://www.mendeley.com/documents/?uuid=e14129d1-06d0-37f8-8a32-c81794c4d897"]}],"mendeley":{"formattedCitation":"(Y.E. Willems, Boesen, Li, Finkenauer, &amp; Bartels, 2019)","manualFormatting":"(Willems, Boesen, Li, Finkenauer, &amp; Bartels, 2019)","plainTextFormattedCitation":"(Y.E. Willems, Boesen, Li, Finkenauer, &amp; Bartels, 2019)","previouslyFormattedCitation":"(Y.E. Willems, Boesen, Li, Finkenauer, &amp; Bartels, 2019)"},"properties":{"noteIndex":0},"schema":"https://github.com/citation-style-language/schema/raw/master/csl-citation.json"}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(Willems, Boesen, Li, Finkenauer, &amp; Bartels, 2019)</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xml:space="preserve">. A number of </w:t>
      </w:r>
      <w:r>
        <w:rPr>
          <w:rFonts w:asciiTheme="majorHAnsi" w:hAnsiTheme="majorHAnsi" w:cstheme="majorHAnsi"/>
          <w:sz w:val="24"/>
          <w:szCs w:val="24"/>
          <w:lang w:val="en-US"/>
        </w:rPr>
        <w:t>environmental</w:t>
      </w:r>
      <w:r w:rsidRPr="00E60CDA">
        <w:rPr>
          <w:rFonts w:asciiTheme="majorHAnsi" w:hAnsiTheme="majorHAnsi" w:cstheme="majorHAnsi"/>
          <w:sz w:val="24"/>
          <w:szCs w:val="24"/>
          <w:lang w:val="en-US"/>
        </w:rPr>
        <w:t xml:space="preserve"> factors have been associated with lower</w:t>
      </w:r>
      <w:r>
        <w:rPr>
          <w:rFonts w:asciiTheme="majorHAnsi" w:hAnsiTheme="majorHAnsi" w:cstheme="majorHAnsi"/>
          <w:sz w:val="24"/>
          <w:szCs w:val="24"/>
          <w:lang w:val="en-US"/>
        </w:rPr>
        <w:t xml:space="preserve"> levels of</w:t>
      </w:r>
      <w:r w:rsidRPr="00E60CDA">
        <w:rPr>
          <w:rFonts w:asciiTheme="majorHAnsi" w:hAnsiTheme="majorHAnsi" w:cstheme="majorHAnsi"/>
          <w:sz w:val="24"/>
          <w:szCs w:val="24"/>
          <w:lang w:val="en-US"/>
        </w:rPr>
        <w:t xml:space="preserve"> self-control in the population such as socioeconomic disadvantage, dangerous neighborhoods, delinquent peers, and family violence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{"citationItems":[{"id":"ITEM-1","itemData":{"ISBN":"0278-6133","abstract":"Objective: We sought to identify pathways connecting lifecourse socioeconomic status (SES) with chronic, low-grade inflammation, focusing on the explanatory roles of self-control, abdominal adiposity, and health practices. Methods: Participants were 360 adults aged 15-55 who were free of chronic medical conditions. They were roughly equally divided between low and high current SES, with each group further divided between low and high early-life SES. Structural equation modeling (SEM) was used to identify direct and indirect pathways linking early-life and current SES with low-grade, chronic inflammation in adulthood, as manifest by serum interleukin-6 and C-reactive protein. Low SES was hypothesized to relate to inflammation by reducing self-control, which in turn was hypothesized to facilitate lifestyle factors that potentiate inflammation (smoking, alcohol use, sedentary behavior, and weight gain). Results: Analyses revealed that self-control was pivotal in linking both early-life and current SES to inflammation. Low early-life SES was related to a harsher family climate, and in turn lower adult self-control, over and above the effects of current SES. Controlling for early-life SES, low current SES was associated with perceived stress and, in turn, diminished self-control. Results showed that lower self-control primarily operated through higher abdominal adiposity to associate with greater inflammation. Conclusions: The findings suggest a mechanistic scenario wherein low SES in early life or adulthood depletes self-control and, in turn, fosters adiposity and inflammation. These pathways should be studied longitudinally to elucidate and potentially ameliorate socioeconomic disparities in health. (PsycINFO Database Record (c) 2016 APA, all rights reserved)","author":[{"dropping-particle":"","family":"Hostinar","given":"Camelia E","non-dropping-particle":"","parse-names":false,"suffix":""},{"dropping-particle":"","family":"Ross","given":"Kharah M","non-dropping-particle":"","parse-names":false,"suffix":""},{"dropping-particle":"","family":"Chen","given":"Edith","non-dropping-particle":"","parse-names":false,"suffix":""},{"dropping-particle":"","family":"Miller","given":"Gregory E","non-dropping-particle":"","parse-names":false,"suffix":""}],"container-title":"Health Psychology","editor":[{"dropping-particle":"","family":"Appleton  Azad, Bentler, Bernstein, Blair, Bogg, Bogg, Braveman, Brody, Cohen, Conger, Danese, de Wit, Diamond, Evans, Evans, Galobardes, Hagger, Hagger-Johnson, Hotamisligil, Irwin, Kershaw, Lee, Libby, Liu, Mani, Marmot, Matthews, Matthews, McDonald, Mc","given":"Arnsten","non-dropping-particle":"","parse-names":false,"suffix":""}],"id":"ITEM-1","issue":"6","issued":{"date-parts":[["2015"]]},"page":"580-590","publisher":"American Psychological Association","publisher-place":"Hostinar, Camelia E.: Institute for Policy Research, Northwestern University, 2040 Sheridan Road, Evanston, IL, US, 60208, camelia.caudill@northwestern.edu","title":"Modeling the association between lifecourse socioeconomic disadvantage and systemic inflammation in healthy adults: The role of self-control.","type":"article","volume":"34"},"uris":["http://www.mendeley.com/documents/?uuid=f468cbd1-c528-4a44-9f7c-6bee9afcd5c7"]},{"id":"ITEM-2","itemData":{"ISBN":"0047-2352","abstract":"Researchers investigating Gottfredson and Hirschi's General Theory of Crime primarily concentrated their efforts on the relationship between an individual's self-control and involvement in crime and/or analogous behaviors. Much less research examined the potential sources of an individual's self-control. In this study, an argument was developed for the importance of exploring the contribution of the school context in the development of self-control within individuals. In particular, Gottfredson and Hirschi's position on this front was theoretically elaborated by including school/teacher socialization practices in a larger model of the development of self-control. Using data extracted from the National Longitudinal Survey of Youth, it was found that the effects of school socialization on self-control were significant net of parental socialization. In addition, the effects of school socialization varied across parenting and neighborhood contexts. The theoretical implications of this research, specifically as they relate to the development of self-control, are discussed. (PsycINFO Database Record (c) 2016 APA, all rights reserved)","author":[{"dropping-particle":"","family":"Turner","given":"Michael G","non-dropping-particle":"","parse-names":false,"suffix":""},{"dropping-particle":"","family":"Piquero","given":"Alex R","non-dropping-particle":"","parse-names":false,"suffix":""},{"dropping-particle":"","family":"Pratt","given":"Travis C","non-dropping-particle":"","parse-names":false,"suffix":""}],"container-title":"Journal of Criminal Justice","editor":[{"dropping-particle":"","family":"Achenbach  Arneklev, Arneklev, Benson, Bryk, Bursik, Burton, Burton, Carmines, Chase-Lansdale, Chase-Lansdale, Chiricos, Cochran, Evans, Farrington, Feldman, Furstenburg, Garbarino, Gibbs, Gibbs, Gottfredson, Gottfredson, Gottfredson, Graham, Grasmick, Ha","given":"Akers","non-dropping-particle":"","parse-names":false,"suffix":""}],"id":"ITEM-2","issue":"4","issued":{"date-parts":[["2005"]]},"page":"327-339","publisher":"Elsevier Science","publisher-place":"Turner, Michael G.: Department of Criminal Justice, University of North Carolina at Charlotte, 232 Garinger Hall, Charlotte, NC, US, 28223-0001, mgturner@email.uncc.edu","title":"The school context as a source of self-control.","type":"article","volume":"33"},"uris":["http://www.mendeley.com/documents/?uuid=6866eda0-513e-479c-8846-d2365a827b21"]},{"id":"ITEM-3","itemData":{"DOI":"10.3389/fpsyg.2012.00608","ISSN":"1664-1078","abstract":"The importance of self-control to a wide range of developmental outcomes\nprompted the current investigation of negative life events and\nself-control in early adolescence. In three prospective, longitudinal\nstudies, negative life events reported by the mother (in Study 1) or\nchild (in Studies 2 and 3) predicted rank-order decreases in\nself-control over time. In all studies, self-control was measured at two\ndifferent time points using questionnaires completed by three separate\nraters, including a classroom teacher who knew the child well and two\nother raters (parents, caregivers, and/or the child himself/herself).\nPsychological distress measured in Studies 2 and 3 mediated the\ndeleterious effects of negative life events on self-control. These\nfindings extend prior experimental laboratory research documenting the\nacute effects of stress on self-control.","author":[{"dropping-particle":"","family":"Duckworth","given":"Angela L","non-dropping-particle":"","parse-names":false,"suffix":""},{"dropping-particle":"","family":"Kim","given":"Betty","non-dropping-particle":"","parse-names":false,"suffix":""},{"dropping-particle":"","family":"Tsukayama","given":"Eli","non-dropping-particle":"","parse-names":false,"suffix":""}],"container-title":"FRONTIERS IN PSYCHOLOGY","id":"ITEM-3","issued":{"date-parts":[["2013"]]},"title":"Life stress impairs self-control in early adolescence","type":"article-journal","volume":"3"},"uris":["http://www.mendeley.com/documents/?uuid=dc9cc442-2f41-475d-b0ad-32782135c95c"]},{"id":"ITEM-4","itemData":{"DOI":"10.3390/ijerph15112468","ISSN":"16604601","abstract":"Theoretical studies propose an association between family violence and low self-control in adolescence; however, empirical findings of this association are inconclusive. The aim of the present research was to systematically summarize available findings on the relation between family violence and self-control across adolescence. We included 28 studies with 143 effect sizes, representing more than 25,000 participants of eight countries from early to late adolescence. Applying a three-level meta-analysis, taking dependency between effect sizes into account while retaining statistical power, we examined the magnitude and direction of the overall effect size. Additionally, we investigated whether theoretical moderators (e.g., age, gender, country), and methodological moderators (e.g., time lag between family violence and self-control, informant) influenced the magnitude of the association between family violence and self-control. Our results revealed that family violence and self-control have a small to moderate significant negative association (r = -0.191). This association did not vary across gender, country, and informants. The strength of the association, however, decreased with age and in longitudinal studies. This finding provides evidence that researchers and clinicians may expect low self-control in the wake of family violence, especially in early adolescence. Recommendations for future research in the area are discussed.","author":[{"dropping-particle":"","family":"Willems","given":"Y.E.","non-dropping-particle":"","parse-names":false,"suffix":""},{"dropping-particle":"","family":"Li","given":"J.-B.","non-dropping-particle":"","parse-names":false,"suffix":""},{"dropping-particle":"","family":"Hendriks","given":"A.M.","non-dropping-particle":"","parse-names":false,"suffix":""},{"dropping-particle":"","family":"Bartels","given":"M.","non-dropping-particle":"","parse-names":false,"suffix":""},{"dropping-particle":"","family":"Finkenauer","given":"C.","non-dropping-particle":"","parse-names":false,"suffix":""}],"container-title":"International journal of environmental research and public health","id":"ITEM-4","issue":"11","issued":{"date-parts":[["2018"]]},"title":"The Relationship between Family Violence and Self-Control in Adolescence: A Multi-Level Meta-Analysis","type":"article-journal","volume":"15"},"uris":["http://www.mendeley.com/documents/?uuid=3952a680-933f-34c9-8d12-d28fbb72014a"]}],"mendeley":{"formattedCitation":"(Duckworth, Kim, &amp; Tsukayama, 2013; Hostinar, Ross, Chen, &amp; Miller, 2015; Turner, Piquero, &amp; Pratt, 2005; Y.E. Willems, Li, Hendriks, Bartels, &amp; Finkenauer, 2018)","manualFormatting":"(Duckworth, Kim, &amp; Tsukayama, 2013; Hostinar, Ross, Chen, &amp; Miller, 2015; Turner, Piquero, &amp; Pratt, 2005; Willems, Li, Hendriks, Bartels, &amp; Finkenauer, 2018)","plainTextFormattedCitation":"(Duckworth, Kim, &amp; Tsukayama, 2013; Hostinar, Ross, Chen, &amp; Miller, 2015; Turner, Piquero, &amp; Pratt, 2005; Y.E. Willems, Li, Hendriks, Bartels, &amp; Finkenauer, 2018)","previouslyFormattedCitation":"(Duckworth, Kim, &amp; Tsukayama, 2013; Hostinar, Ross, Chen, &amp; Miller, 2015; Turner, Piquero, &amp; Pratt, 2005; Y.E. Willems, Li, Hendriks, Bartels, &amp; Finkenauer, 2018)"},"properties":{"noteIndex":0},"schema":"https://github.com/citation-style-language/schema/raw/master/csl-citation.json"}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(Duckworth, Kim, &amp; Tsukayama, 2013; Hostinar, Ross, Chen, &amp; Miller, 2015; Turner, Piquero, &amp; Pratt, 2005; Willems, Li, Hendriks, Bartels, &amp; Finkenauer, 2018)</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xml:space="preserve">. Theoretical explanations for this include that stressful environments hamper self-control development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{"citationItems":[{"id":"ITEM-1","itemData":{"DOI":"10.3389/fpsyg.2012.00608","ISSN":"1664-1078 (Electronic)","PMID":"23443890","abstract":"The importance of self-control to a wide range of developmental outcomes prompted the current investigation of negative life events and self-control in early adolescence. In three prospective, longitudinal studies, negative life events reported by the mother (in Study 1) or child (in Studies 2 and 3) predicted rank-order decreases in self-control over time. In all studies, self-control was measured at two different time points using questionnaires completed by three separate raters, including a classroom teacher who knew the child well and two other raters (parents, caregivers, and/or the child himself/herself). Psychological distress measured in Studies 2 and 3 mediated the deleterious effects of negative life events on self-control. These findings extend prior experimental laboratory research documenting the acute effects of stress on self-control.","author":[{"dropping-particle":"","family":"Duckworth","given":"Angela L","non-dropping-particle":"","parse-names":false,"suffix":""},{"dropping-particle":"","family":"Kim","given":"Betty","non-dropping-particle":"","parse-names":false,"suffix":""},{"dropping-particle":"","family":"Tsukayama","given":"Eli","non-dropping-particle":"","parse-names":false,"suffix":""}],"container-title":"Frontiers in psychology","id":"ITEM-1","issued":{"date-parts":[["2012"]]},"language":"ENG","page":"608","publisher-place":"Switzerland","title":"Life stress impairs self-control in early adolescence.","type":"article-journal","volume":"3"},"uris":["http://www.mendeley.com/documents/?uuid=86d4fa7c-e5f3-46eb-8aa4-9decd8c680f2"]},{"id":"ITEM-2","itemData":{"DOI":"10.1037/0033-2909.116.3.387","ISSN":"1939-1455","author":[{"dropping-particle":"","family":"Davies","given":"Patrick T.","non-dropping-particle":"","parse-names":false,"suffix":""},{"dropping-particle":"","family":"Cummings","given":"E. Mark","non-dropping-particle":"","parse-names":false,"suffix":""}],"container-title":"Psychological Bulletin","id":"ITEM-2","issue":"3","issued":{"date-parts":[["1994"]]},"page":"387-411","title":"Marital conflict and child adjustment: An emotional security hypothesis.","type":"article-journal","volume":"116"},"uris":["http://www.mendeley.com/documents/?uuid=4dac830c-6620-38ab-baa2-270423b3c83a"]}],"mendeley":{"formattedCitation":"(Davies &amp; Cummings, 1994; Duckworth, Kim, &amp; Tsukayama, 2012)","manualFormatting":"(Davies &amp; Cummings, 1994)","plainTextFormattedCitation":"(Davies &amp; Cummings, 1994; Duckworth, Kim, &amp; Tsukayama, 2012)","previouslyFormattedCitation":"(Davies &amp; Cummings, 1994; Duckworth, Kim, &amp; Tsukayama, 2012)"},"properties":{"noteIndex":0},"schema":"https://github.com/citation-style-language/schema/raw/master/csl-citation.json"}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(Davies &amp; Cummings, 1994)</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xml:space="preserve">, stress depletes </w:t>
      </w:r>
      <w:r>
        <w:rPr>
          <w:rFonts w:asciiTheme="majorHAnsi" w:hAnsiTheme="majorHAnsi" w:cstheme="majorHAnsi"/>
          <w:sz w:val="24"/>
          <w:szCs w:val="24"/>
          <w:lang w:val="en-US"/>
        </w:rPr>
        <w:t xml:space="preserve">psychological </w:t>
      </w:r>
      <w:r w:rsidRPr="00E60CDA">
        <w:rPr>
          <w:rFonts w:asciiTheme="majorHAnsi" w:hAnsiTheme="majorHAnsi" w:cstheme="majorHAnsi"/>
          <w:sz w:val="24"/>
          <w:szCs w:val="24"/>
          <w:lang w:val="en-US"/>
        </w:rPr>
        <w:t xml:space="preserve">resources </w:t>
      </w:r>
      <w:r>
        <w:rPr>
          <w:rFonts w:asciiTheme="majorHAnsi" w:hAnsiTheme="majorHAnsi" w:cstheme="majorHAnsi"/>
          <w:sz w:val="24"/>
          <w:szCs w:val="24"/>
          <w:lang w:val="en-US"/>
        </w:rPr>
        <w:t xml:space="preserve">necessary </w:t>
      </w:r>
      <w:r w:rsidRPr="00E60CDA">
        <w:rPr>
          <w:rFonts w:asciiTheme="majorHAnsi" w:hAnsiTheme="majorHAnsi" w:cstheme="majorHAnsi"/>
          <w:sz w:val="24"/>
          <w:szCs w:val="24"/>
          <w:lang w:val="en-US"/>
        </w:rPr>
        <w:t xml:space="preserve">to exert self-control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{"citationItems":[{"id":"ITEM-1","itemData":{"DOI":"10.1177/0963721415570730","ISSN":"0963-7214","abstract":"Family violence is common and brings tremendous costs to individuals, relationships, and society. Victims are vulnerable to negative outcomes across a host of dimensions, including cognitive performance, impulse control, emotion regulation, and physical health. Links between family violence and various problems have been established, yet the specific processes underlying these associations are poorly understood, resulting in the stunted development of effective interventions. This article addresses two key questions: How and why does family violence cause these myriad problems? The self-control strength model of family violence provides novel answers. The model integrates components of existing theories, extending them by pinpointing self-control strength as an explanatory and predictive factor, and can serve as a framework for interventions.","author":[{"dropping-particle":"","family":"Finkenauer","given":"C.","non-dropping-particle":"","parse-names":false,"suffix":""},{"dropping-particle":"","family":"Buyukcan-Tetik","given":"A.","non-dropping-particle":"","parse-names":false,"suffix":""},{"dropping-particle":"","family":"Baumeister","given":"R. F.","non-dropping-particle":"","parse-names":false,"suffix":""},{"dropping-particle":"","family":"Schoemaker","given":"K.","non-dropping-particle":"","parse-names":false,"suffix":""},{"dropping-particle":"","family":"Bartels","given":"M.","non-dropping-particle":"","parse-names":false,"suffix":""},{"dropping-particle":"","family":"Vohs","given":"K. D.","non-dropping-particle":"","parse-names":false,"suffix":""}],"container-title":"Current Directions in Psychological Science","id":"ITEM-1","issue":"4","issued":{"date-parts":[["2015","8","12"]]},"page":"261-266","title":"Out of Control: Identifying the Role of Self-Control Strength in Family Violence","type":"article-journal","volume":"24"},"uris":["http://www.mendeley.com/documents/?uuid=062a615c-edeb-45c8-921a-b9350706eb29"]}],"mendeley":{"formattedCitation":"(Finkenauer et al., 2015)","plainTextFormattedCitation":"(Finkenauer et al., 2015)","previouslyFormattedCitation":"(Finkenauer et al., 2015)"},"properties":{"noteIndex":0},"schema":"https://github.com/citation-style-language/schema/raw/master/csl-citation.json"}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(Finkenauer et al., 2015)</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xml:space="preserve"> , and/or that it is not beneficial to show self-control in stressful contexts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{"citationItems":[{"id":"ITEM-1","itemData":{"DOI":"10.1177/1745691617693054","ISSN":"1745-6916","abstract":"How does repeated or chronic childhood adversity shape social and cognitive abilities? According to the prevailing deficit model, children from high-stress backgrounds are at risk for impairments in learning and behavior, and the intervention goal is to prevent, reduce, or repair the damage. Missing from this deficit approach is an attempt to leverage the unique strengths and abilities that develop in response to high-stress environments. Evolutionary-developmental models emphasize the coherent, functional changes that occur in response to stress over the life course. Research in birds, rodents, and humans suggests that developmental exposures to stress can improve forms of attention, perception, learning, memory, and problem solving that are ecologically relevant in harsh-unpredictable environments (as per the specialization hypothesis). Many of these skills and abilities, moreover, are primarily manifest in currently stressful contexts where they would provide the greatest fitness-relevant advantages (a...","author":[{"dropping-particle":"","family":"Ellis","given":"Bruce J.","non-dropping-particle":"","parse-names":false,"suffix":""},{"dropping-particle":"","family":"Bianchi","given":"JeanMarie","non-dropping-particle":"","parse-names":false,"suffix":""},{"dropping-particle":"","family":"Griskevicius","given":"Vladas","non-dropping-particle":"","parse-names":false,"suffix":""},{"dropping-particle":"","family":"Frankenhuis","given":"Willem E.","non-dropping-particle":"","parse-names":false,"suffix":""}],"container-title":"Perspectives on Psychological Science","id":"ITEM-1","issue":"4","issued":{"date-parts":[["2017","7","6"]]},"page":"561-587","publisher":"SAGE PublicationsSage CA: Los Angeles, CA","title":"Beyond Risk and Protective Factors: An Adaptation-Based Approach to Resilience","type":"article-journal","volume":"12"},"uris":["http://www.mendeley.com/documents/?uuid=a6e1179e-e52a-3525-9694-f31a9b78950a"]}],"mendeley":{"formattedCitation":"(Ellis, Bianchi, Griskevicius, &amp; Frankenhuis, 2017)","plainTextFormattedCitation":"(Ellis, Bianchi, Griskevicius, &amp; Frankenhuis, 2017)","previouslyFormattedCitation":"(Ellis, Bianchi, Griskevicius, &amp; Frankenhuis, 2017)"},"properties":{"noteIndex":0},"schema":"https://github.com/citation-style-language/schema/raw/master/csl-citation.json"}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(Ellis, Bianchi, Griskevicius, &amp; Frankenhuis, 2017)</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xml:space="preserve">. </w:t>
      </w:r>
      <w:r w:rsidRPr="00E60CDA">
        <w:rPr>
          <w:rFonts w:asciiTheme="majorHAnsi" w:hAnsiTheme="majorHAnsi" w:cstheme="majorHAnsi"/>
          <w:sz w:val="24"/>
          <w:szCs w:val="24"/>
          <w:lang w:val="en-US"/>
        </w:rPr>
        <w:br/>
        <w:t xml:space="preserve"> </w:t>
      </w:r>
      <w:r w:rsidRPr="00E60CDA">
        <w:rPr>
          <w:rFonts w:asciiTheme="majorHAnsi" w:hAnsiTheme="majorHAnsi" w:cstheme="majorHAnsi"/>
          <w:sz w:val="24"/>
          <w:szCs w:val="24"/>
          <w:lang w:val="en-US"/>
        </w:rPr>
        <w:tab/>
        <w:t xml:space="preserve">While most studies thus far focus </w:t>
      </w:r>
      <w:r w:rsidRPr="00E60CDA">
        <w:rPr>
          <w:rFonts w:asciiTheme="majorHAnsi" w:hAnsiTheme="majorHAnsi" w:cstheme="majorHAnsi"/>
          <w:i/>
          <w:sz w:val="24"/>
          <w:szCs w:val="24"/>
          <w:lang w:val="en-US"/>
        </w:rPr>
        <w:t>either</w:t>
      </w:r>
      <w:r w:rsidRPr="00E60CDA">
        <w:rPr>
          <w:rFonts w:asciiTheme="majorHAnsi" w:hAnsiTheme="majorHAnsi" w:cstheme="majorHAnsi"/>
          <w:sz w:val="24"/>
          <w:szCs w:val="24"/>
          <w:lang w:val="en-US"/>
        </w:rPr>
        <w:t xml:space="preserve"> on environmental </w:t>
      </w:r>
      <w:r w:rsidRPr="00E60CDA">
        <w:rPr>
          <w:rFonts w:asciiTheme="majorHAnsi" w:hAnsiTheme="majorHAnsi" w:cstheme="majorHAnsi"/>
          <w:i/>
          <w:sz w:val="24"/>
          <w:szCs w:val="24"/>
          <w:lang w:val="en-US"/>
        </w:rPr>
        <w:t>or</w:t>
      </w:r>
      <w:r w:rsidRPr="00E60CDA">
        <w:rPr>
          <w:rFonts w:asciiTheme="majorHAnsi" w:hAnsiTheme="majorHAnsi" w:cstheme="majorHAnsi"/>
          <w:sz w:val="24"/>
          <w:szCs w:val="24"/>
          <w:lang w:val="en-US"/>
        </w:rPr>
        <w:t xml:space="preserve"> genetic factors, there is a growing number of studies highlighting the need to </w:t>
      </w:r>
      <w:r>
        <w:rPr>
          <w:rFonts w:asciiTheme="majorHAnsi" w:hAnsiTheme="majorHAnsi" w:cstheme="majorHAnsi"/>
          <w:sz w:val="24"/>
          <w:szCs w:val="24"/>
          <w:lang w:val="en-US"/>
        </w:rPr>
        <w:t>consider</w:t>
      </w:r>
      <w:r w:rsidRPr="00E60CDA">
        <w:rPr>
          <w:rFonts w:asciiTheme="majorHAnsi" w:hAnsiTheme="majorHAnsi" w:cstheme="majorHAnsi"/>
          <w:sz w:val="24"/>
          <w:szCs w:val="24"/>
          <w:lang w:val="en-US"/>
        </w:rPr>
        <w:t xml:space="preserve"> both environmental and </w:t>
      </w:r>
      <w:r w:rsidRPr="00E60CDA">
        <w:rPr>
          <w:rFonts w:asciiTheme="majorHAnsi" w:hAnsiTheme="majorHAnsi" w:cstheme="majorHAnsi"/>
          <w:sz w:val="24"/>
          <w:szCs w:val="24"/>
          <w:lang w:val="en-US"/>
        </w:rPr>
        <w:lastRenderedPageBreak/>
        <w:t xml:space="preserve">genetic components and their interplay to understand individual differences in self-control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{"citationItems":[{"id":"ITEM-1","itemData":{"DOI":"10.1192/bjp.bp.111.107581","ISBN":"1472-1465","ISSN":"00071250","PMID":"22918964","abstract":"BACKGROUND: Harsh parenting practices and negative parental feelings may be environmental risk factors for low self-control in children. Children may also evoke certain parenting reactions. AIMS: To investigate the longitudinal relationship between parenting and self-control, as well as associated outcomes within the monozygotic (MZ) twin differences framework. METHOD: Longitudinal MZ twin differences analysis was conducted on a community sample of 5184 twins using data from ages 3, 4, 7 and 9 years. Outcomes related to self-control and parenting were analysed at age 12 years. RESULTS: Non-shared environmental effects of parenting on the development of self-control and an evocative effect of child self-control on parenting were found. Harsh parenting predicted conduct problems for both boys and girls. Self-control at age 9 predicted conduct problems and emotional difficulties at age 12. CONCLUSIONS: Parenting and child self-control affect one another, highlighting the potential of early interventions that target parents and children simultaneously.","author":[{"dropping-particle":"","family":"Cecil","given":"Charlotte A. M.","non-dropping-particle":"","parse-names":false,"suffix":""},{"dropping-particle":"","family":"Barker","given":"Edward D.","non-dropping-particle":"","parse-names":false,"suffix":""},{"dropping-particle":"","family":"Jaffee","given":"Sara R.","non-dropping-particle":"","parse-names":false,"suffix":""},{"dropping-particle":"","family":"Viding","given":"Essi","non-dropping-particle":"","parse-names":false,"suffix":""}],"container-title":"British Journal of Psychiatry","id":"ITEM-1","issue":"4","issued":{"date-parts":[["2012"]]},"page":"291-297","title":"Association between maladaptive parenting and child self-control over time: Cross-lagged study using a monozygotic twin difference design","type":"article-journal","volume":"201"},"uris":["http://www.mendeley.com/documents/?uuid=7b7c0eb3-8df5-42b5-bf61-e8034df0514e"]},{"id":"ITEM-2","itemData":{"DOI":"10.1111/cdev.12742","ISSN":"00093920","PMID":"28160281","abstract":"There is robust evidence that the interparental relationship and parenting behaviors each have a significant influence on children's risk for emotional (internalizing) and behavioral (externalizing) problems. Indeed, interventions targeting the interparental relationship and parenting processes show significant intervention-related reductions in child internalizing and externalizing problems. However, most evidence-based parenting- and couple-focused interventions result in small to medium effects on children's emotional and behavior problems. It is proposed that there is opportunity to improve upon these interventions through incorporation of knowledge from quantitative genetic research. Three core recommendations are provided for practitioners engaging in intervention work with children and families. These recommendations are contextualized relative to what quantitative genetic studies can tell us about the role of the interparental relationship and parenting behaviors on child outcomes.","author":[{"dropping-particle":"","family":"Harold","given":"Gordon T.","non-dropping-particle":"","parse-names":false,"suffix":""},{"dropping-particle":"","family":"Leve","given":"Leslie D.","non-dropping-particle":"","parse-names":false,"suffix":""},{"dropping-particle":"","family":"Sellers","given":"Ruth","non-dropping-particle":"","parse-names":false,"suffix":""}],"container-title":"Child Development","id":"ITEM-2","issue":"2","issued":{"date-parts":[["2017","3"]]},"page":"446-458","title":"How Can Genetically Informed Research Help Inform the Next Generation of Interparental and Parenting Interventions?","type":"article-journal","volume":"88"},"uris":["http://www.mendeley.com/documents/?uuid=2edc962b-3c0b-3118-8cfb-54358596c095"]},{"id":"ITEM-3","itemData":{"DOI":"10.1016/J.JAAC.2019.02.017","ISSN":"0890-8567","abstract":"OBJECTIVE\nFamily conflict is associated with low self-control in adolescence. Thus far research about the direction of this association is inconclusive. In this study, we sort out whether this association reflects a causal effect or whether it is explained by a common underlying cause, including genetic factors. \n\nMETHOD\nIn twin data, we fitted a series of causal models, and compared models for the association of family conflict and self-control including reciprocal causation, unidirectional causation from family conflict to low self-control, unidirectional causation from low self-control to family conflict, and common genetic susceptibility. We included data from a large sample of twins aged 14 years (N = 9,173), all enrolled in the Netherlands Twin Register. \n\nRESULTS\nThe results suggested a unidirectional pathway model in which family conflict leads to low self-control in adolescence, with genetic factors also playing a role in explaining the association. \n\nCONCLUSION\nAdolescents experiencing family conflict are at risk for showing hampered self-control capacities, with family conflict being a robust predictor of low self-control through common genetic factors but also through direct causal influences.","author":[{"dropping-particle":"","family":"Willems","given":"Yayouk E.","non-dropping-particle":"","parse-names":false,"suffix":""},{"dropping-particle":"","family":"Zeeuw","given":"Eveline L.","non-dropping-particle":"de","parse-names":false,"suffix":""},{"dropping-particle":"","family":"Beijsterveldt","given":"Catharina E.M.","non-dropping-particle":"van","parse-names":false,"suffix":""},{"dropping-particle":"","family":"Boomsma","given":"Dorret I.","non-dropping-particle":"","parse-names":false,"suffix":""},{"dropping-particle":"","family":"Bartels","given":"Meike","non-dropping-particle":"","parse-names":false,"suffix":""},{"dropping-particle":"","family":"Finkenauer","given":"Catrin","non-dropping-particle":"","parse-names":false,"suffix":""}],"container-title":"Journal of the American Academy of Child &amp; Adolescent Psychiatry","id":"ITEM-3","issued":{"date-parts":[["2019","3","13"]]},"publisher":"Elsevier","title":"Out of Control: Examining the Association Between Family Conflict and Self-Control in Adolescence in a Genetically Sensitive Design","type":"article-journal"},"uris":["http://www.mendeley.com/documents/?uuid=81e42084-c94e-39d8-a5e2-1daabb365a03"]}],"mendeley":{"formattedCitation":"(Cecil, Barker, Jaffee, &amp; Viding, 2012; Harold, Leve, &amp; Sellers, 2017; Yayouk E. Willems et al., 2019)","manualFormatting":"(Cecil, Barker, Jaffee, &amp; Viding, 2012; Willems et al., 2019b.)","plainTextFormattedCitation":"(Cecil, Barker, Jaffee, &amp; Viding, 2012; Harold, Leve, &amp; Sellers, 2017; Yayouk E. Willems et al., 2019)","previouslyFormattedCitation":"(Cecil, Barker, Jaffee, &amp; Viding, 2012; Harold, Leve, &amp; Sellers, 2017; Yayouk E. Willems et al., 2019)"},"properties":{"noteIndex":0},"schema":"https://github.com/citation-style-language/schema/raw/master/csl-citation.json"}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(Cecil, Barker, Jaffee, &amp; Viding, 2012; Willems et al., 2019b.)</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A frequently applied framework to understand this interplay is the diathesis-stress model, which proposes that stress may activate a vulnerability (“a diathesis”)</w:t>
      </w:r>
      <w:r>
        <w:rPr>
          <w:rFonts w:asciiTheme="majorHAnsi" w:hAnsiTheme="majorHAnsi" w:cstheme="majorHAnsi"/>
          <w:sz w:val="24"/>
          <w:szCs w:val="24"/>
          <w:lang w:val="en-US"/>
        </w:rPr>
        <w:t xml:space="preserve"> that</w:t>
      </w:r>
      <w:r w:rsidRPr="00E60CDA">
        <w:rPr>
          <w:rFonts w:asciiTheme="majorHAnsi" w:hAnsiTheme="majorHAnsi" w:cstheme="majorHAnsi"/>
          <w:sz w:val="24"/>
          <w:szCs w:val="24"/>
          <w:lang w:val="en-US"/>
        </w:rPr>
        <w:t xml:space="preserve"> transform</w:t>
      </w:r>
      <w:r>
        <w:rPr>
          <w:rFonts w:asciiTheme="majorHAnsi" w:hAnsiTheme="majorHAnsi" w:cstheme="majorHAnsi"/>
          <w:sz w:val="24"/>
          <w:szCs w:val="24"/>
          <w:lang w:val="en-US"/>
        </w:rPr>
        <w:t>s</w:t>
      </w:r>
      <w:r w:rsidRPr="00E60CDA">
        <w:rPr>
          <w:rFonts w:asciiTheme="majorHAnsi" w:hAnsiTheme="majorHAnsi" w:cstheme="majorHAnsi"/>
          <w:sz w:val="24"/>
          <w:szCs w:val="24"/>
          <w:lang w:val="en-US"/>
        </w:rPr>
        <w:t xml:space="preserve"> the potential of (genetic) vulnerability into the actuality of psychopathology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{"citationItems":[{"id":"ITEM-1","itemData":{"ISSN":"0033-2909","PMID":"1758917","abstract":"Advances in the conceptualization and measurement of life stress in the past 2 decades raise several questions concerning traditional diathesis-stress theories of psychopathology. First, comprehensive measures of life stress force investigators to become more precise about the particular stressful circumstances hypothesized to interact with diatheses. Second, the influence of the diathesis on a person's life is typically ignored, which results in several types of possible bias in the assessment of life stress. Finally, information is available on diatheses and stress for specific disorders to provide a foundation for more empirically based hypotheses about diathesis-stress interactions. This possibility is outlined for depression. Such an approach provides the basis for developing broader, yet more specific, frameworks for investigating diathesis-stress theories of psychopathology in general and of depression in particular.","author":[{"dropping-particle":"","family":"Monroe","given":"S M","non-dropping-particle":"","parse-names":false,"suffix":""},{"dropping-particle":"","family":"Simons","given":"A D","non-dropping-particle":"","parse-names":false,"suffix":""}],"container-title":"Psychological bulletin","id":"ITEM-1","issue":"3","issued":{"date-parts":[["1991","11"]]},"page":"406-25","title":"Diathesis-stress theories in the context of life stress research: implications for the depressive disorders.","type":"article-journal","volume":"110"},"uris":["http://www.mendeley.com/documents/?uuid=cb64d49a-75bb-3754-b565-cf3106af75c6"]}],"mendeley":{"formattedCitation":"(Monroe &amp; Simons, 1991)","plainTextFormattedCitation":"(Monroe &amp; Simons, 1991)","previouslyFormattedCitation":"(Monroe &amp; Simons, 1991)"},"properties":{"noteIndex":0},"schema":"https://github.com/citation-style-language/schema/raw/master/csl-citation.json"}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(Monroe &amp; Simons, 1991)</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xml:space="preserve">. This genetically driven sensitivity to environments proposed by the diathesis-stress model can also be operationalized as gene by environment interaction (G x E), where certain genotypes vary </w:t>
      </w:r>
      <w:r>
        <w:rPr>
          <w:rFonts w:asciiTheme="majorHAnsi" w:hAnsiTheme="majorHAnsi" w:cstheme="majorHAnsi"/>
          <w:sz w:val="24"/>
          <w:szCs w:val="24"/>
          <w:lang w:val="en-US"/>
        </w:rPr>
        <w:t xml:space="preserve">as a function of </w:t>
      </w:r>
      <w:r w:rsidRPr="00E60CDA">
        <w:rPr>
          <w:rFonts w:asciiTheme="majorHAnsi" w:hAnsiTheme="majorHAnsi" w:cstheme="majorHAnsi"/>
          <w:sz w:val="24"/>
          <w:szCs w:val="24"/>
          <w:lang w:val="en-US"/>
        </w:rPr>
        <w:t xml:space="preserve">their sensitivity to the environment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{"citationItems":[{"id":"ITEM-1","itemData":{"DOI":"10.1176/ajp.143.3.279","ISSN":"0002-953X","PMID":"3953861","abstract":"The authors present three major models for the joint effect of genes and environment on liability to psychiatric illness: additive effects of genotype and environment, genetic control of sensitivity to the environment, and genetic control of exposure to the environment. Each model is illustrated by several examples, including a quantitative one. The authors attempt to demonstrate that genes and the environment can interact in several interesting and potentially subtle ways, that these interactions can be expressed in simple models from which clear empirical predictions can be generated, and that elucidation of the etiology of psychiatric disorders will require the consideration of both genetic and environmental risk factors.","author":[{"dropping-particle":"","family":"Kendler","given":"K S","non-dropping-particle":"","parse-names":false,"suffix":""},{"dropping-particle":"","family":"Eaves","given":"L J","non-dropping-particle":"","parse-names":false,"suffix":""}],"container-title":"American Journal of Psychiatry","id":"ITEM-1","issue":"3","issued":{"date-parts":[["1986","3"]]},"page":"279-289","title":"Models for the joint effect of genotype and environment on liability to psychiatric illness","type":"article-journal","volume":"143"},"uris":["http://www.mendeley.com/documents/?uuid=5b3faa31-39c0-3bce-8e73-9c77a60f97d5"]},{"id":"ITEM-2","itemData":{"ISSN":"0033-2909","PMID":"557211","author":[{"dropping-particle":"","family":"Plomin","given":"R","non-dropping-particle":"","parse-names":false,"suffix":""},{"dropping-particle":"","family":"DeFries","given":"J C","non-dropping-particle":"","parse-names":false,"suffix":""},{"dropping-particle":"","family":"Loehlin","given":"J C","non-dropping-particle":"","parse-names":false,"suffix":""}],"container-title":"Psychological bulletin","id":"ITEM-2","issue":"2","issued":{"date-parts":[["1977","3"]]},"page":"309-22","title":"Genotype-environment interaction and correlation in the analysis of human behavior.","type":"article-journal","volume":"84"},"uris":["http://www.mendeley.com/documents/?uuid=da28ea81-d1b6-313d-90e7-501034e329f6"]}],"mendeley":{"formattedCitation":"(Kendler &amp; Eaves, 1986; Plomin, DeFries, &amp; Loehlin, 1977)","plainTextFormattedCitation":"(Kendler &amp; Eaves, 1986; Plomin, DeFries, &amp; Loehlin, 1977)","previouslyFormattedCitation":"(Kendler &amp; Eaves, 1986; Plomin, DeFries, &amp; Loehlin, 1977)"},"properties":{"noteIndex":0},"schema":"https://github.com/citation-style-language/schema/raw/master/csl-citation.json"}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(Kendler &amp; Eaves, 1986; Plomin, DeFries, &amp; Loehlin, 1977)</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w:t>
      </w:r>
      <w:r w:rsidRPr="00E60CDA">
        <w:rPr>
          <w:rFonts w:asciiTheme="majorHAnsi" w:hAnsiTheme="majorHAnsi" w:cstheme="majorHAnsi"/>
          <w:sz w:val="24"/>
          <w:szCs w:val="24"/>
          <w:lang w:val="en-US"/>
        </w:rPr>
        <w:br/>
        <w:t xml:space="preserve"> </w:t>
      </w:r>
      <w:r w:rsidRPr="00E60CDA">
        <w:rPr>
          <w:rFonts w:asciiTheme="majorHAnsi" w:hAnsiTheme="majorHAnsi" w:cstheme="majorHAnsi"/>
          <w:sz w:val="24"/>
          <w:szCs w:val="24"/>
          <w:lang w:val="en-US"/>
        </w:rPr>
        <w:tab/>
        <w:t>Translating this theor</w:t>
      </w:r>
      <w:r>
        <w:rPr>
          <w:rFonts w:asciiTheme="majorHAnsi" w:hAnsiTheme="majorHAnsi" w:cstheme="majorHAnsi"/>
          <w:sz w:val="24"/>
          <w:szCs w:val="24"/>
          <w:lang w:val="en-US"/>
        </w:rPr>
        <w:t>etical framework</w:t>
      </w:r>
      <w:r w:rsidRPr="00E60CDA">
        <w:rPr>
          <w:rFonts w:asciiTheme="majorHAnsi" w:hAnsiTheme="majorHAnsi" w:cstheme="majorHAnsi"/>
          <w:sz w:val="24"/>
          <w:szCs w:val="24"/>
          <w:lang w:val="en-US"/>
        </w:rPr>
        <w:t xml:space="preserve"> to self-control, it is hypothesized that the genetic vulnerability for low self-control interacts with life stressors elevating the risk to actually develop low self-control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{"citationItems":[{"id":"ITEM-1","itemData":{"ISBN":"0021-9630","abstract":"Background: The capacity to control or regulate one's emotions, cognitions and behavior is central to competent functioning, with limitations in these abilities associated with developmental problems. Parenting appears to influence such self-regulation. Here the differential-susceptibility hypothesis is tested that the more putative \"plasticity alleles\" adolescents carry, the more positively \"and\" negatively influenced they will be by, respectively, supportive \"and\" unsupportive parenting. Methods: One thousand, five hundred and eighty-six (1586) adolescents (n = 754 males; n = 832 females) enrolled in the American Add Health project were scored in terms of how many of 5 putative \"plasticity alleles\" they carried--the 10R allele of DAT1, the A1 allele of DRD2, the 7R allele of DRD4, the short allele of 5HTTLPR, and the 2R/3R alleles of MAOA. Then the effect of the resultant index (ranging from 0 to 5) of cumulative-genetic plasticity in moderating effects of parenting on adolescent self-regulation was evaluated. Results: Consistent with differential susceptibility, the more plasticity alleles males (but not females) carried, the more \"and\" less self-regulation they manifested under, respectively, supportive and unsupportive parenting conditions. Conclusion: Adolescent males appear to vary for genetic reasons in their susceptibility to parenting vis-a-vis self-regulation, perhaps due to epistatic and/or epigenetic processes. GxE research may benefit from compositing candidate genes. To afford comparative evaluation of differential-susceptibility vs. diathesis-stress models of environmental action, future GxE work should focus on positive as well as negative environmental conditions and developmental outcomes. (As Provided)","author":[{"dropping-particle":"","family":"Belsky","given":"Jay","non-dropping-particle":"","parse-names":false,"suffix":""},{"dropping-particle":"","family":"Beaver","given":"Kevin M","non-dropping-particle":"","parse-names":false,"suffix":""}],"container-title":"Journal of Child Psychology and Psychiatry","id":"ITEM-1","issue":"5","issued":{"date-parts":[["2011"]]},"page":"619-626","publisher":"Wiley-Blackwell. 350 Main Street, Malden, MA 02148. Tel: 800-835-6770; Tel: 781-388-8598; Fax: 781-388-8232; e-mail: cs-journals@wiley.com; Web site: http://www.wiley.com/WileyCDA/","title":"Cumulative-Genetic Plasticity, Parenting and Adolescent Self-Regulation","type":"article","volume":"52"},"uris":["http://www.mendeley.com/documents/?uuid=5fb9706c-e8ee-4669-8ca0-33b9bf5c8ff5"]},{"id":"ITEM-2","itemData":{"ISBN":"0021-9630","abstract":"Background: A broad capacity for deliberate self-regulation plays a key role in emotion regulation. This longitudinal investigation from infancy to preschool age examines genotype by environment (G x E) interaction in the development of self-regulation, using molecular measures of children's genotypes and observed measures of the quality of early mother-child relationship, as reflected in attachment organization in infancy. Methods: In 89 children, we assessed the polymorphism in the serotonin transporter gene (5-HTTLPR, \"ss/sl\" vs. \"ll\" allele status), security of attachment to mothers at 15 months in the Strange Situation, and children's ability for self-regulation at 25, 38, and 52 months, using behavioral batteries of tasks that called for deliberately suppressing a dominant response and performing instead a sub-dominant response. Results: There was a robust G x E interaction between genetic risk and the quality of early relationship. Among children who carried a short 5-HTTLPR allele (\"ss/sl\"), those who were insecurely attached developed poor regulatory capacities, but those who were securely attached developed as good regulatory capacities as children who were homozygotic for the long allele (\"ll\"). There was no effect of security for \"ll\" homozygotes. Conclusions: Those findings, consistent with diathesis-stress model, bridge research on self-regulation in typically developing children with research on non-human primates and research on psychopathology. They also indicate that a secure attachment relationship can serve as a protective factor in the presence of risk conferred by a genotype. (As Provided)","author":[{"dropping-particle":"","family":"Kochanska","given":"Grazyna","non-dropping-particle":"","parse-names":false,"suffix":""},{"dropping-particle":"","family":"Philibert","given":"Robert A","non-dropping-particle":"","parse-names":false,"suffix":""},{"dropping-particle":"","family":"Barry","given":"Robin A","non-dropping-particle":"","parse-names":false,"suffix":""}],"container-title":"Journal of Child Psychology and Psychiatry","id":"ITEM-2","issue":"11","issued":{"date-parts":[["2009"]]},"page":"1331-1338","publisher":"Wiley-Blackwell. 350 Main Street, Malden, MA 02148. Tel: 800-835-6770; Tel: 781-388-8598; Fax: 781-388-8232; e-mail: cs-journals@wiley.com; Web site: http://www.wiley.com/WileyCDA/","title":"Interplay of Genes and Early Mother-Child Relationship in the Development of Self-Regulation from Toddler to Preschool Age","type":"article","volume":"50"},"uris":["http://www.mendeley.com/documents/?uuid=18255fb2-0db7-4536-9471-1391a40fa57f"]}],"mendeley":{"formattedCitation":"(Belsky &amp; Beaver, 2011; Kochanska, Philibert, &amp; Barry, 2009)","plainTextFormattedCitation":"(Belsky &amp; Beaver, 2011; Kochanska, Philibert, &amp; Barry, 2009)","previouslyFormattedCitation":"(Belsky &amp; Beaver, 2011; Kochanska, Philibert, &amp; Barry, 2009)"},"properties":{"noteIndex":0},"schema":"https://github.com/citation-style-language/schema/raw/master/csl-citation.json"}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(Belsky &amp; Beaver, 2011; Kochanska, Philibert, &amp; Barry, 2009)</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xml:space="preserve">. Attempts to test this hypothesis, however, mostly concern candidate gene studies, yielding inconclusive results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{"citationItems":[{"id":"ITEM-1","itemData":{"DOI":"10.1177/0306624X08325349","ISSN":"0306-624X","abstract":"Gottfredson and Hirschi's A General Theory of Crime, Moffitt's\ndevelopmental taxonomy theory, and Caspi et al.'s Gene x Environment\nstudy are three of the most influential pieces of contemporary\ncriminological scholarship. Even so, there has been little attempt to\nintegrate and empirically assess these three perspectives\nsimultaneously. This article addresses this gap in the literature by\nanalyzing phenotypic and genotypic data from the National Longitudinal\nStudy of Adolescent Health (Add Health). The results revealed that all\nthree perspectives have considerable empirical support, where\nneuropsychological deficits interact with the MAOA genotype to predict\nadolescent delinquency and levels of self-control for White males. The\ntheoretical implications of the findings are noted.","author":[{"dropping-particle":"","family":"Beaver","given":"Kevin M","non-dropping-particle":"","parse-names":false,"suffix":""},{"dropping-particle":"","family":"DeLisi","given":"Matt","non-dropping-particle":"","parse-names":false,"suffix":""},{"dropping-particle":"","family":"Vaughn","given":"Michael G","non-dropping-particle":"","parse-names":false,"suffix":""},{"dropping-particle":"","family":"Wright","given":"John Paul","non-dropping-particle":"","parse-names":false,"suffix":""}],"container-title":"INTERNATIONAL JOURNAL OF OFFENDER THERAPY AND COMPARATIVE CRIMINOLOGY","id":"ITEM-1","issue":"1","issued":{"date-parts":[["2010","2"]]},"page":"22-42","title":"The Intersection of Genes and Neuropsychological Deficits in the Prediction of Adolescent Delinquency and Low Self-Control","type":"article-journal","volume":"54"},"uris":["http://www.mendeley.com/documents/?uuid=747a8b6c-4a4c-41ec-91c4-d6ea8e704bcd"]},{"id":"ITEM-2","itemData":{"DOI":"10.1016/j.jcrimjus.2017.07.008","ISSN":"0047-2352","abstract":"Purpose: The current study seeks to examine how two widely studied serotonergic polymorphisms, MAOA-uVNTR and 5-HTTLPR, interact with early and later life stressors to explain between-individual variation in low self-control in a genetically moderated stress sensitization model (G x E x E). Methods: Using a sample of male undergraduate students (n = 190), regression analyses were performed to examine three-way interactions of distal and proximal stress by MAOA-uVNTR and 5-HTTLPR separately, while controlling for age, race, parenting, and peer delinquency. Results: Results suggest that MAOA-uVNTR and 5-HTTLPR polymorphisms moderate individual stress sensitization in the explanation of self-control. Conclusion: Our findings highlight the need to study the etiology of self-control from both developmental and biological perspectives by demonstrating that molecular genetic variation related to serotonergic function interacts with distal stressors to increase reactivity to proximal stressors.","author":[{"dropping-particle":"","family":"Boisvert","given":"Danielle","non-dropping-particle":"","parse-names":false,"suffix":""},{"dropping-particle":"","family":"Wells","given":"Jessica","non-dropping-particle":"","parse-names":false,"suffix":""},{"dropping-particle":"","family":"Armstrong","given":"Todd A","non-dropping-particle":"","parse-names":false,"suffix":""},{"dropping-particle":"","family":"Lewis","given":"Richard H","non-dropping-particle":"","parse-names":false,"suffix":""}],"container-title":"JOURNAL OF CRIMINAL JUSTICE","id":"ITEM-2","issue":"SI","issued":{"date-parts":[["2018"]]},"page":"98-106","title":"Serotonin and self-control: A genetically moderated stress sensitization effect","type":"article-journal","volume":"56"},"uris":["http://www.mendeley.com/documents/?uuid=00aa424a-5655-439e-af1f-05a8cba9904a"]}],"mendeley":{"formattedCitation":"(Beaver, DeLisi, Vaughn, &amp; Wright, 2010; Boisvert, Wells, Armstrong, &amp; Lewis, 2018)","plainTextFormattedCitation":"(Beaver, DeLisi, Vaughn, &amp; Wright, 2010; Boisvert, Wells, Armstrong, &amp; Lewis, 2018)","previouslyFormattedCitation":"(Beaver, DeLisi, Vaughn, &amp; Wright, 2010; Boisvert, Wells, Armstrong, &amp; Lewis, 2018)"},"properties":{"noteIndex":0},"schema":"https://github.com/citation-style-language/schema/raw/master/csl-citation.json"}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(Beaver, DeLisi, Vaughn, &amp; Wright, 2010; Boisvert, Wells, Armstrong, &amp; Lewis, 2018)</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xml:space="preserve">. Importantly, the reliability of candidate gene findings </w:t>
      </w:r>
      <w:r>
        <w:rPr>
          <w:rFonts w:asciiTheme="majorHAnsi" w:hAnsiTheme="majorHAnsi" w:cstheme="majorHAnsi"/>
          <w:sz w:val="24"/>
          <w:szCs w:val="24"/>
          <w:lang w:val="en-US"/>
        </w:rPr>
        <w:t>is</w:t>
      </w:r>
      <w:r w:rsidRPr="00E60CDA">
        <w:rPr>
          <w:rFonts w:asciiTheme="majorHAnsi" w:hAnsiTheme="majorHAnsi" w:cstheme="majorHAnsi"/>
          <w:sz w:val="24"/>
          <w:szCs w:val="24"/>
          <w:lang w:val="en-US"/>
        </w:rPr>
        <w:t xml:space="preserve"> widely debated as they are at odds with our knowledge that behavioral traits have a polygenic architecture being explained by effects of many variants of small magnitude across the genome rather than a handful of selected genes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{"citationItems":[{"id":"ITEM-1","itemData":{"DOI":"10.1177/1745691614556682","ISSN":"1745-6916","abstract":"Studying how genetic predispositions come together with environmental factors to contribute to complex behavioral outcomes has great potential for advancing the understanding of the development of psychopathology. It represents a clear theoretical advance over studying these factors in isolation. However, research at the intersection of multiple fields creates many challenges. We review several reasons why the rapidly expanding candidate gene–environment interaction (cG×E) literature should be considered with a degree of caution. We discuss lessons learned about candidate gene main effects from the evolving genetics literature and how these inform the study of cG×E. We review the importance of the measurement of the gene and environment of interest in cG×E studies. We discuss statistical concerns with modeling cG×E that are frequently overlooked. Furthermore, we review other challenges that have likely contributed to the cG×E literature being difficult to interpret, including low power and publication bia...","author":[{"dropping-particle":"","family":"Dick","given":"Danielle M.","non-dropping-particle":"","parse-names":false,"suffix":""},{"dropping-particle":"","family":"Agrawal","given":"Arpana","non-dropping-particle":"","parse-names":false,"suffix":""},{"dropping-particle":"","family":"Keller","given":"Matthew C.","non-dropping-particle":"","parse-names":false,"suffix":""},{"dropping-particle":"","family":"Adkins","given":"Amy","non-dropping-particle":"","parse-names":false,"suffix":""},{"dropping-particle":"","family":"Aliev","given":"Fazil","non-dropping-particle":"","parse-names":false,"suffix":""},{"dropping-particle":"","family":"Monroe","given":"Scott","non-dropping-particle":"","parse-names":false,"suffix":""},{"dropping-particle":"","family":"Hewitt","given":"John K.","non-dropping-particle":"","parse-names":false,"suffix":""},{"dropping-particle":"","family":"Kendler","given":"Kenneth S.","non-dropping-particle":"","parse-names":false,"suffix":""},{"dropping-particle":"","family":"Sher","given":"Kenneth J.","non-dropping-particle":"","parse-names":false,"suffix":""}],"container-title":"Perspectives on Psychological Science","id":"ITEM-1","issue":"1","issued":{"date-parts":[["2015","1","14"]]},"page":"37-59","publisher":"SAGE PublicationsSage CA: Los Angeles, CA","title":"Candidate Gene–Environment Interaction Research","type":"article-journal","volume":"10"},"uris":["http://www.mendeley.com/documents/?uuid=19629150-d0f5-3db4-abb2-6db0ff2133ef"]}],"mendeley":{"formattedCitation":"(Dick et al., 2015)","plainTextFormattedCitation":"(Dick et al., 2015)","previouslyFormattedCitation":"(Dick et al., 2015)"},"properties":{"noteIndex":0},"schema":"https://github.com/citation-style-language/schema/raw/master/csl-citation.json"}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(Dick et al., 2015; Duncan &amp; Keller, 2011)</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xml:space="preserve">. An approach that is in line with the polygenic structure of most human traits is a polygenic approach, which allows </w:t>
      </w:r>
      <w:r>
        <w:rPr>
          <w:rFonts w:asciiTheme="majorHAnsi" w:hAnsiTheme="majorHAnsi" w:cstheme="majorHAnsi"/>
          <w:sz w:val="24"/>
          <w:szCs w:val="24"/>
          <w:lang w:val="en-US"/>
        </w:rPr>
        <w:t xml:space="preserve">researchers </w:t>
      </w:r>
      <w:r w:rsidRPr="00E60CDA">
        <w:rPr>
          <w:rFonts w:asciiTheme="majorHAnsi" w:hAnsiTheme="majorHAnsi" w:cstheme="majorHAnsi"/>
          <w:sz w:val="24"/>
          <w:szCs w:val="24"/>
          <w:lang w:val="en-US"/>
        </w:rPr>
        <w:t>to calculate a genetic score (a polygenic score, PS)</w:t>
      </w:r>
      <w:r>
        <w:rPr>
          <w:rFonts w:asciiTheme="majorHAnsi" w:hAnsiTheme="majorHAnsi" w:cstheme="majorHAnsi"/>
          <w:sz w:val="24"/>
          <w:szCs w:val="24"/>
          <w:lang w:val="en-US"/>
        </w:rPr>
        <w:t>. PS represents</w:t>
      </w:r>
      <w:r w:rsidRPr="00E60CDA">
        <w:rPr>
          <w:rFonts w:asciiTheme="majorHAnsi" w:hAnsiTheme="majorHAnsi" w:cstheme="majorHAnsi"/>
          <w:sz w:val="24"/>
          <w:szCs w:val="24"/>
          <w:lang w:val="en-US"/>
        </w:rPr>
        <w:t xml:space="preserve"> a composite of additive effect</w:t>
      </w:r>
      <w:r>
        <w:rPr>
          <w:rFonts w:asciiTheme="majorHAnsi" w:hAnsiTheme="majorHAnsi" w:cstheme="majorHAnsi"/>
          <w:sz w:val="24"/>
          <w:szCs w:val="24"/>
          <w:lang w:val="en-US"/>
        </w:rPr>
        <w:t>s</w:t>
      </w:r>
      <w:r w:rsidRPr="00E60CDA">
        <w:rPr>
          <w:rFonts w:asciiTheme="majorHAnsi" w:hAnsiTheme="majorHAnsi" w:cstheme="majorHAnsi"/>
          <w:sz w:val="24"/>
          <w:szCs w:val="24"/>
          <w:lang w:val="en-US"/>
        </w:rPr>
        <w:t xml:space="preserve"> of the multiple genetic variants</w:t>
      </w:r>
      <w:r>
        <w:rPr>
          <w:rFonts w:asciiTheme="majorHAnsi" w:hAnsiTheme="majorHAnsi" w:cstheme="majorHAnsi"/>
          <w:sz w:val="24"/>
          <w:szCs w:val="24"/>
          <w:lang w:val="en-US"/>
        </w:rPr>
        <w:t xml:space="preserve"> associated with a trait</w:t>
      </w:r>
      <w:r w:rsidRPr="00E60CDA">
        <w:rPr>
          <w:rFonts w:asciiTheme="majorHAnsi" w:hAnsiTheme="majorHAnsi" w:cstheme="majorHAnsi"/>
          <w:sz w:val="24"/>
          <w:szCs w:val="24"/>
          <w:lang w:val="en-US"/>
        </w:rPr>
        <w:t xml:space="preserve">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{"citationItems":[{"id":"ITEM-1","itemData":{"DOI":"10.1038/nature08185","ISSN":"0028-0836","abstract":"In the second of three papers on the genetics of schizophrenia, a large genome-wide association study looking at common genetic variants underlying the risk of schizophrenia implicates the major histocompatibility complex — and thus, immunity — and provides molecular genetic evidence for a substantial polygenic component to the risk of schizophrenia. The latter involves thousands of common alleles of very small effect that also contribute to the risk of bipolar disorder.","author":[{"dropping-particle":"","family":"Consortium","given":"The International Schizophrenia","non-dropping-particle":"","parse-names":false,"suffix":""}],"container-title":"Nature","id":"ITEM-1","issue":"7256","issued":{"date-parts":[["2009","8","1"]]},"page":"748-752","publisher":"Nature Publishing Group","title":"Common polygenic variation contributes to risk of schizophrenia and bipolar disorder","type":"article-journal","volume":"460"},"uris":["http://www.mendeley.com/documents/?uuid=2c705507-3f2b-3ba3-8684-b567d9b6e374"]}],"mendeley":{"formattedCitation":"(T. I. S. Consortium, 2009)","manualFormatting":"(International Schizophrenia Consortium, 2009)","plainTextFormattedCitation":"(T. I. S. Consortium, 2009)","previouslyFormattedCitation":"(T. I. S. Consortium, 2009)"},"properties":{"noteIndex":0},"schema":"https://github.com/citation-style-language/schema/raw/master/csl-citation.json"}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(International Schizophrenia Consortium, 2009)</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w:t>
      </w:r>
      <w:r w:rsidRPr="00E60CDA">
        <w:rPr>
          <w:rFonts w:asciiTheme="majorHAnsi" w:hAnsiTheme="majorHAnsi" w:cstheme="majorHAnsi"/>
          <w:sz w:val="24"/>
          <w:szCs w:val="24"/>
          <w:lang w:val="en-US"/>
        </w:rPr>
        <w:br/>
        <w:t xml:space="preserve"> </w:t>
      </w:r>
      <w:r w:rsidRPr="00E60CDA">
        <w:rPr>
          <w:rFonts w:asciiTheme="majorHAnsi" w:hAnsiTheme="majorHAnsi" w:cstheme="majorHAnsi"/>
          <w:sz w:val="24"/>
          <w:szCs w:val="24"/>
          <w:lang w:val="en-US"/>
        </w:rPr>
        <w:tab/>
        <w:t xml:space="preserve">Recently, a number of studies use this PS approach to assess gene by environment interaction for mental health outcomes such as depression and schizophrenia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{"citationItems":[{"id":"ITEM-1","itemData":{"DOI":"10.1192/bjp.bp.113.143081","ISSN":"0007-1250","PMID":"24925986","abstract":"BACKGROUND Research on gene × environment interaction in major depressive disorder (MDD) has thus far primarily focused on candidate genes, although genetic effects are known to be polygenic. AIMS To test whether the effect of polygenic risk scores on MDD is moderated by childhood trauma. METHOD The study sample consisted of 1645 participants with a DSM-IV diagnosis of MDD and 340 screened controls from The Netherlands. Chronic or remitted episodes (severe MDD) were present in 956 participants. The occurrence of childhood trauma was assessed with the Childhood Trauma Interview and the polygenic risk scores were based on genome-wide meta-analysis results from the Psychiatric Genomics Consortium. RESULTS The polygenic risk scores and childhood trauma independently affected MDD risk, and evidence was found for interaction as departure from both multiplicativity and additivity, indicating that the effect of polygenic risk scores on depression is increased in the presence of childhood trauma. The interaction effects were similar in predicting all MDD risk and severe MDD risk, and explained a proportion of variation in MDD risk comparable to the polygenic risk scores themselves. CONCLUSIONS The interaction effect found between polygenic risk scores and childhood trauma implies that (1) studies on direct genetic effect on MDD gain power by focusing on individuals exposed to childhood trauma, and that (2) individuals with both high polygenic risk scores and exposure to childhood trauma are particularly at risk for developing MDD.","author":[{"dropping-particle":"","family":"Peyrot","given":"Wouter J.","non-dropping-particle":"","parse-names":false,"suffix":""},{"dropping-particle":"","family":"Milaneschi","given":"Yuri","non-dropping-particle":"","parse-names":false,"suffix":""},{"dropping-particle":"","family":"Abdellaoui","given":"Abdel","non-dropping-particle":"","parse-names":false,"suffix":""},{"dropping-particle":"","family":"Sullivan","given":"Patrick F.","non-dropping-particle":"","parse-names":false,"suffix":""},{"dropping-particle":"","family":"Hottenga","given":"Jouke J.","non-dropping-particle":"","parse-names":false,"suffix":""},{"dropping-particle":"","family":"Boomsma","given":"Dorret I.","non-dropping-particle":"","parse-names":false,"suffix":""},{"dropping-particle":"","family":"Penninx","given":"Brenda W. J. H.","non-dropping-particle":"","parse-names":false,"suffix":""}],"container-title":"British Journal of Psychiatry","id":"ITEM-1","issue":"02","issued":{"date-parts":[["2014","8","2"]]},"page":"113-119","title":"Effect of polygenic risk scores on depression in childhood trauma","type":"article-journal","volume":"205"},"uris":["http://www.mendeley.com/documents/?uuid=2f208375-d777-3241-9cc1-b7b490960781"]},{"id":"ITEM-2","itemData":{"DOI":"10.1038/mp.2017.130","ISSN":"1359-4184","PMID":"28696435","abstract":"The diathesis-stress theory for depression states that the effects of stress on the depression risk are dependent on the diathesis or vulnerability, implying multiplicative interactive effects on the liability scale. We used polygenic risk scores for major depressive disorder (MDD) calculated from the results of the most recent analysis from the Psychiatric Genomics Consortium as a direct measure of the vulnerability for depression in a sample of 5221 individuals from 3083 families. In the same we also had measures of stressful life events and social support and a depression symptom score, as well as DSM-IV MDD diagnoses for most individuals. In order to estimate the variance in depression explained by the genetic vulnerability, the stressors and their interactions, we fitted linear mixed models controlling for relatedness for the whole sample as well as stratified by sex. We show a significant interaction of the polygenic risk scores with personal life events (0.12% of variance explained, P-value=0.0076) contributing positively to the risk of depression. Additionally, our results suggest possible differences in the aetiology of depression between women and men. In conclusion, our findings point to an extra risk for individuals with combined vulnerability and high number of reported personal life events beyond what would be expected from the additive contributions of these factors to the liability for depression, supporting the multiplicative diathesis-stress model for this disease.","author":[{"dropping-particle":"","family":"Colodro-Conde","given":"L","non-dropping-particle":"","parse-names":false,"suffix":""},{"dropping-particle":"","family":"Couvy-Duchesne","given":"B","non-dropping-particle":"","parse-names":false,"suffix":""},{"dropping-particle":"","family":"Zhu","given":"G","non-dropping-particle":"","parse-names":false,"suffix":""},{"dropping-particle":"","family":"Coventry","given":"W L","non-dropping-particle":"","parse-names":false,"suffix":""},{"dropping-particle":"","family":"Byrne","given":"E M","non-dropping-particle":"","parse-names":false,"suffix":""},{"dropping-particle":"","family":"Gordon","given":"S","non-dropping-particle":"","parse-names":false,"suffix":""},{"dropping-particle":"","family":"Wright","given":"M J","non-dropping-particle":"","parse-names":false,"suffix":""},{"dropping-particle":"","family":"Montgomery","given":"G W","non-dropping-particle":"","parse-names":false,"suffix":""},{"dropping-particle":"","family":"Madden","given":"P A F","non-dropping-particle":"","parse-names":false,"suffix":""},{"dropping-particle":"","family":"Ripke","given":"S","non-dropping-particle":"","parse-names":false,"suffix":""},{"dropping-particle":"","family":"Eaves","given":"L J","non-dropping-particle":"","parse-names":false,"suffix":""},{"dropping-particle":"","family":"Heath","given":"A C","non-dropping-particle":"","parse-names":false,"suffix":""},{"dropping-particle":"","family":"Wray","given":"N R","non-dropping-particle":"","parse-names":false,"suffix":""},{"dropping-particle":"","family":"Medland","given":"S E","non-dropping-particle":"","parse-names":false,"suffix":""},{"dropping-particle":"","family":"Martin","given":"N G","non-dropping-particle":"","parse-names":false,"suffix":""},{"dropping-particle":"","family":"Martin","given":"N G","non-dropping-particle":"","parse-names":false,"suffix":""}],"container-title":"Molecular Psychiatry","id":"ITEM-2","issue":"7","issued":{"date-parts":[["2018","7","11"]]},"page":"1590-1596","title":"A direct test of the diathesis–stress model for depression","type":"article-journal","volume":"23"},"uris":["http://www.mendeley.com/documents/?uuid=842885ec-ef09-3858-9f1e-2274249d39ab"]},{"id":"ITEM-3","itemData":{"DOI":"10.1093/schbul/sbx074","ISBN":"0586-7614","ISSN":"0586-7614","PMID":"29036523","abstract":"Schizotypal personality traits may increase proneness to psychosis and likely index familial vulnerability to schizophrenia (SZ), implying shared genetic determinants with SZ. Here, we sought to investigate the contribution of common genetic risk variation for SZ on self-reported schizotypy in 2 ethnically homogeneous cohorts of healthy young males during compulsory military service, enrolled in the Athens Study of Proneness and Incidence of Schizophrenia (ASPIS, N = 875) and the Learning on Genetics of Schizophrenia Spectrum study (LOGOS, N = 690). A follow-up psychometric assessment was performed in a subsample of the ASPIS (N = 121), 18 months later at military service completion. Polygenic risk scores (PRS) for SZ were derived based on genome-wide association meta-analysis results from the Psychiatric Genomics Consortium. In the ASPIS, higher PRS SZ significantly associated with lower levels of positive (i.e, perceptual distortions), disorganization and paranoid facets of schizotypy, whereas no association with negative (i.e, interpersonal) facets was noted. Importantly, longitudinal data analysis in the ASPIS subsample revealed that PRS SZ was inversely associated with positive schizotypy at military induction (stressed condition) but not at follow-up (nonstressed condition), providing evidence for environmental rather than SZ-implicated genetic influences. Moreover, consistent with prior reports, PRS SZ was positively correlated with trait anxiety in the LOGOS and additionally the recruits with higher PRS SZ and trait anxiety exhibited attenuated paranoid ideation. Together, these findings do not support an etiological link between increased polygenic liability for SZ and schizotypy, suggesting that psychosocial stress or trait anxiety may impact schizotypal phenotypic expressions among healthy young adults not genetically predisposed to SZ.","author":[{"dropping-particle":"","family":"Hatzimanolis","given":"Alex","non-dropping-particle":"","parse-names":false,"suffix":""},{"dropping-particle":"","family":"Avramopoulos","given":"Dimitrios","non-dropping-particle":"","parse-names":false,"suffix":""},{"dropping-particle":"","family":"Arking","given":"Dan E","non-dropping-particle":"","parse-names":false,"suffix":""},{"dropping-particle":"","family":"Moes","given":"Anna","non-dropping-particle":"","parse-names":false,"suffix":""},{"dropping-particle":"","family":"Bhatnagar","given":"Pallav","non-dropping-particle":"","parse-names":false,"suffix":""},{"dropping-particle":"","family":"Lencz","given":"Todd","non-dropping-particle":"","parse-names":false,"suffix":""},{"dropping-particle":"","fami</w:instrText>
      </w:r>
      <w:r w:rsidRPr="00E60CDA">
        <w:rPr>
          <w:rFonts w:asciiTheme="majorHAnsi" w:hAnsiTheme="majorHAnsi" w:cstheme="majorHAnsi"/>
          <w:sz w:val="24"/>
          <w:szCs w:val="24"/>
        </w:rPr>
        <w:instrText>ly":"Malhotra","given":"Anil K","non-dropping-particle":"","parse-names":false,"suffix":""},{"dropping-particle":"","family":"Giakoumaki","given":"Stella G","non-dropping-particle":"","parse-names":false,"suffix":""},{"dropping-particle":"","family":"Roussos","given":"Panos","non-dropping-particle":"","parse-names":false,"suffix":""},{"dropping-particle":"","family":"Smyrnis","given":"Nikolaos","non-dropping-particle":"","parse-names":false,"suffix":""},{"dropping-particle":"","family":"Bitsios","given":"Panos","non-dropping-particle":"","parse-names":false,"suffix":""},{"dropping-particle":"","family":"Stefanis","given":"Nicholas C","non-dropping-particle":"","parse-names":false,"suffix":""}],"container-title":"Schizophrenia Bulletin","id":"ITEM-3","issued":{"date-parts":[["2017"]]},"page":"1-10","title":"Stress-Dependent Association Between Polygenic Risk for Schizophrenia and Schizotypal Traits in Young Army Recruits","type":"article-journal"},"uris":["http://www.mendeley.com/documents/?uuid=c7312546-d063-4d6c-9838-ccce4d1e0ed5"]}],"mendeley":{"formattedCitation":"(Colodro-Conde et al., 2018; Hatzimanolis et al., 2017; Peyrot et al., 2014)","plainTextFormattedCitation":"(Colodro-Conde et al., 2018; Hatzimanolis et al., 2017; Peyrot et al., 2014)","previouslyFormattedCitation":"(Colodro-Conde et al., 2018; Hatzimanolis et al., 2017; Peyrot et al., 2014)"},"properties":{"noteIndex":0},"schema":"https://github.com/citation-style-language/schema/raw/master/csl-citation.json"}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rPr>
        <w:t>(Colodro-</w:t>
      </w:r>
      <w:r w:rsidRPr="00E60CDA">
        <w:rPr>
          <w:rFonts w:asciiTheme="majorHAnsi" w:hAnsiTheme="majorHAnsi" w:cstheme="majorHAnsi"/>
          <w:noProof/>
          <w:sz w:val="24"/>
          <w:szCs w:val="24"/>
        </w:rPr>
        <w:lastRenderedPageBreak/>
        <w:t>Conde et al., 2018; Hatzimanolis et al., 2017; Peyrot et al., 2014)</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rPr>
        <w:t xml:space="preserve">. </w:t>
      </w:r>
      <w:r w:rsidRPr="00E60CDA">
        <w:rPr>
          <w:rFonts w:asciiTheme="majorHAnsi" w:hAnsiTheme="majorHAnsi" w:cstheme="majorHAnsi"/>
          <w:sz w:val="24"/>
          <w:szCs w:val="24"/>
          <w:lang w:val="en-US"/>
        </w:rPr>
        <w:t xml:space="preserve">These studies are relatively novel, and the results have been mixed. For example, </w:t>
      </w:r>
      <w:r>
        <w:rPr>
          <w:rFonts w:asciiTheme="majorHAnsi" w:hAnsiTheme="majorHAnsi" w:cstheme="majorHAnsi"/>
          <w:sz w:val="24"/>
          <w:szCs w:val="24"/>
          <w:lang w:val="en-US"/>
        </w:rPr>
        <w:t xml:space="preserve">some </w:t>
      </w:r>
      <w:r w:rsidRPr="00E60CDA">
        <w:rPr>
          <w:rFonts w:asciiTheme="majorHAnsi" w:hAnsiTheme="majorHAnsi" w:cstheme="majorHAnsi"/>
          <w:sz w:val="24"/>
          <w:szCs w:val="24"/>
          <w:lang w:val="en-US"/>
        </w:rPr>
        <w:t xml:space="preserve">G x E studies </w:t>
      </w:r>
      <w:r>
        <w:rPr>
          <w:rFonts w:asciiTheme="majorHAnsi" w:hAnsiTheme="majorHAnsi" w:cstheme="majorHAnsi"/>
          <w:sz w:val="24"/>
          <w:szCs w:val="24"/>
          <w:lang w:val="en-US"/>
        </w:rPr>
        <w:t>focusing on</w:t>
      </w:r>
      <w:r w:rsidRPr="00E60CDA">
        <w:rPr>
          <w:rFonts w:asciiTheme="majorHAnsi" w:hAnsiTheme="majorHAnsi" w:cstheme="majorHAnsi"/>
          <w:sz w:val="24"/>
          <w:szCs w:val="24"/>
          <w:lang w:val="en-US"/>
        </w:rPr>
        <w:t xml:space="preserve"> depression </w:t>
      </w:r>
      <w:r>
        <w:rPr>
          <w:rFonts w:asciiTheme="majorHAnsi" w:hAnsiTheme="majorHAnsi" w:cstheme="majorHAnsi"/>
          <w:sz w:val="24"/>
          <w:szCs w:val="24"/>
          <w:lang w:val="en-US"/>
        </w:rPr>
        <w:t>did</w:t>
      </w:r>
      <w:r w:rsidRPr="00E60CDA">
        <w:rPr>
          <w:rFonts w:asciiTheme="majorHAnsi" w:hAnsiTheme="majorHAnsi" w:cstheme="majorHAnsi"/>
          <w:sz w:val="24"/>
          <w:szCs w:val="24"/>
          <w:lang w:val="en-US"/>
        </w:rPr>
        <w:t xml:space="preserve"> not find a significant interaction between polygenic score for depression and personal life events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{"citationItems":[{"id":"ITEM-1","itemData":{"DOI":"10.1016/j.biopsych.2017.09.009","ISSN":"18732402","PMID":"29129318","abstract":"Background: The heterogeneity of genetic effects on major depressive disorder (MDD) may be partly attributable to moderation of genetic effects by environment, such as exposure to childhood trauma (CT). Indeed, previous findings in two independent cohorts showed evidence for interaction between polygenic risk scores (PRSs) and CT, albeit in opposing directions. This study aims to meta-analyze MDD-PRS × CT interaction results across these two and other cohorts, while applying more accurate PRSs based on a larger discovery sample. Methods: Data were combined from 3024 MDD cases and 2741 control subjects from nine cohorts contributing to the MDD Working Group of the Psychiatric Genomics Consortium. MDD-PRS were based on a discovery sample of ~110,000 independent individuals. CT was assessed as exposure to sexual or physical abuse during childhood. In a subset of 1957 cases and 2002 control subjects, a more detailed five-domain measure additionally included emotional abuse, physical neglect, and emotional neglect. Results: MDD was associated with the MDD-PRS (odds ratio [OR] = 1.24, p = 3.6 × 10-5, R2= 1.18%) and with CT (OR = 2.63, p = 3.5 × 10-18and OR = 2.62, p = 1.4 ×10-5for the two- and five-domain measures, respectively). No interaction was found between MDD-PRS and the two-domain and five-domain CT measure (OR = 1.00, p = .89 and OR = 1.05, p = .66). Conclusions: No meta-analytic evidence for interaction between MDD-PRS and CT was found. This suggests that the previously reported interaction effects, although both statistically significant, can best be interpreted as chance findings. Further research is required, but this study suggests that the genetic heterogeneity of MDD is not attributable to genome-wide moderation of genetic effects by CT.","author":[{"dropping-particle":"","family":"Peyrot","given":"Wouter J","non-dropping-particle":"","parse-names":false,"suffix":""},{"dropping-particle":"","family":"Auwera","given":"Sandra","non-dropping-particle":"Van der","parse-names":false,"suffix":""},{"dropping-particle":"","family":"Milaneschi","given":"Yuri","non-dropping-particle":"","parse-names":false,"suffix":""},{"dropping-particle":"V","family":"Dolan","given":"Conor","non-dropping-particle":"","parse-names":false,"suffix":""},{"dropping-particle":"","family":"Madden","given":"Pamela A F","non-dropping-particle":"","parse-names":false,"suffix":""},{"dropping-particle":"","family":"Sullivan","given":"Patrick F","non-dropping-particle":"","parse-names":false,"suffix":""},{"dropping-particle":"","family":"Strohmaier","given":"Jana","non-dropping-particle":"","parse-names":false,"suffix":""},{"dropping-particle":"","family":"Ripke","given":"Stephan","non-dropping-particle":"","parse-names":false,"suffix":""},{"dropping-particle":"","family":"Rietschel","given":"Marcella","non-dropping-particle":"","parse-names":false,"suffix":""},{"dropping-particle":"","family":"Nivard","given":"Michel G","non-dropping-particle":"","parse-names":false,"suffix":""},{"dropping-particle":"","family":"Mullins","given":"Niamh","non-dropping-particle":"","parse-names":false,"suffix":""},{"dropping-particle":"","family":"Montgomery","given":"Grant W","non-dropping-particle":"","parse-names":false,"suffix":""},{"dropping-particle":"","family":"Henders","given":"Anjali K","non-dropping-particle":"","parse-names":false,"suffix":""},{"dropping-particle":"","family":"Heat","given":"Andrew C","non-dropping-particle":"","parse-names":false,"suffix":""},{"dropping-particle":"","family":"Fisher","given":"Helen L","non-dropping-particle":"","parse-names":false,"suffix":""},{"dropping-particle":"","family":"Dunn","given":"Erin C","non-dropping-particle":"","parse-names":false,"suffix":""},{"dropping-particle":"","family":"Byrne","given":"Enda M","non-dropping-particle":"","parse-names":false,"suffix":""},{"dropping-particle":"","family":"Air","given":"Tracy A","non-dropping-particle":"","parse-names":false,"suffix":""},{"dropping-particle":"","family":"Baune","given":"Bernhard T","non-dropping-particle":"","parse-names":false,"suffix":""},{"dropping-particle":"","family":"Breen","given":"Gerome","non-dropping-particle":"","parse-names":false,"suffix":""},{"dropping-particle":"","family":"Levinson","given":"Douglas F","non-dropping-particle":"","parse-names":false,"suffix":""},{"dropping-particle":"","family":"Lewis","given":"Cathryn M","non-dropping-particle":"","parse-names":false,"suffix":""},{"dropping-particle":"","family":"Martin","given":"Nick G","non-dropping-particle":"","parse-names":false,"suffix":""},{"dropping-particle":"","family":"Nelson","given":"Elliot N","non-dropping-particle":"","parse-names":false,"suffix":""},{"dropping-particle":"","family":"Boomsma","given":"Dorret I","non-dropping-particle":"","parse-names":false,"suffix":""},{"dropping-particle":"","family":"Grabe","given":"Hans J","non-dropping-particle":"","parse-names":false,"suffix":""},{"dropping-particle":"","family":"Wray","given":"Naomi R","non-dropping-particle":"","parse-names":false,"suffix":""},{"dropping-particle":"","family":"Penninx","given":"Brenda W J H","non-dropping-particle":"","parse-names":false,"suffix":""}],"container-title":"Biological Psychiatry","id":"ITEM-1","issued":{"date-parts":[["2017"]]},"page":"1-10","title":"Does Childhood Trauma Moderate Polygenic Risk for Depression? A Meta-analysis of 5765 Subjects From the Psychiatric Genomics Consortium","type":"article-journal"},"uris":["http://www.mendeley.com/documents/?uuid=255e8858-e0c9-4ccd-9ecd-ab29e68da808"]}],"mendeley":{"formattedCitation":"(Peyrot et al., 2017)","plainTextFormattedCitation":"(Peyrot et al., 2017)","previouslyFormattedCitation":"(Peyrot et al., 2017)"},"properties":{"noteIndex":0},"schema":"https://github.com/citation-style-language/schema/raw/master/csl-citation.json"}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(Peyrot et al., 2017)</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xml:space="preserve">, while others </w:t>
      </w:r>
      <w:r>
        <w:rPr>
          <w:rFonts w:asciiTheme="majorHAnsi" w:hAnsiTheme="majorHAnsi" w:cstheme="majorHAnsi"/>
          <w:sz w:val="24"/>
          <w:szCs w:val="24"/>
          <w:lang w:val="en-US"/>
        </w:rPr>
        <w:t>found</w:t>
      </w:r>
      <w:r w:rsidRPr="00E60CDA">
        <w:rPr>
          <w:rFonts w:asciiTheme="majorHAnsi" w:hAnsiTheme="majorHAnsi" w:cstheme="majorHAnsi"/>
          <w:sz w:val="24"/>
          <w:szCs w:val="24"/>
          <w:lang w:val="en-US"/>
        </w:rPr>
        <w:t xml:space="preserve"> that the interaction positively contribute</w:t>
      </w:r>
      <w:r>
        <w:rPr>
          <w:rFonts w:asciiTheme="majorHAnsi" w:hAnsiTheme="majorHAnsi" w:cstheme="majorHAnsi"/>
          <w:sz w:val="24"/>
          <w:szCs w:val="24"/>
          <w:lang w:val="en-US"/>
        </w:rPr>
        <w:t>d</w:t>
      </w:r>
      <w:r w:rsidRPr="00E60CDA">
        <w:rPr>
          <w:rFonts w:asciiTheme="majorHAnsi" w:hAnsiTheme="majorHAnsi" w:cstheme="majorHAnsi"/>
          <w:sz w:val="24"/>
          <w:szCs w:val="24"/>
          <w:lang w:val="en-US"/>
        </w:rPr>
        <w:t xml:space="preserve"> to the risk of the actual development of depression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{"citationItems":[{"id":"ITEM-1","itemData":{"DOI":"10.1038/mp.2017.130","ISSN":"1359-4184","PMID":"28696435","abstract":"The diathesis-stress theory for depression states that the effects of stress on the depression risk are dependent on the diathesis or vulnerability, implying multiplicative interactive effects on the liability scale. We used polygenic risk scores for major depressive disorder (MDD) calculated from the results of the most recent analysis from the Psychiatric Genomics Consortium as a direct measure of the vulnerability for depression in a sample of 5221 individuals from 3083 families. In the same we also had measures of stressful life events and social support and a depression symptom score, as well as DSM-IV MDD diagnoses for most individuals. In order to estimate the variance in depression explained by the genetic vulnerability, the stressors and their interactions, we fitted linear mixed models controlling for relatedness for the whole sample as well as stratified by sex. We show a significant interaction of the polygenic risk scores with personal life events (0.12% of variance explained, P-value=0.0076) contributing positively to the risk of depression. Additionally, our results suggest possible differences in the aetiology of depression between women and men. In conclusion, our findings point to an extra risk for individuals with combined vulnerability and high number of reported personal life events beyond what would be expected from the additive contributions of these factors to the liability for depression, supporting the multiplicative diathesis-stress model for this disease.","author":[{"dropping-particle":"","family":"Colodro-Conde","given":"L","non-dropping-particle":"","parse-names":false,"suffix":""},{"dropping-particle":"","family":"Couvy-Duchesne","given":"B","non-dropping-particle":"","parse-names":false,"suffix":""},{"dropping-particle":"","family":"Zhu","given":"G","non-dropping-particle":"","parse-names":false,"suffix":""},{"dropping-particle":"","family":"Coventry","given":"W L","non-dropping-particle":"","parse-names":false,"suffix":""},{"dropping-particle":"","family":"Byrne","given":"E M","non-dropping-particle":"","parse-names":false,"suffix":""},{"dropping-particle":"","family":"Gordon","given":"S","non-dropping-particle":"","parse-names":false,"suffix":""},{"dropping-particle":"","family":"Wright","given":"M J","non-dropping-particle":"","parse-names":false,"suffix":""},{"dropping-particle":"","family":"Montgomery","given":"G W","non-dropping-particle":"","parse-names":false,"suffix":""},{"dropping-particle":"","family":"Madden","given":"P A F","non-dropping-particle":"","parse-names":false,"suffix":""},{"dropping-particle":"","family":"Ripke","given":"S","non-dropping-particle":"","parse-names":false,"suffix":""},{"dropping-particle":"","family":"Eaves","given":"L J","non-dropping-particle":"","parse-names":false,"suffix":""},{"dropping-particle":"","family":"Heath","given":"A C","non-dropping-particle":"","parse-names":false,"suffix":""},{"dropping-particle":"","family":"Wray","given":"N R","non-dropping-particle":"","parse-names":false,"suffix":""},{"dropping-particle":"","family":"Medland","given":"S E","non-dropping-particle":"","parse-names":false,"suffix":""},{"dropping-particle":"","family":"Martin","given":"N G","non-dropping-particle":"","parse-names":false,"suffix":""},{"dropping-particle":"","family":"Martin","given":"N G","non-dropping-particle":"","parse-names":false,"suffix":""}],"container-title":"Molecular Psychiatry","id":"ITEM-1","issue":"7","issued":{"date-parts":[["2018","7","11"]]},"page":"1590-1596","title":"A direct test of the diathesis–stress model for depression","type":"article-journal","volume":"23"},"uris":["http://www.mendeley.com/documents/?uuid=842885ec-ef09-3858-9f1e-2274249d39ab"]},{"id":"ITEM-2","itemData":{"DOI":"10.1192/bjp.bp.113.143081","ISSN":"0007-1250","PMID":"24925986","abstract":"BACKGROUND Research on gene × environment interaction in major depressive disorder (MDD) has thus far primarily focused on candidate genes, although genetic effects are known to be polygenic. AIMS To test whether the effect of polygenic risk scores on MDD is moderated by childhood trauma. METHOD The study sample consisted of 1645 participants with a DSM-IV diagnosis of MDD and 340 screened controls from The Netherlands. Chronic or remitted episodes (severe MDD) were present in 956 participants. The occurrence of childhood trauma was assessed with the Childhood Trauma Interview and the polygenic risk scores were based on genome-wide meta-analysis results from the Psychiatric Genomics Consortium. RESULTS The polygenic risk scores and childhood trauma independently affected MDD risk, and evidence was found for interaction as departure from both multiplicativity and additivity, indicating that the effect of polygenic risk scores on depression is increased in the presence of childhood trauma. The interaction effects were similar in predicting all MDD risk and severe MDD risk, and explained a proportion of variation in MDD risk comparable to the polygenic risk scores themselves. CONCLUSIONS The interaction effect found between polygenic risk scores and childhood trauma implies that (1) studies on direct genetic effect on MDD gain power by focusing on individuals exposed to childhood trauma, and that (2) individuals with both high polygenic risk scores and exposure to childhood trauma are particularly at risk for developing MDD.","author":[{"dropping-particle":"","family":"Peyrot","given":"Wouter J.","non-dropping-particle":"","parse-names":false,"suffix":""},{"dropping-particle":"","family":"Milaneschi","given":"Yuri","non-dropping-particle":"","parse-names":false,"suffix":""},{"dropping-particle":"","family":"Abdellaoui","given":"Abdel","non-dropping-particle":"","parse-names":false,"suffix":""},{"dropping-particle":"","family":"Sullivan","given":"Patrick F.","non-dropping-particle":"","parse-names":false,"suffix":""},{"dropping-particle":"","family":"Hottenga","given":"Jouke J.","non-dropping-particle":"","parse-names":false,"suffix":""},{"dropping-particle":"","family":"Boomsma","given":"Dorret I.","non-dropping-particle":"","parse-names":false,"suffix":""},{"dropping-particle":"","family":"Penninx","given":"Brenda W. J. H.","non-dropping-particle":"","parse-names":false,"suffix":""}],"container-title":"British Journal of Psychiatry","id":"ITEM-2","issue":"02","issued":{"date-parts":[["2014","8","2"]]},"page":"113-119","title":"Effect of polygenic risk scores on depression in childhood trauma","type":"article-journal","volume":"205"},"uris":["http://www.mendeley.com/documents/?uuid=2f208375-d777-3241-9cc1-b7b490960781"]}],"mendeley":{"formattedCitation":"(Colodro-Conde et al., 2018; Peyrot et al., 2014)","plainTextFormattedCitation":"(Colodro-Conde et al., 2018; Peyrot et al., 2014)","previouslyFormattedCitation":"(Colodro-Conde et al., 2018; Peyrot et al., 2014)"},"properties":{"noteIndex":0},"schema":"https://github.com/citation-style-language/schema/raw/master/csl-citation.json"}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(Colodro-Conde et al., 2018; Peyrot et al., 2014)</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xml:space="preserve">. This approach has not, however, been applied to the interaction between genetic vulnerability for low self-control and life stressors specifically. The goal of this study is test whether polygenic scores for self-control problems predicts low self-control, and whether polygenic scores interact with the presence of environmental stressors. </w:t>
      </w:r>
    </w:p>
    <w:p w14:paraId="4019333F" w14:textId="77777777" w:rsidR="0020002B" w:rsidRPr="00E60CDA" w:rsidRDefault="0020002B" w:rsidP="0020002B">
      <w:pPr>
        <w:spacing w:line="480" w:lineRule="auto"/>
        <w:jc w:val="center"/>
        <w:rPr>
          <w:rFonts w:asciiTheme="majorHAnsi" w:hAnsiTheme="majorHAnsi" w:cstheme="majorHAnsi"/>
          <w:b/>
          <w:sz w:val="24"/>
          <w:szCs w:val="24"/>
          <w:lang w:val="en-US"/>
        </w:rPr>
      </w:pPr>
      <w:r w:rsidRPr="00E60CDA">
        <w:rPr>
          <w:rFonts w:asciiTheme="majorHAnsi" w:hAnsiTheme="majorHAnsi" w:cstheme="majorHAnsi"/>
          <w:b/>
          <w:sz w:val="24"/>
          <w:szCs w:val="24"/>
          <w:lang w:val="en-US"/>
        </w:rPr>
        <w:t>Methods</w:t>
      </w:r>
    </w:p>
    <w:p w14:paraId="21CFD58D" w14:textId="77777777" w:rsidR="0020002B" w:rsidRPr="00E60CDA" w:rsidRDefault="0020002B" w:rsidP="0020002B">
      <w:pPr>
        <w:spacing w:line="480" w:lineRule="auto"/>
        <w:rPr>
          <w:rFonts w:asciiTheme="majorHAnsi" w:hAnsiTheme="majorHAnsi" w:cstheme="majorHAnsi"/>
          <w:sz w:val="24"/>
          <w:szCs w:val="24"/>
          <w:lang w:val="en-US"/>
        </w:rPr>
      </w:pPr>
      <w:r w:rsidRPr="00E60CDA">
        <w:rPr>
          <w:rFonts w:asciiTheme="majorHAnsi" w:hAnsiTheme="majorHAnsi" w:cstheme="majorHAnsi"/>
          <w:b/>
          <w:sz w:val="24"/>
          <w:szCs w:val="24"/>
          <w:lang w:val="en-US"/>
        </w:rPr>
        <w:t xml:space="preserve">Participants </w:t>
      </w:r>
      <w:r w:rsidRPr="00E60CDA">
        <w:rPr>
          <w:rFonts w:asciiTheme="majorHAnsi" w:hAnsiTheme="majorHAnsi" w:cstheme="majorHAnsi"/>
          <w:b/>
          <w:sz w:val="24"/>
          <w:szCs w:val="24"/>
          <w:lang w:val="en-US"/>
        </w:rPr>
        <w:br/>
      </w:r>
      <w:r w:rsidRPr="00E60CDA">
        <w:rPr>
          <w:rFonts w:asciiTheme="majorHAnsi" w:hAnsiTheme="majorHAnsi" w:cstheme="majorHAnsi"/>
          <w:sz w:val="24"/>
          <w:szCs w:val="24"/>
          <w:lang w:val="en-US"/>
        </w:rPr>
        <w:t>Data for this study came from the Netherlands Twin Register (NTR), initiated in 1987 at the Vrije Universiteit (VU) Amsterdam. The NTR is a longitudinal</w:t>
      </w:r>
      <w:r>
        <w:rPr>
          <w:rFonts w:asciiTheme="majorHAnsi" w:hAnsiTheme="majorHAnsi" w:cstheme="majorHAnsi"/>
          <w:sz w:val="24"/>
          <w:szCs w:val="24"/>
          <w:lang w:val="en-US"/>
        </w:rPr>
        <w:t>,</w:t>
      </w:r>
      <w:r w:rsidRPr="00E60CDA">
        <w:rPr>
          <w:rFonts w:asciiTheme="majorHAnsi" w:hAnsiTheme="majorHAnsi" w:cstheme="majorHAnsi"/>
          <w:sz w:val="24"/>
          <w:szCs w:val="24"/>
          <w:lang w:val="en-US"/>
        </w:rPr>
        <w:t xml:space="preserve"> prospective study collecting data from twins, siblings and their parents, and sends out surveys every 2 – to 3 years on health, lifestyle, and personality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{"citationItems":[{"id":"ITEM-1","itemData":{"DOI":"10.1017/thg.2012.140","ISBN":"1832-4274","ISSN":"1832-4274","PMID":"23298648","abstract":"Over the past 25 years, the Adult Netherlands Twin Register (ANTR) has collected a wealth of information on physical and mental health, lifestyle, and personality in adolescents and adults. This article provides an overview of the sources of information available, the main research findings, and an outlook for the future. Between 1991 and 2012, longitudinal surveys were completed by twins, their parents, siblings, spouses, and offspring. Data are available for 33,957 participants, with most individuals having completed two or more surveys. Smaller projects provided in-depth phenotyping, including measurements of the autonomic nervous system, neurocognitive function, and brain imaging. For 46% of the ANTR participants, DNA samples are available and whole genome scans have been obtained in more than 11,000 individuals. These data have resulted in numerous studies on heritability, gene x environment interactions, and causality, as well as gene finding studies. In the future, these studies will continue with collection of additional phenotypes, such as metabolomic and telomere length data, and detailed genetic information provided by DNA and RNA sequencing. Record linkage to national registers will allow the study of morbidity and mortality, thus providing insight into the development of health, lifestyle, and behavior across the lifespan.","author":[{"dropping-particle":"","family":"Willemsen","given":"Gonneke","non-dropping-particle":"","parse-names":false,"suffix":""},{"dropping-particle":"","family":"Vink","given":"Jacqueline M","non-dropping-particle":"","parse-names":false,"suffix":""},{"dropping-particle":"","family":"Abdellaoui","given":"Abdel","non-dropping-particle":"","parse-names":false,"suffix":""},{"dropping-particle":"","family":"Braber","given":"Anouk","non-dropping-particle":"den","parse-names":false,"suffix":""},{"dropping-particle":"","family":"Beek","given":"Jenny H D a","non-dropping-particle":"van","parse-names":false,"suffix":""},{"dropping-particle":"","family":"Draisma","given":"Harmen H M","non-dropping-particle":"","parse-names":false,"suffix":""},{"dropping-particle":"","family":"Dongen","given":"Jenny","non-dropping-particle":"van","parse-names":false,"suffix":""},{"dropping-particle":"","family":"'t Ent","given":"Dennis","non-dropping-particle":"van","parse-names":false,"suffix":""},{"dropping-particle":"","family":"Geels","given":"Lot M","non-dropping-particle":"","parse-names":false,"suffix":""},{"dropping-particle":"","family":"Lien","given":"Rene","non-dropping-particle":"van","parse-names":false,"suffix":""},{"dropping-particle":"","family":"Ligthart","given":"Lannie","non-dropping-particle":"","parse-names":false,"suffix":""},{"dropping-particle":"","family":"Kattenberg","given":"Mathijs","non-dropping-particle":"","parse-names":false,"suffix":""},{"dropping-particle":"","family":"Mbarek","given":"Hamdi","non-dropping-particle":"","parse-names":false,"suffix":""},{"dropping-particle":"","family":"Moor","given":"Marleen H M","non-dropping-particle":"de","parse-names":false,"suffix":""},{"dropping-particle":"","family":"Neijts","given":"Melanie","non-dropping-particle":"","parse-names":false,"suffix":""},{"dropping-particle":"","family":"Pool","given":"Rene","non-dropping-particle":"","parse-names":false,"suffix":""},{"dropping-particle":"","family":"Stroo","given":"Natascha","non-dropping-particle":"","parse-names":false,"suffix":""},{"dropping-particle":"","family":"Kluft","given":"Cornelis","non-dropping-particle":"","parse-names":false,"suffix":""},{"dropping-particle":"","family":"Suchiman","given":"H Eka D","non-dropping-particle":"","parse-names":false,"suffix":""},{"dropping-particle":"","family":"Slagboom","given":"P Eline","non-dropping-particle":"","parse-names":false,"suffix":""},{"dropping-particle":"","family":"Geus","given":"Eco J C","non-dropping-particle":"de","parse-names":false,"suffix":""},{"dropping-particle":"","family":"Boomsma","given":"Dorret I","non-dropping-particle":"","parse-names":false,"suffix":""}],"container-title":"Twin research and human genetics : the official journal of the International Society for Twin Studies","id":"ITEM-1","issue":"1","issued":{"date-parts":[["2013"]]},"page":"271-81","title":"The Adult Netherlands Twin Register: twenty-five years of survey and biological data collection.","type":"article-journal","volume":"16"},"uris":["http://www.mendeley.com/documents/?uuid=d07d0cae-6392-49c7-8b30-907e15795589"]}],"mendeley":{"formattedCitation":"(Willemsen et al., 2013)","manualFormatting":"(see Willemsen et al., 2013 for more details on data collection)","plainTextFormattedCitation":"(Willemsen et al., 2013)","previouslyFormattedCitation":"(Willemsen et al., 2013)"},"properties":{"noteIndex":0},"schema":"https://github.com/citation-style-language/schema/raw/master/csl-citation.json"}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(see Willemsen et al., 2013 for more details on data collection)</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We used an adult subsample of the NTR, with data available on self-control, experienced life stressors</w:t>
      </w:r>
      <w:r>
        <w:rPr>
          <w:rFonts w:asciiTheme="majorHAnsi" w:hAnsiTheme="majorHAnsi" w:cstheme="majorHAnsi"/>
          <w:sz w:val="24"/>
          <w:szCs w:val="24"/>
          <w:lang w:val="en-US"/>
        </w:rPr>
        <w:t>,</w:t>
      </w:r>
      <w:r w:rsidRPr="00E60CDA">
        <w:rPr>
          <w:rFonts w:asciiTheme="majorHAnsi" w:hAnsiTheme="majorHAnsi" w:cstheme="majorHAnsi"/>
          <w:sz w:val="24"/>
          <w:szCs w:val="24"/>
          <w:lang w:val="en-US"/>
        </w:rPr>
        <w:t xml:space="preserve"> and genotype (</w:t>
      </w:r>
      <w:r w:rsidRPr="00E60CDA">
        <w:rPr>
          <w:rFonts w:asciiTheme="majorHAnsi" w:hAnsiTheme="majorHAnsi" w:cstheme="majorHAnsi"/>
          <w:i/>
          <w:iCs/>
          <w:sz w:val="24"/>
          <w:szCs w:val="24"/>
          <w:lang w:val="en-US"/>
        </w:rPr>
        <w:t>N</w:t>
      </w:r>
      <w:r w:rsidRPr="00E60CDA">
        <w:rPr>
          <w:rFonts w:asciiTheme="majorHAnsi" w:hAnsiTheme="majorHAnsi" w:cstheme="majorHAnsi"/>
          <w:sz w:val="24"/>
          <w:szCs w:val="24"/>
          <w:lang w:val="en-US"/>
        </w:rPr>
        <w:t>=5,839, M</w:t>
      </w:r>
      <w:r w:rsidRPr="00E60CDA">
        <w:rPr>
          <w:rFonts w:asciiTheme="majorHAnsi" w:hAnsiTheme="majorHAnsi" w:cstheme="majorHAnsi"/>
          <w:sz w:val="24"/>
          <w:szCs w:val="24"/>
          <w:vertAlign w:val="subscript"/>
          <w:lang w:val="en-US"/>
        </w:rPr>
        <w:t>age</w:t>
      </w:r>
      <w:r w:rsidRPr="00E60CDA">
        <w:rPr>
          <w:rFonts w:asciiTheme="majorHAnsi" w:hAnsiTheme="majorHAnsi" w:cstheme="majorHAnsi"/>
          <w:i/>
          <w:iCs/>
          <w:sz w:val="24"/>
          <w:szCs w:val="24"/>
          <w:lang w:val="en-US"/>
        </w:rPr>
        <w:t xml:space="preserve"> </w:t>
      </w:r>
      <w:r w:rsidRPr="00E60CDA">
        <w:rPr>
          <w:rFonts w:asciiTheme="majorHAnsi" w:hAnsiTheme="majorHAnsi" w:cstheme="majorHAnsi"/>
          <w:sz w:val="24"/>
          <w:szCs w:val="24"/>
          <w:lang w:val="en-US"/>
        </w:rPr>
        <w:t xml:space="preserve">= 41.14, </w:t>
      </w:r>
      <w:r w:rsidRPr="005D12F6">
        <w:rPr>
          <w:rFonts w:asciiTheme="majorHAnsi" w:hAnsiTheme="majorHAnsi" w:cstheme="majorHAnsi"/>
          <w:i/>
          <w:iCs/>
          <w:sz w:val="24"/>
          <w:szCs w:val="24"/>
          <w:lang w:val="en-US"/>
        </w:rPr>
        <w:t>SD</w:t>
      </w:r>
      <w:r w:rsidRPr="00E60CDA">
        <w:rPr>
          <w:rFonts w:asciiTheme="majorHAnsi" w:hAnsiTheme="majorHAnsi" w:cstheme="majorHAnsi"/>
          <w:sz w:val="24"/>
          <w:szCs w:val="24"/>
          <w:vertAlign w:val="subscript"/>
          <w:lang w:val="en-US"/>
        </w:rPr>
        <w:t>age</w:t>
      </w:r>
      <w:r w:rsidRPr="00E60CDA">
        <w:rPr>
          <w:rFonts w:asciiTheme="majorHAnsi" w:hAnsiTheme="majorHAnsi" w:cstheme="majorHAnsi"/>
          <w:sz w:val="24"/>
          <w:szCs w:val="24"/>
          <w:lang w:val="en-US"/>
        </w:rPr>
        <w:t xml:space="preserve"> = 15.45, all European Ancestry). All participants provided written informed consent, and the data collection was approved by the Central Ethics Committee on Research Involving Human Subjects of the VU University Medical Centre, Amsterdam. </w:t>
      </w:r>
    </w:p>
    <w:p w14:paraId="3D4037A6" w14:textId="77777777" w:rsidR="0020002B" w:rsidRPr="00E60CDA" w:rsidRDefault="0020002B" w:rsidP="0020002B">
      <w:pPr>
        <w:spacing w:line="480" w:lineRule="auto"/>
        <w:rPr>
          <w:rFonts w:asciiTheme="majorHAnsi" w:hAnsiTheme="majorHAnsi" w:cstheme="majorHAnsi"/>
          <w:sz w:val="24"/>
          <w:szCs w:val="24"/>
          <w:lang w:val="en-US"/>
        </w:rPr>
      </w:pPr>
      <w:r w:rsidRPr="00E60CDA">
        <w:rPr>
          <w:rFonts w:asciiTheme="majorHAnsi" w:hAnsiTheme="majorHAnsi" w:cstheme="majorHAnsi"/>
          <w:b/>
          <w:sz w:val="24"/>
          <w:szCs w:val="24"/>
          <w:lang w:val="en-US"/>
        </w:rPr>
        <w:t>Genotyping</w:t>
      </w:r>
      <w:r w:rsidRPr="00E60CDA">
        <w:rPr>
          <w:rFonts w:asciiTheme="majorHAnsi" w:hAnsiTheme="majorHAnsi" w:cstheme="majorHAnsi"/>
          <w:b/>
          <w:sz w:val="24"/>
          <w:szCs w:val="24"/>
          <w:lang w:val="en-US"/>
        </w:rPr>
        <w:br/>
      </w:r>
      <w:r w:rsidRPr="00E60CDA">
        <w:rPr>
          <w:rFonts w:asciiTheme="majorHAnsi" w:hAnsiTheme="majorHAnsi" w:cstheme="majorHAnsi"/>
          <w:sz w:val="24"/>
          <w:szCs w:val="24"/>
          <w:lang w:val="en-US"/>
        </w:rPr>
        <w:t xml:space="preserve">Genotyping was performed at various points in time using multiple platforms. After genotyping, various quality control steps were performed within array: individuals were </w:t>
      </w:r>
      <w:r w:rsidRPr="00E60CDA">
        <w:rPr>
          <w:rFonts w:asciiTheme="majorHAnsi" w:hAnsiTheme="majorHAnsi" w:cstheme="majorHAnsi"/>
          <w:sz w:val="24"/>
          <w:szCs w:val="24"/>
          <w:lang w:val="en-US"/>
        </w:rPr>
        <w:lastRenderedPageBreak/>
        <w:t xml:space="preserve">excluded if (1) the genotyping call rate was below .90, (2) there was a mismatch between DNA sex and expected phenotype, or (3) they had a Plink heterozygosity F statistic &lt; -0.10 or &gt; 0.10. Additionally, we excluded single-nucleotide polymorphism (SNPs) if (1) the minor allele frequency (MAF) was less than .01, (2) the call rate was less than .95, (3) the number of Mendel errors exceeded 20, (4) they differed in allele frequency with the GoNL reference set V4 with more than 10%, or (5) the </w:t>
      </w:r>
      <w:r w:rsidRPr="00E60CDA">
        <w:rPr>
          <w:rFonts w:asciiTheme="majorHAnsi" w:hAnsiTheme="majorHAnsi" w:cstheme="majorHAnsi"/>
          <w:i/>
          <w:sz w:val="24"/>
          <w:szCs w:val="24"/>
          <w:lang w:val="en-US"/>
        </w:rPr>
        <w:t>p</w:t>
      </w:r>
      <w:r w:rsidRPr="00E60CDA">
        <w:rPr>
          <w:rFonts w:asciiTheme="majorHAnsi" w:hAnsiTheme="majorHAnsi" w:cstheme="majorHAnsi"/>
          <w:sz w:val="24"/>
          <w:szCs w:val="24"/>
          <w:lang w:val="en-US"/>
        </w:rPr>
        <w:t>-value of the Hardy-Weinberg equilibrium (HWE) test was less than 1x10</w:t>
      </w:r>
      <w:r w:rsidRPr="00E60CDA">
        <w:rPr>
          <w:rFonts w:asciiTheme="majorHAnsi" w:hAnsiTheme="majorHAnsi" w:cstheme="majorHAnsi"/>
          <w:sz w:val="24"/>
          <w:szCs w:val="24"/>
          <w:vertAlign w:val="superscript"/>
          <w:lang w:val="en-US"/>
        </w:rPr>
        <w:t>-5</w:t>
      </w:r>
      <w:r w:rsidRPr="00E60CDA">
        <w:rPr>
          <w:rFonts w:asciiTheme="majorHAnsi" w:hAnsiTheme="majorHAnsi" w:cstheme="majorHAnsi"/>
          <w:sz w:val="24"/>
          <w:szCs w:val="24"/>
          <w:lang w:val="en-US"/>
        </w:rPr>
        <w:t xml:space="preserve">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{"citationItems":[{"id":"ITEM-1","itemData":{"DOI":"10.1086/519795","ISSN":"0002-9297","abstract":"Whole-genome association studies (WGAS) bring new computational, as well as analytic, challenges to researchers. Many existing genetic-analysis tools are not designed to handle such large data sets in a convenient manner and do not necessarily exploit the new opportunities that whole-genome data bring. To address these issues, we developed PLINK, an open-source C/C++ WGAS tool set. With PLINK, large data sets comprising hundreds of thousands of markers genotyped for thousands of individuals can be rapidly manipulated and analyzed in their entirety. As well as providing tools to make the basic analytic steps computationally efficient, PLINK also supports some novel approaches to whole-genome data that take advantage of whole-genome coverage. We introduce PLINK and describe the five main domains of function: data management, summary statistics, population stratification, association analysis, and identity-by-descent estimation. In particular, we focus on the estimation and use of identity-by-state and identity-by-descent information in the context of population-based whole-genome studies. This information can be used to detect and correct for population stratification and to identify extended chromosomal segments that are shared identical by descent between very distantly related individuals. Analysis of the patterns of segmental sharing has the potential to map disease loci that contain multiple rare variants in a population-based linkage analysis.","author":[{"dropping-particle":"","family":"Purcell","given":"Shaun","non-dropping-particle":"","parse-names":false,"suffix":""},{"dropping-particle":"","family":"Neale","given":"Benjamin","non-dropping-particle":"","parse-names":false,"suffix":""},{"dropping-particle":"","family":"Todd-Brown","given":"Kathe","non-dropping-particle":"","parse-names":false,"suffix":""},{"dropping-particle":"","family":"Thomas","given":"Lori","non-dropping-particle":"","parse-names":false,"suffix":""},{"dropping-particle":"","family":"Ferreira","given":"Manuel A.R.","non-dropping-particle":"","parse-names":false,"suffix":""},{"dropping-particle":"","family":"Bender","given":"David","non-dropping-particle":"","parse-names":false,"suffix":""},{"dropping-particle":"","family":"Maller","given":"Julian","non-dropping-particle":"","parse-names":false,"suffix":""},{"dropping-particle":"","family":"Sklar","given":"Pamela","non-dropping-particle":"","parse-names":false,"suffix":""},{"dropping-particle":"","family":"Bakker","given":"Paul I.W.","non-dropping-particle":"de","parse-names":false,"suffix":""},{"dropping-particle":"","family":"Daly","given":"Mark J.","non-dropping-particle":"","parse-names":false,"suffix":""},{"dropping-particle":"","family":"Sham","given":"Pak C.","non-dropping-particle":"","parse-names":false,"suffix":""}],"container-title":"The American Journal of Human Genetics","id":"ITEM-1","issue":"3","issued":{"date-parts":[["2007","9","1"]]},"page":"559-575","publisher":"Cell Press","title":"PLINK: A Tool Set for Whole-Genome Association and Population-Based Linkage Analyses","type":"article-journal","volume":"81"},"uris":["http://www.mendeley.com/documents/?uuid=4363407e-8646-38dd-8ad1-040240917a8f"]},{"id":"ITEM-2","itemData":{"DOI":"10.1093/bioinformatics/btq559","ISSN":"1460-2059","author":[{"dropping-particle":"","family":"Manichaikul","given":"Ani","non-dropping-particle":"","parse-names":false,"suffix":""},{"dropping-particle":"","family":"Mychaleckyj","given":"Josyf C.","non-dropping-particle":"","parse-names":false,"suffix":""},{"dropping-particle":"","family":"Rich","given":"Stephen S.","non-dropping-particle":"","parse-names":false,"suffix":""},{"dropping-particle":"","family":"Daly","given":"Kathy","non-dropping-particle":"","parse-names":false,"suffix":""},{"dropping-particle":"","family":"Sale","given":"Michèle","non-dropping-particle":"","parse-names":false,"suffix":""},{"dropping-particle":"","family":"Chen","given":"Wei-Min","non-dropping-particle":"","parse-names":false,"suffix":""}],"container-title":"Bioinformatics","id":"ITEM-2","issue":"22","issued":{"date-parts":[["2010","11","15"]]},"page":"2867-2873","publisher":"Narnia","title":"Robust relationship inference in genome-wide association studies","type":"article-journal","volume":"26"},"uris":["http://www.mendeley.com/documents/?uuid=c8ea545f-afd0-3b45-8644-acfb3dc20857"]},{"id":"ITEM-3","itemData":{"DOI":"10.1007/s10519-015-9725-7","ISSN":"0001-8244","author":[{"dropping-particle":"","family":"Fedko","given":"Iryna O.","non-dropping-particle":"","parse-names":false,"suffix":""},{"dropping-particle":"","family":"Hottenga","given":"Jouke-Jan","non-dropping-particle":"","parse-names":false,"suffix":""},{"dropping-particle":"","family":"Medina-Gomez","given":"Carolina","non-dropping-particle":"","parse-names":false,"suffix":""},{"dropping-particle":"","family":"Pappa","given":"Irene","non-dropping-particle":"","parse-names":false,"suffix":""},{"dropping-particle":"","family":"Beijsterveldt","given":"Catharina E. M.","non-dropping-particle":"van","parse-names":false,"suffix":""},{"dropping-particle":"","family":"Ehli","given":"Erik A.","non-dropping-particle":"","parse-names":false,"suffix":""},{"dropping-particle":"","family":"Davies","given":"Gareth E.","non-dropping-particle":"","parse-names":false,"suffix":""},{"dropping-particle":"","family":"Rivadeneira","given":"Fernando","non-dropping-particle":"","parse-names":false,"suffix":""},{"dropping-particle":"","family":"Tiemeier","given":"Henning","non-dropping-particle":"","parse-names":false,"suffix":""},{"dropping-particle":"","family":"Swertz","given":"Morris A.","non-dropping-particle":"","parse-names":false,"suffix":""},{"dropping-particle":"","family":"Middeldorp","given":"Christel M.","non-dropping-particle":"","parse-names":false,"suffix":""},{"dropping-particle":"","family":"Bartels","given":"Meike","non-dropping-particle":"","parse-names":false,"suffix":""},{"dropping-particle":"","family":"Boomsma","given":"Dorret I.","non-dropping-particle":"","parse-names":false,"suffix":""}],"container-title":"Behavior Genetics","id":"ITEM-3","issue":"5","issued":{"date-parts":[["2015","9","3"]]},"page":"514-528","publisher":"Springer US","title":"Estimation of Genetic Relationships Between Individuals Across Cohorts and Platforms: Application to Childhood Height","type":"article-journal","volume":"45"},"uris":["http://www.mendeley.com/documents/?uuid=7fe1ffee-fcd4-32b8-acd8-33778ad5a3dd"]}],"mendeley":{"formattedCitation":"(Fedko et al., 2015; Manichaikul et al., 2010; Purcell et al., 2007)","plainTextFormattedCitation":"(Fedko et al., 2015; Manichaikul et al., 2010; Purcell et al., 2007)","previouslyFormattedCitation":"(Fedko et al., 2015; Manichaikul et al., 2010; Purcell et al., 2007)"},"properties":{"noteIndex":0},"schema":"https://github.com/citation-style-language/schema/raw/master/csl-citation.json"}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(Fedko et al., 2015; Manichaikul et al., 2010; Purcell et al., 2007)</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xml:space="preserve">. Within each array, genotypes were imputed to the GoNL reference set V4 using the MACH-ADMIX software (NTR cross-platform imputation). Based on ~10.6k overlapping SNPs, all genotypes were subsequently imputed to 1000 Genomes phase 3 version 5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{"citationItems":[{"id":"ITEM-1","itemData":{"DOI":"10.1038/ejhg.2014.19","ISSN":"1018-4813","abstract":"Improved imputation quality of low-frequency and rare variants in European samples using the ‘Genome of The Netherlands’","author":[{"dropping-particle":"","family":"Deelen","given":"Patrick","non-dropping-particle":"","parse-names":false,"suffix":""},{"dropping-particle":"","family":"Menelaou","given":"Androniki","non-dropping-particle":"","parse-names":false,"suffix":""},{"dropping-particle":"","family":"Leeuwen","given":"Elisabeth M","non-dropping-particle":"van","parse-names":false,"suffix":""},{"dropping-particle":"","family":"Kanterakis","given":"Alexandros","non-dropping-particle":"","parse-names":false,"suffix":""},{"dropping-particle":"","family":"Dijk","given":"Freerk","non-dropping-particle":"van","parse-names":false,"suffix":""},{"dropping-particle":"","family":"Medina-Gomez","given":"Carolina","non-dropping-particle":"","parse-names":false,"suffix":""},{"dropping-particle":"","family":"Francioli","given":"Laurent C","non-dropping-particle":"","parse-names":false,"suffix":""},{"dropping-particle":"","family":"Hottenga","given":"Jouke Jan","non-dropping-particle":"","parse-names":false,"suffix":""},{"dropping-particle":"","family":"Karssen","given":"Lennart C","non-dropping-particle":"","parse-names":false,"suffix":""},{"dropping-particle":"","family":"Estrada","given":"Karol","non-dropping-particle":"","parse-names":false,"suffix":""},{"dropping-particle":"","family":"Kreiner-Møller","given":"Eskil","non-dropping-particle":"","parse-names":false,"suffix":""},{"dropping-particle":"","family":"Rivadeneira","given":"Fernando","non-dropping-particle":"","parse-names":false,"suffix":""},{"dropping-particle":"","family":"Setten","given":"Jessica","non-dropping-particle":"van","parse-names":false,"suffix":""},{"dropping-particle":"","family":"Gutierrez-Achury","given":"Javier","non-dropping-particle":"","parse-names":false,"suffix":""},{"dropping-particle":"","family":"Westra","given":"Harm-Jan","non-dropping-particle":"","parse-names":false,"suffix":""},{"dropping-particle":"","family":"Franke","given":"Lude","non-dropping-particle":"","parse-names":false,"suffix":""},{"dropping-particle":"","family":"Enckevort","given":"David","non-dropping-particle":"van","parse-names":false,"suffix":""},{"dropping-particle":"","family":"Dijkstra","given":"Martijn","non-dropping-particle":"","parse-names":false,"suffix":""},{"dropping-particle":"","family":"Byelas","given":"Heorhiy","non-dropping-particle":"","parse-names":false,"suffix":""},{"dropping-particle":"","family":"Duijn","given":"Cornelia M","non-dropping-particle":"van","parse-names":false,"suffix":""},{"dropping-particle":"","family":"Bakker","given":"Paul I W","non-dropping-particle":"de","parse-names":false,"suffix":""},{"dropping-particle":"","family":"Wijmenga","given":"Cisca","non-dropping-particle":"","parse-names":false,"suffix":""},{"dropping-particle":"","family":"Swertz","given":"Morris A","non-dropping-particle":"","parse-names":false,"suffix":""},{"dropping-particle":"van","family":"Dijk","given":"Freerk","non-dropping-particle":"","parse-names":false,"suffix":""},{"dropping-particle":"","family":"Menelaou","given":"Androniki","non-dropping-particle":"","parse-names":false,"suffix":""},{"dropping-particle":"","family":"Neerincx","given":"Pieter B T","non-dropping-particle":"","parse-names":false,"suffix":""},{"dropping-particle":"","family":"Pulit","given":"Sara L","non-dropping-particle":"","parse-names":false,"suffix":""},{"dropping-particle":"","family":"Deelen","given":"Patrick","non-dropping-particle":"","parse-names":false,"suffix":""},{"dropping-particle":"","family":"Elbers","given":"Clara C","non-dropping-particle":"","parse-names":false,"suffix":""},{"dropping-particle":"","family":"Palamara","given":"Pier Francesco","non-dropping-particle":"","parse-names":false,"suffix":""},{"dropping-particle":"","family":"Pe'er","given":"Itsik","non-dropping-particle":"","parse-names":false,"suffix":""},{"dropping-particle":"","family":"Abdellaoui","given":"Abdel","non-dropping-particle":"","parse-names":false,"suffix":""},{"dropping-particle":"","family":"Kloosterman","given":"Wigard P","non-dropping-particle":"","parse-names":false,"suffix":""},{"dropping-particle":"van","family":"Oven","given":"Mannis","non-dropping-particle":"","parse-names":false,"suffix":""},{"dropping-particle":"","family":"Vermaat","given":"Martijn","non-dropping-particle":"","parse-names":false,"suffix":""},{"dropping-particle":"","family":"Li","given":"Mingkun","non-dropping-particle":"","parse-names":false,"suffix":""},{"dropping-particle":"","family":"Laros","given":"Jeroen F J","non-dropping-particle":"","parse-names":false,"suffix":""},{"dropping-particle":"","family":"Stoneking","given":"Mark","non-dropping-particle":"","parse-names":false,"suffix":""},{"dropping-particle":"de","family":"Knijff","given":"Peter","non-dropping-particle":"","parse-names":false,"suffix":""},{"dropping-particle":"","family":"Kayser","given":"Manfred","non-dropping-particle":"","parse-names":false,"suffix":""},{"dropping-particle":"","family":"Veldink","given":"Jan H","non-dropping-particle":"","parse-names":false,"suffix":""},{"dropping-particle":"van den","family":"Berg","given":"Leonard H","non-dropping-particle":"","parse-names":false,"suffix":""},{"dropping-particle":"","family":"Byelas","given":"Heorhiy","non-dropping-particle":"","parse-names":false,"suffix":""},{"dropping-particle":"den","family":"Dunnen","given":"Johan T","non-dropping-particle":"","parse-names":false,"suffix":""},{"dropping-particle":"","family":"Dijkstra","given":"Martijn","non-dropping-particle":"","parse-names":false,"suffix":""},{"dropping-particle":"","family":"Amin","given":"Najaf","non-dropping-particle":"","parse-names":false,"suffix":""},{"dropping-particle":"van der","family":"Velde","given":"K Joeri","non-dropping-particle":"","parse-names":false,"suffix":""},{"dropping-particle":"","family":"Hottenga","given":"Jouke Jan","non-dropping-particle":"","parse-names":false,"suffix":""},{"dropping-particle":"van","family":"Setten","given":"Jessica","non-dropping-particle":"","parse-names":false,"suffix":""},{"dropping-particle":"van","family":"Leeuwen","given":"Elisabeth M","non-dropping-particle":"","parse-names":false,"suffix":""},{"dropping-particle":"","family":"Kanterakis","given":"Alexandros","non-dropping-particle":"","parse-names":false,"suffix":""},{"dropping-particle":"","family":"Kattenberg","given":"Mathijs","non-dropping-particle":"","parse-names":false,"suffix":""},{"dropping-particle":"","family":"Karssen","given":"Lennart C","non-dropping-particle":"","parse-names":false,"suffix":""},{"dropping-particle":"van","family":"Schaik","given":"Barbera D C","non-dropping-particle":"","parse-names":false,"suffix":""},{"dropping-particle":"","family":"Bot","given":"Jan","non-dropping-particle":"","parse-names":false,"suffix":""},{"dropping-particle":"","family":"Nijman","given":"Isaäuc J","non-dropping-particle":"","parse-names":false,"suffix":""},{"dropping-particle":"van","family":"Enckevort","given":"David","non-dropping-particle":"","parse-names":false,"suffix":""},{"dropping-particle":"","family":"Mei","given":"Hailiang","non-dropping-particle":"","parse-names":false,"suffix":""},{"dropping-particle":"","family":"Koval","given":"Vyacheslav","non-dropping-particle":"","parse-names":false,"suffix":""},{"dropping-particle":"","family":"Ye","given":"Kai","non-dropping-particle":"","parse-names":false,"suffix":""},{"dropping-particle":"","family":"Lameijer","given":"Eric-Wubbo","non-dropping-particle":"","parse-names":false,"suffix":""},{"dropping-particle":"","family":"Moed","given":"Matthijs H","non-dropping-particle":"","parse-names":false,"suffix":""},{"dropping-particle":"","family":"Hehir-Kwa","given":"Jayne Y","non-dropping-particle":"","parse-names":false,"suffix":""},{"dropping-particle":"","family":"Handsaker","given":"Robert E","non-dropping-particle":"","parse-names":false,"suffix":""},{"dropping-particle":"","family":"Sunyaev","given":"Shamil R","non-dropping-particle":"","parse-names":false,"suffix":""},{"dropping-particle":"","family":"Sohail","given":"Mashaal","non-dropping-particle":"","parse-names":false,"suffix":""},{"dropping-particle":"","family":"Hormozdiari","given":"Fereydoun","non-dropping-particle":"","parse-names":false,"suffix":""},{"dropping-particle":"","family":"Marschall","given":"Tobias","non-dropping-particle":"","parse-names":false,"suffix":""},{"dropping-particle":"","family":"Marschall","given":"Schönhuth","non-dropping-particle":"","parse-names":false,"suffix":""},{"dropping-particle":"","family":"Guryev","given":"Victor","non-dropping-particle":"","parse-names":false,"suffix":""},{"dropping-particle":"de","family":"Bakker","given":"Paul I W","non-dropping-particle":"","parse-names":false,"suffix":""},{"dropping-particle":"","family":"Slagboom","given":"P Eline","non-dropping-particle":"","parse-names":false,"suffix":""},{"dropping-particle":"","family":"Beekman","given":"Marian B","non-dropping-particle":"","parse-names":false,"suffix":""},{"dropping-particle":"de","family":"Craen","given":"Anton J M","non-dropping-particle":"","parse-names":false,"suffix":""},{"dropping-particle":"","family":"Suchiman","given":"H Eka D","non-dropping-particle":"","parse-names":false,"suffix":""},{"dropping-particle":"","family":"Hofman","given":"Albert","non-dropping-particle":"","parse-names":false,"suffix":""},{"dropping-particle":"van","family":"Duijn","given":"Cornelia","non-dropping-particle":"","parse-names":false,"suffix":""},{"dropping-particle":"","family":"Boomsma","given":"Dorret I","non-dropping-particle":"","parse-names":false,"suffix":""},{"dropping-particle":"","family":"Willemsen","given":"Gonneke","non-dropping-particle":"","parse-names":false,"suffix":""},{"dropping-particle":"","family":"Wolffenbuttel","given":"Bruce H","non-dropping-particle":"","parse-names":false,"suffix":""},{"dropping-particle":"","family":"Platteel","given":"Mathieu","non-dropping-particle":"","parse-names":false,"suffix":""},{"dropping-particle":"","family":"Pitts","given":"Steven J","non-dropping-particle":"","parse-names":false,"suffix":""},{"dropping-particle":"","family":"Potluri","given":"Shobha","non-dropping-particle":"","parse-names":false,"suffix":""},{"dropping-particle":"","family":"Cox","given":"David R","non-dropping-particle":"","parse-names":false,"suffix":""},{"dropping-particle":"","family":"Li","given":"Qibin","non-dropping-particle":"","parse-names":false,"suffix":""},{"dropping-particle":"","family":"Li","given":"Yingrui","non-dropping-particle":"","parse-names":false,"suffix":""},{"dropping-particle":"","family":"Du","given":"Yuanping","non-dropping-particle":"","parse-names":false,"suffix":""},{"dropping-particle":"","family":"Chen","given":"Ruoyan","non-dropping-particle":"","parse-names":false,"suffix":""},{"dropping-particle":"","family":"Cao","given":"Hongzhi","non-dropping-particle":"","parse-names":false,"suffix":""},{"dropping-particle":"","family":"Li","given":"Ning","non-dropping-particle":"","parse-names":false,"suffix":""},{"dropping-particle":"","family":"Cao","given":"Sujie","non-dropping-particle":"","parse-names":false,"suffix":""},{"dropping-particle":"","family":"Wang","given":"Jun","non-dropping-particle":"","parse-names":false,"suffix":""},{"dropping-particle":"","family":"Bovenberg","given":"Jasper A","non-dropping-particle":"","parse-names":false,"suffix":""},{"dropping-particle":"","family":"committee","given":"Steering","non-dropping-particle":"","parse-names":false,"suffix":""},{"dropping-particle":"","family":"Wijmenga","given":"Cisca","non-dropping-particle":"","parse-names":false,"suffix":""},{"dropping-particle":"","family":"Swertz","given":"Morris A","non-dropping-particle":"","parse-names":false,"suffix":""},{"dropping-particle":"van","family":"Duijn","given":"Cornelia M","non-dropping-particle":"","parse-names":false,"suffix":""},{"dropping-particle":"","family":"Boomsma","given":"Dorret I","non-dropping-particle":"","parse-names":false,"suffix":""},{"dropping-particle":"","family":"Slagboom","given":"P Eline","non-dropping-particle":"","parse-names":false,"suffix":""},{"dropping-particle":"van","family":"Ommen","given":"Gertjan B","non-dropping-particle":"","parse-names":false,"suffix":""},{"dropping-particle":"de","family":"Bakker","given":"Paul I W","non-dropping-particle":"","parse-names":false,"suffix":""},{"dropping-particle":"de","family":"Bakker","given":"Paul I W","non-dropping-particle":"","parse-names":false,"suffix":""},{"dropping-particle":"","family":"Wijmenga","given":"Cisca","non-dropping-particle":"","parse-names":false,"suffix":""},{"dropping-particle":"","family":"Swertz","given":"Morris A","non-dropping-particle":"","parse-names":false,"suffix":""}],"container-title":"European Journal of Human Genetics","id":"ITEM-1","issue":"11","issued":{"date-parts":[["2014","11","4"]]},"page":"1321-1326","publisher":"Nature Publishing Group","title":"Improved imputation quality of low-frequency and rare variants in European samples using the ‘Genome of The Netherlands’","type":"article-journal","volume":"22"},"uris":["http://www.mendeley.com/documents/?uuid=e20ce082-f1b6-33c9-9718-c0bb0a0af6a5"]},{"id":"ITEM-2","itemData":{"DOI":"10.1038/nature15393","ISSN":"0028-0836","abstract":"Results for the final phase of the 1000 Genomes Project are presented including whole-genome sequencing, targeted exome sequencing, and genotyping on high-density SNP arrays for 2,504 individuals across 26 populations, providing a global reference data set to support biomedical genetics.","author":[{"dropping-particle":"","family":"Consortium","given":"The 1000 Genomes Project","non-dropping-particle":"","parse-names":false,"suffix":""}],"container-title":"Nature","id":"ITEM-2","issue":"7571","issued":{"date-parts":[["2015","10","30"]]},"page":"68-74","publisher":"Nature Publishing Group","title":"A global reference for human genetic variation","type":"article-journal","volume":"526"},"uris":["http://www.mendeley.com/documents/?uuid=f51e5404-a</w:instrText>
      </w:r>
      <w:r w:rsidRPr="00E60CDA">
        <w:rPr>
          <w:rFonts w:asciiTheme="majorHAnsi" w:hAnsiTheme="majorHAnsi" w:cstheme="majorHAnsi"/>
          <w:sz w:val="24"/>
          <w:szCs w:val="24"/>
        </w:rPr>
        <w:instrText>c92-35b1-967d-582ff975d284"]},{"id":"ITEM-3","itemData":{"DOI":"10.1002/gepi.21690","ISSN":"07410395","author":[{"dropping-particle":"","family":"Liu","given":"Eric Yi","non-dropping-particle":"","parse-names":false,"suffix":""},{"dropping-particle":"","family":"Li","given":"Mingyao","non-dropping-particle":"","parse-names":false,"suffix":""},{"dropping-particle":"","family":"Wang","given":"Wei","non-dropping-particle":"","parse-names":false,"suffix":""},{"dropping-particle":"","family":"Li","given":"Yun","non-dropping-particle":"","parse-names":false,"suffix":""}],"container-title":"Genetic Epidemiology","id":"ITEM-3","issue":"1","issued":{"date-parts":[["2013","1","1"]]},"page":"25-37","publisher":"John Wiley &amp; Sons, Ltd","title":"MaCH-Admix: Genotype Imputation for Admixed Populations","type":"article-journal","volume":"37"},"uris":["http://www.mendeley.com/documents/?uuid=c6498226-6187-3d09-b7ed-f62e83b7dd80"]}],"mendeley":{"formattedCitation":"(T. 1000 G. P. Consortium, 2015; Deelen et al., 2014; Liu, Li, Wang, &amp; Li, 2013)","manualFormatting":"(1000 Genomes Project Consortium, 2015; Deelen et al., 2014; Liu, Li, Wang, &amp; Li, 2013)","plainTextFormattedCitation":"(T. 1000 G. P. Consortium, 2015; Deelen et al., 2014; Liu, Li, Wang, &amp; Li, 2013)","previouslyFormattedCitation":"(T. 1000 G. P. Consortium, 2015; Deelen et al., 2014; Liu, Li, Wang, &amp; Li, 2013)"},"properties":{"noteIndex":0},"schema":"https://github.com/citation-style-language/schema/raw/master/csl-citation.json"}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rPr>
        <w:t>(1000 Genomes Project Consortium, 2015; Deelen et al., 2014; Liu, Li, Wang, &amp; Li, 2013)</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rPr>
        <w:t xml:space="preserve">. </w:t>
      </w:r>
      <w:r w:rsidRPr="00E60CDA">
        <w:rPr>
          <w:rFonts w:asciiTheme="majorHAnsi" w:hAnsiTheme="majorHAnsi" w:cstheme="majorHAnsi"/>
          <w:sz w:val="24"/>
          <w:szCs w:val="24"/>
        </w:rPr>
        <w:br/>
        <w:t xml:space="preserve"> </w:t>
      </w:r>
      <w:r w:rsidRPr="00E60CDA">
        <w:rPr>
          <w:rFonts w:asciiTheme="majorHAnsi" w:hAnsiTheme="majorHAnsi" w:cstheme="majorHAnsi"/>
          <w:sz w:val="24"/>
          <w:szCs w:val="24"/>
        </w:rPr>
        <w:tab/>
      </w:r>
      <w:r w:rsidRPr="00E60CDA">
        <w:rPr>
          <w:rFonts w:asciiTheme="majorHAnsi" w:hAnsiTheme="majorHAnsi" w:cstheme="majorHAnsi"/>
          <w:sz w:val="24"/>
          <w:szCs w:val="24"/>
          <w:lang w:val="en-US"/>
        </w:rPr>
        <w:t>After imputation, we removed SNPs with: (1) a Mendelian error rate of more than 3 standard deviations from the mean, (2) an R</w:t>
      </w:r>
      <w:r w:rsidRPr="00E60CDA">
        <w:rPr>
          <w:rFonts w:asciiTheme="majorHAnsi" w:hAnsiTheme="majorHAnsi" w:cstheme="majorHAnsi"/>
          <w:sz w:val="24"/>
          <w:szCs w:val="24"/>
          <w:vertAlign w:val="superscript"/>
          <w:lang w:val="en-US"/>
        </w:rPr>
        <w:t>2</w:t>
      </w:r>
      <w:r w:rsidRPr="00E60CDA">
        <w:rPr>
          <w:rFonts w:asciiTheme="majorHAnsi" w:hAnsiTheme="majorHAnsi" w:cstheme="majorHAnsi"/>
          <w:sz w:val="24"/>
          <w:szCs w:val="24"/>
          <w:lang w:val="en-US"/>
        </w:rPr>
        <w:t xml:space="preserve"> imputation quality metric below .90, (3) a significant association with the micro-array platform with a p-value &lt;1 x 10</w:t>
      </w:r>
      <w:r w:rsidRPr="00E60CDA">
        <w:rPr>
          <w:rFonts w:asciiTheme="majorHAnsi" w:hAnsiTheme="majorHAnsi" w:cstheme="majorHAnsi"/>
          <w:sz w:val="24"/>
          <w:szCs w:val="24"/>
          <w:vertAlign w:val="superscript"/>
          <w:lang w:val="en-US"/>
        </w:rPr>
        <w:t>-5</w:t>
      </w:r>
      <w:r w:rsidRPr="00E60CDA">
        <w:rPr>
          <w:rFonts w:asciiTheme="majorHAnsi" w:hAnsiTheme="majorHAnsi" w:cstheme="majorHAnsi"/>
          <w:sz w:val="24"/>
          <w:szCs w:val="24"/>
          <w:lang w:val="en-US"/>
        </w:rPr>
        <w:t xml:space="preserve"> , or (4) a HWA p-value &lt;1 x 10</w:t>
      </w:r>
      <w:r w:rsidRPr="00E60CDA">
        <w:rPr>
          <w:rFonts w:asciiTheme="majorHAnsi" w:hAnsiTheme="majorHAnsi" w:cstheme="majorHAnsi"/>
          <w:sz w:val="24"/>
          <w:szCs w:val="24"/>
          <w:vertAlign w:val="superscript"/>
          <w:lang w:val="en-US"/>
        </w:rPr>
        <w:t>-5</w:t>
      </w:r>
      <w:r w:rsidRPr="00E60CDA">
        <w:rPr>
          <w:rFonts w:asciiTheme="majorHAnsi" w:hAnsiTheme="majorHAnsi" w:cstheme="majorHAnsi"/>
          <w:sz w:val="24"/>
          <w:szCs w:val="24"/>
          <w:lang w:val="en-US"/>
        </w:rPr>
        <w:t xml:space="preserve">. We identified non-Dutch ancestry with Principal Components Analysis (PCA), projecting 10 principal components form the 1000 genomes reference set on the NTR cross-platform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{"citationItems":[{"id":"ITEM-1","itemData":{"DOI":"10.1038/ng1847","ISSN":"1061-4036","abstract":"Population stratification—allele frequency differences between cases and controls due to systematic ancestry differences—can cause spurious associations in disease studies. We describe a method that enables explicit detection and correction of population stratification on a genome-wide scale. Our method uses principal components analysis to explicitly model ancestry differences between cases and controls. The resulting correction is specific to a candidate marker's variation in frequency across ancestral populations, minimizing spurious associations while maximizing power to detect true associations. Our simple, efficient approach can easily be applied to disease studies with hundreds of thousands of markers.","author":[{"dropping-particle":"","family":"Price","given":"Alkes L","non-dropping-particle":"","parse-names":false,"suffix":""},{"dropping-particle":"","family":"Patterson","given":"Nick J","non-dropping-particle":"","parse-names":false,"suffix":""},{"dropping-particle":"","family":"Plenge","given":"Robert M","non-dropping-particle":"","parse-names":false,"suffix":""},{"dropping-particle":"","family":"Weinblatt","given":"Michael E","non-dropping-particle":"","parse-names":false,"suffix":""},{"dropping-particle":"","family":"Shadick","given":"Nancy A","non-dropping-particle":"","parse-names":false,"suffix":""},{"dropping-particle":"","family":"Reich","given":"David","non-dropping-particle":"","parse-names":false,"suffix":""}],"container-title":"Nature Genetics","id":"ITEM-1","issue":"8","issued":{"date-parts":[["2006","8","23"]]},"page":"904-909","publisher":"Nature Publishing Group","title":"Principal components analysis corrects for stratification in genome-wide association studies","type":"article-journal","volume":"38"},"uris":["http://www.mendeley.com/documents/?uuid=1e589b38-a8fa-3229-9f54-cac13fe1071b"]}],"mendeley":{"formattedCitation":"(Price et al., 2006)","plainTextFormattedCitation":"(Price et al., 2006)","previouslyFormattedCitation":"(Price et al., 2006)"},"properties":{"noteIndex":0},"schema":"https://github.com/citation-style-language/schema/raw/master/csl-citation.json"}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(Price et al., 2006)</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xml:space="preserve">. We excluded individuals with principal component values other than European and/or British populations, and recalculated 10 principal components to capture the variation within the Netherlands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{"citationItems":[{"id":"ITEM-1","itemData":{"DOI":"10.1038/ejhg.2013.48","ISSN":"1018-4813","abstract":"Population structure, migration, and diversifying selection in the Netherlands","author":[{"dropping-particle":"","family":"Abdellaoui","given":"Abdel","non-dropping-particle":"","parse-names":false,"suffix":""},{"dropping-particle":"","family":"Hottenga","given":"Jouke-Jan","non-dropping-particle":"","parse-names":false,"suffix":""},{"dropping-particle":"de","family":"Knijff","given":"Peter","non-dropping-particle":"","parse-names":false,"suffix":""},{"dropping-particle":"","family":"Nivard","given":"Michel G","non-dropping-particle":"","parse-names":false,"suffix":""},{"dropping-particle":"","family":"Xiao","given":"Xiangjun","non-dropping-particle":"","parse-names":false,"suffix":""},{"dropping-particle":"","family":"Scheet","given":"Paul","non-dropping-particle":"","parse-names":false,"suffix":""},{"dropping-particle":"","family":"Brooks","given":"Andrew","non-dropping-particle":"","parse-names":false,"suffix":""},{"dropping-particle":"","family":"Ehli","given":"Erik A","non-dropping-particle":"","parse-names":false,"suffix":""},{"dropping-particle":"","family":"Hu","given":"Yueshan","non-dropping-particle":"","parse-names":false,"suffix":""},{"dropping-particle":"","family":"Davies","given":"Gareth E","non-dropping-particle":"","parse-names":false,"suffix":""},{"dropping-particle":"","family":"Hudziak","given":"James J","non-dropping-particle":"","parse-names":false,"suffix":""},{"dropping-particle":"","family":"Sullivan","given":"Patrick F","non-dropping-particle":"","parse-names":false,"suffix":""},{"dropping-particle":"","family":"Beijsterveldt","given":"Toos","non-dropping-particle":"van","parse-names":false,"suffix":""},{"dropping-particle":"","family":"Willemsen","given":"Gonneke","non-dropping-particle":"","parse-names":false,"suffix":""},{"dropping-particle":"","family":"Geus","given":"Eco J","non-dropping-particle":"de","parse-names":false,"suffix":""},{"dropping-particle":"","family":"Penninx","given":"Brenda W J H","non-dropping-particle":"","parse-names":false,"suffix":""},{"dropping-particle":"","family":"Boomsma","given":"Dorret I","non-dropping-particle":"","parse-names":false,"suffix":""}],"container-title":"European Journal of Human Genetics","id":"ITEM-1","issue":"11","issued":{"date-parts":[["2013","11","27"]]},"page":"1277-1285","publisher":"Nature Publishing Group","title":"Population structure, migration, and diversifying selection in the Netherlands","type":"article-journal","volume":"21"},"uris":["http://www.mendeley.com/documents/?uuid=a8b7ca48-c11b-3843-a1c8-817e7c325ad6"]}],"mendeley":{"formattedCitation":"(Abdel Abdellaoui et al., 2013)","manualFormatting":"(Abdellaoui et al., 2013)","plainTextFormattedCitation":"(Abdel Abdellaoui et al., 2013)","previouslyFormattedCitation":"(Abdel Abdellaoui et al., 2013)"},"properties":{"noteIndex":0},"schema":"https://github.com/citation-style-language/schema/raw/master/csl-citation.json"}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(Abdellaoui et al., 2013)</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w:t>
      </w:r>
    </w:p>
    <w:p w14:paraId="63A3A256" w14:textId="2DCB0D03" w:rsidR="0020002B" w:rsidRDefault="0020002B" w:rsidP="0020002B">
      <w:pPr>
        <w:spacing w:line="480" w:lineRule="auto"/>
        <w:rPr>
          <w:rFonts w:asciiTheme="majorHAnsi" w:hAnsiTheme="majorHAnsi" w:cstheme="majorHAnsi"/>
          <w:sz w:val="24"/>
          <w:szCs w:val="24"/>
          <w:lang w:val="en-US"/>
        </w:rPr>
      </w:pPr>
      <w:r w:rsidRPr="00E60CDA">
        <w:rPr>
          <w:rFonts w:asciiTheme="majorHAnsi" w:hAnsiTheme="majorHAnsi" w:cstheme="majorHAnsi"/>
          <w:b/>
          <w:sz w:val="24"/>
          <w:szCs w:val="24"/>
          <w:lang w:val="en-US"/>
        </w:rPr>
        <w:t>Polygenic score</w:t>
      </w:r>
      <w:r w:rsidRPr="00E60CDA">
        <w:rPr>
          <w:rFonts w:asciiTheme="majorHAnsi" w:hAnsiTheme="majorHAnsi" w:cstheme="majorHAnsi"/>
          <w:b/>
          <w:sz w:val="24"/>
          <w:szCs w:val="24"/>
          <w:lang w:val="en-US"/>
        </w:rPr>
        <w:br/>
      </w:r>
      <w:r w:rsidRPr="00E60CDA">
        <w:rPr>
          <w:rFonts w:asciiTheme="majorHAnsi" w:hAnsiTheme="majorHAnsi" w:cstheme="majorHAnsi"/>
          <w:sz w:val="24"/>
          <w:szCs w:val="24"/>
          <w:lang w:val="en-US"/>
        </w:rPr>
        <w:t xml:space="preserve">A polygenic score is based on SNPs that are related to a certain outcome. Genome Wide Association Studies (GWAS) use genetic data of large samples to find such relevant SNPs and provide publicly accessible summary statistics for the effect size of specific SNPs on the trait of interest. Using such summary statistics allows </w:t>
      </w:r>
      <w:r>
        <w:rPr>
          <w:rFonts w:asciiTheme="majorHAnsi" w:hAnsiTheme="majorHAnsi" w:cstheme="majorHAnsi"/>
          <w:sz w:val="24"/>
          <w:szCs w:val="24"/>
          <w:lang w:val="en-US"/>
        </w:rPr>
        <w:t xml:space="preserve">researchers </w:t>
      </w:r>
      <w:r w:rsidRPr="00E60CDA">
        <w:rPr>
          <w:rFonts w:asciiTheme="majorHAnsi" w:hAnsiTheme="majorHAnsi" w:cstheme="majorHAnsi"/>
          <w:sz w:val="24"/>
          <w:szCs w:val="24"/>
          <w:lang w:val="en-US"/>
        </w:rPr>
        <w:t xml:space="preserve">to create an individual polygenic </w:t>
      </w:r>
      <w:r w:rsidRPr="00E60CDA">
        <w:rPr>
          <w:rFonts w:asciiTheme="majorHAnsi" w:hAnsiTheme="majorHAnsi" w:cstheme="majorHAnsi"/>
          <w:sz w:val="24"/>
          <w:szCs w:val="24"/>
          <w:lang w:val="en-US"/>
        </w:rPr>
        <w:lastRenderedPageBreak/>
        <w:t xml:space="preserve">score for all genotyped participants, weighing the predictive value of each individual SNPs and generating an overall predictive ‘genetic score’ (GS,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{"citationItems":[{"id":"ITEM-1","itemData":{"DOI":"10.1371/journal.pgen.1003348","ISSN":"1553-7404","PMID":"23555274","abstract":"Polygenic scores have recently been used to summarise genetic effects among an ensemble of markers that do not individually achieve significance in a large-scale association study. Markers are selected using an initial training sample and used to construct a score in an independent replication sample by forming the weighted sum of associated alleles within each subject. Association between a trait and this composite score implies that a genetic signal is present among the selected markers, and the score can then be used for prediction of individual trait values. This approach has been used to obtain evidence of a genetic effect when no single markers are significant, to establish a common genetic basis for related disorders, and to construct risk prediction models. In some cases, however, the desired association or prediction has not been achieved. Here, the power and predictive accuracy of a polygenic score are derived from a quantitative genetics model as a function of the sizes of the two samples, explained genetic variance, selection thresholds for including a marker in the score, and methods for weighting effect sizes in the score. Expressions are derived for quantitative and discrete traits, the latter allowing for case/control sampling. A novel approach to estimating the variance explained by a marker panel is also proposed. It is shown that published studies with significant association of polygenic scores have been well powered, whereas those with negative results can be explained by low sample size. It is also shown that useful levels of prediction may only be approached when predictors are estimated from very large samples, up to an order of magnitude greater than currently available. Therefore, polygenic scores currently have more utility for association testing than predicting complex traits, but prediction will become more feasible as sample sizes continue to grow.","author":[{"dropping-particle":"","family":"Dudbridge","given":"Frank","non-dropping-particle":"","parse-names":false,"suffix":""}],"container-title":"PLoS genetics","id":"ITEM-1","issue":"3","issued":{"date-parts":[["2013","3"]]},"page":"e1003348","publisher":"Public Library of Science","title":"Power and predictive accuracy of polygenic risk scores.","type":"article-journal","volume":"9"},"uris":["http://www.mendeley.com/documents/?uuid=e682b34f-d4f2-3ab3-ad9b-524cb8744bf6"]}],"mendeley":{"formattedCitation":"(Dudbridge, 2013)","manualFormatting":"Dudbridge, 2013)","plainTextFormattedCitation":"(Dudbridge, 2013)","previouslyFormattedCitation":"(Dudbridge, 2013)"},"properties":{"noteIndex":0},"schema":"https://github.com/citation-style-language/schema/raw/master/csl-citation.json"}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Dudbridge, 2013)</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xml:space="preserve">. As such, with a polygenic score, </w:t>
      </w:r>
      <w:r>
        <w:rPr>
          <w:rFonts w:asciiTheme="majorHAnsi" w:hAnsiTheme="majorHAnsi" w:cstheme="majorHAnsi"/>
          <w:sz w:val="24"/>
          <w:szCs w:val="24"/>
          <w:lang w:val="en-US"/>
        </w:rPr>
        <w:t>one can</w:t>
      </w:r>
      <w:r w:rsidRPr="00E60CDA">
        <w:rPr>
          <w:rFonts w:asciiTheme="majorHAnsi" w:hAnsiTheme="majorHAnsi" w:cstheme="majorHAnsi"/>
          <w:sz w:val="24"/>
          <w:szCs w:val="24"/>
          <w:lang w:val="en-US"/>
        </w:rPr>
        <w:t xml:space="preserve"> (partly) capture someone’s genetic propensity for a trait by summing all risk alleles the person has</w:t>
      </w:r>
      <w:r>
        <w:rPr>
          <w:rFonts w:asciiTheme="majorHAnsi" w:hAnsiTheme="majorHAnsi" w:cstheme="majorHAnsi"/>
          <w:sz w:val="24"/>
          <w:szCs w:val="24"/>
          <w:lang w:val="en-US"/>
        </w:rPr>
        <w:t>,</w:t>
      </w:r>
      <w:r w:rsidRPr="00E60CDA">
        <w:rPr>
          <w:rFonts w:asciiTheme="majorHAnsi" w:hAnsiTheme="majorHAnsi" w:cstheme="majorHAnsi"/>
          <w:sz w:val="24"/>
          <w:szCs w:val="24"/>
          <w:lang w:val="en-US"/>
        </w:rPr>
        <w:t xml:space="preserve"> weighted by the effect sizes estimated in the GWAS. </w:t>
      </w:r>
      <w:r w:rsidRPr="00E60CDA">
        <w:rPr>
          <w:rFonts w:asciiTheme="majorHAnsi" w:hAnsiTheme="majorHAnsi" w:cstheme="majorHAnsi"/>
          <w:sz w:val="24"/>
          <w:szCs w:val="24"/>
          <w:lang w:val="en-US"/>
        </w:rPr>
        <w:br/>
        <w:t xml:space="preserve"> </w:t>
      </w:r>
      <w:r w:rsidRPr="00E60CDA">
        <w:rPr>
          <w:rFonts w:asciiTheme="majorHAnsi" w:hAnsiTheme="majorHAnsi" w:cstheme="majorHAnsi"/>
          <w:sz w:val="24"/>
          <w:szCs w:val="24"/>
          <w:lang w:val="en-US"/>
        </w:rPr>
        <w:tab/>
        <w:t xml:space="preserve">There is no GWAS specifically for self-control, so we created a polygenic score based on a GWAS on a trait closely related to self-control, namely the most recent attention deficit hyperactivity disorder (ADHD) GWAS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{"citationItems":[{"id":"ITEM-1","itemData":{"DOI":"10.1038/s41588-018-0269-7","ISSN":"1061-4036","abstract":"Attention deficit/hyperactivity disorder (ADHD) is a highly heritable childhood behavioral disorder affecting 5% of children and 2.5% of adults. Common genetic variants contribute substantially to ADHD susceptibility, but no variants have been robustly associated with ADHD. We report a genome-wide association meta-analysis of 20,183 individuals diagnosed with ADHD and 35,191 controls that identifies variants surpassing genome-wide significance in 12 independent loci, finding important new information about the underlying biology of ADHD. Associations are enriched in evolutionarily constrained genomic regions and loss-of-function intolerant genes and around brain-expressed regulatory marks. Analyses of three replication studies: a cohort of individuals diagnosed with ADHD, a self-reported ADHD sample and a meta-analysis of quantitative measures of ADHD symptoms in the population, support these findings while highlighting study-specific differences on genetic overlap with educational attainment. Strong concordance with GWAS of quantitative population measures of ADHD symptoms supports that clinical diagnosis of ADHD is an extreme expression of continuous heritable traits.","author":[{"dropping-particle":"","family":"Demontis","given":"Ditte","non-dropping-particle":"","parse-names":false,"suffix":""},{"dropping-particle":"","family":"Walters","given":"Raymond K.","non-dropping-particle":"","parse-names":false,"suffix":""},{"dropping-particle":"","family":"Martin","given":"Joanna","non-dropping-particle":"","parse-names":false,"suffix":""},{"dropping-particle":"","family":"Mattheisen","given":"Manuel","non-dropping-particle":"","parse-names":false,"suffix":""},{"dropping-particle":"","family":"Als","given":"Thomas D.","non-dropping-particle":"","parse-names":false,"suffix":""},{"dropping-particle":"","family":"Agerbo","given":"Esben","non-dropping-particle":"","parse-names":false,"suffix":""},{"dropping-particle":"","family":"Baldursson","given":"Gísli","non-dropping-particle":"","parse-names":false,"suffix":""},{"dropping-particle":"","family":"Belliveau","given":"Rich","non-dropping-particle":"","parse-names":false,"suffix":""},{"dropping-particle":"","family":"Bybjerg-Grauholm","given":"Jonas","non-dropping-particle":"","parse-names":false,"suffix":""},{"dropping-particle":"","family":"Bækvad-Hansen","given":"Marie","non-dropping-particle":"","parse-names":false,"suffix":""},{"dropping-particle":"","family":"Cerrato","given":"Felecia","non-dropping-particle":"","parse-names":false,"suffix":""},{"dropping-particle":"","family":"Chambert","given":"Kimberly","non-dropping-particle":"","parse-names":false,"suffix":""},{"dropping-particle":"","family":"Churchhouse","given":"Claire","non-dropping-particle":"","parse-names":false,"suffix":""},{"dropping-particle":"","family":"Dumont","given":"Ashley","non-dropping-particle":"","parse-names":false,"suffix":""},{"dropping-particle":"","family":"Eriksson","given":"Nicholas","non-dropping-particle":"","parse-names":false,"suffix":""},{"dropping-particle":"","family":"Gandal","given":"Michael","non-dropping-particle":"","parse-names":false,"suffix":""},{"dropping-particle":"","family":"Goldstein","given":"Jacqueline I.","non-dropping-particle":"","parse-names":false,"suffix":""},{"dropping-particle":"","family":"Grasby","given":"Katrina L.","non-dropping-particle":"","parse-names":false,"suffix":""},{"dropping-particle":"","family":"Grove","given":"Jakob","non-dropping-particle":"","parse-names":false,"suffix":""},{"dropping-particle":"","family":"Gudmundsson","given":"Olafur O.","non-dropping-particle":"","parse-names":false,"suffix":""},{"dropping-particle":"","family":"Hansen","given":"Christine S.","non-dropping-particle":"","parse-names":false,"suffix":""},{"dropping-particle":"","family":"Hauberg","given":"Mads Engel","non-dropping-particle":"","parse-names":false,"suffix":""},{"dropping-particle":"V.","family":"Hollegaard","given":"Mads","non-dropping-particle":"","parse-names":false,"suffix":""},{"dropping-particle":"","family":"Howrigan","given":"Daniel P.","non-dropping-particle":"","parse-names":false,"suffix":""},{"dropping-particle":"","family":"Huang","given":"Hailiang","non-dropping-particle":"","parse-names":false,"suffix":""},{"dropping-particle":"","family":"Maller","given":"Julian B.","non-dropping-particle":"","parse-names":false,"suffix":""},{"dropping-particle":"","family":"Martin","given":"Alicia R.","non-dropping-particle":"","parse-names":false,"suffix":""},{"dropping-particle":"","family":"Martin","given":"Nicholas G.","non-dropping-particle":"","parse-names":false,"suffix":""},{"dropping-particle":"","family":"Moran","given":"Jennifer","non-dropping-particle":"","parse-names":false,"suffix":""},{"dropping-particle":"","family":"Pallesen","given":"Jonatan","non-dropping-particle":"","parse-names":false,"suffix":""},{"dropping-particle":"","family":"Palmer","given":"Duncan S.","non-dropping-particle":"","parse-names":false,"suffix":""},{"dropping-particle":"","family":"Pedersen","given":"Carsten Bøcker","non-dropping-particle":"","parse-names":false,"suffix":""},{"dropping-particle":"","family":"Pedersen","given":"Marianne Giørtz","non-dropping-particle":"","parse-names":false,"suffix":""},{"dropping-particle":"","family":"Poterba","given":"Timothy","non-dropping-particle":"","parse-names":false,"suffix":""},{"dropping-particle":"","family":"Poulsen","given":"Jesper Buchhave","non-dropping-particle":"","parse-names":false,"suffix":""},{"dropping-particle":"","family":"Ripke","given":"Stephan","non-dropping-particle":"","parse-names":false,"suffix":""},{"dropping-particle":"","family":"Robinson","given":"Elise B.","non-dropping-particle":"","parse-names":false,"suffix":""},{"dropping-particle":"","family":"Satterstrom","given":"F. Kyle","non-dropping-particle":"","parse-names":false,"suffix":""},{"dropping-particle":"","family":"Stefansson","given":"Hreinn","non-dropping-particle":"","parse-names":false,"suffix":""},{"dropping-particle":"","family":"Stevens","given":"Christine","non-dropping-particle":"","parse-names":false,"suffix":""},{"dropping-particle":"","family":"Turley","given":"Patrick","non-dropping-particle":"","parse-names":false,"suffix":""},{"dropping-particle":"","family":"Walters","given":"G. Bragi","non-dropping-particle":"","parse-names":false,"suffix":""},{"dropping-particle":"","family":"Won","given":"Hyejung","non-dropping-particle":"","parse-names":false,"suffix":""},{"dropping-particle":"","family":"Wright","given":"Margaret J.","non-dropping-particle":"","parse-names":false,"suffix":""},{"dropping-particle":"","family":"Andreassen","given":"Ole A.","non-dropping-particle":"","parse-names":false,"suffix":""},{"dropping-particle":"","family":"Asherson","given":"Philip","non-dropping-particle":"","parse-names":false,"suffix":""},{"dropping-particle":"","family":"Burton","given":"Christie L.","non-dropping-particle":"","parse-names":false,"suffix":""},{"dropping-particle":"","family":"Boomsma","given":"Dorret I.","non-dropping-particle":"","parse-names":false,"suffix":""},{"dropping-particle":"","family":"Cormand","given":"Bru","non-dropping-particle":"","parse-names":false,"suffix":""},{"dropping-particle":"","family":"Dalsgaard","given":"Søren","non-dropping-particle":"","parse-names":false,"suffix":""},{"dropping-particle":"","family":"Franke","given":"Barbara","non-dropping-particle":"","parse-names":false,"suffix":""},{"dropping-particle":"","family":"Gelernter","given":"Joel","non-dropping-particle":"","parse-names":false,"suffix":""},{"dropping-particle":"","family":"Geschwind","given":"Daniel","non-dropping-particle":"","parse-names":false,"suffix":""},{"dropping-particle":"","family":"Hakonarson","given":"Hakon","non-dropping-particle":"","parse-names":false,"suffix":""},{"dropping-particle":"","family":"Haavik","given":"Jan","non-dropping-particle":"","parse-names":false,"suffix":""},{"dropping-particle":"","family":"Kranzler","given":"Henry R.","non-dropping-particle":"","parse-names":false,"suffix":""},{"dropping-particle":"","family":"Kuntsi","given":"Jonna","non-dropping-particle":"","parse-names":false,"suffix":""},{"dropping-particle":"","family":"Langley","given":"Kate","non-dropping-particle":"","parse-names":false,"suffix":""},{"dropping-particle":"","family":"Lesch","given":"Klaus-Peter","non-dropping-particle":"","parse-names":false,"suffix":""},{"dropping-particle":"","family":"Middeldorp","given":"Christel","non-dropping-particle":"","parse-names":false,"suffix":""},{"dropping-particle":"","family":"Reif","given":"Andreas","non-dropping-particle":"","parse-names":false,"suffix":""},{"dropping-particle":"","family":"Rohde","given":"Luis Augusto","non-dropping-particle":"","parse-names":false,"suffix":""},{"dropping-particle":"","family":"Roussos","given":"Panos","non-dropping-particle":"","parse-names":false,"suffix":""},{"dropping-particle":"","family":"Schachar","given":"Russell","non-dropping-particle":"","parse-names":false,"suffix":""},{"dropping-particle":"","family":"Sklar","given":"Pamela","non-dropping-particle":"","parse-names":false,"suffix":""},{"dropping-particle":"","family":"Sonuga-Barke","given":"Edmund J. S.","non-dropping-particle":"","parse-names":false,"suffix":""},{"dropping-particle":"","family":"Sullivan","given":"Patrick F.","non-dropping-particle":"","parse-names":false,"suffix":""},{"dropping-particle":"","family":"Thapar","given":"Anita","non-dropping-particle":"","parse-names":false,"suffix":""},{"dropping-particle":"","family":"Tung","given":"Joyce Y.","non-dropping-particle":"","parse-names":false,"suffix":""},{"dropping-particle":"","family":"Waldman","given":"Irwin D.","non-dropping-particle":"","parse-names":false,"suffix":""},{"dropping-particle":"","family":"Medland","given":"Sarah E.","non-dropping-particle":"","parse-names":false,"suffix":""},{"dropping-particle":"","family":"Stefansson","given":"Kari","non-dropping-particle":"","parse-names":false,"suffix":""},{"dropping-particle":"","family":"Nordentoft","given":"Merete","non-dropping-particle":"","parse-names":false,"suffix":""},{"dropping-particle":"","family":"Hougaard","given":"David M.","non-dropping-particle":"","parse-names":false,"suffix":""},{"dropping-particle":"","family":"Werge","given":"Thomas","non-dropping-particle":"","parse-names":false,"suffix":""},{"dropping-particle":"","family":"Mors","given":"Ole","non-dropping-particle":"","parse-names":false,"suffix":""},{"dropping-particle":"","family":"Mortensen","given":"Preben Bo","non-dropping-particle":"","parse-names":false,"suffix":""},{"dropping-particle":"","family":"Daly","given":"Mark J.","non-dropping-particle":"","parse-names":false,"suffix":""},{"dropping-particle":"V.","family":"Faraone","given":"Stephen","non-dropping-particle":"","parse-names":false,"suffix":""},{"dropping-particle":"","family":"Børglum","given":"Anders D.","non-dropping-particle":"","parse-names":false,"suffix":""},{"dropping-particle":"","family":"Neale","given":"Benjamin M.","non-dropping-particle":"","parse-names":false,"suffix":""}],"container-title":"Nature Genetics","id":"ITEM-1","issue":"1","issued":{"date-parts":[["2019","1","26"]]},"page":"63-75","publisher":"Nature Publishing Group","title":"Discovery of the first genome-wide significant risk loci for attention deficit/hyperactivity disorder","type":"article-journal","volume":"51"},"uris":["http://www.mendeley.com/documents/?uuid=00f6287f-5abd-3121-836e-4e18a5796cdc"]}],"mendeley":{"formattedCitation":"(Demontis et al., 2019)","plainTextFormattedCitation":"(Demontis et al., 2019)","previouslyFormattedCitation":"(Demontis et al., 2019)"},"properties":{"noteIndex":0},"schema":"https://github.com/citation-style-language/schema/raw/master/csl-citation.json"}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(Demontis et al., 2019)</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While self-control reflects</w:t>
      </w:r>
      <w:r>
        <w:rPr>
          <w:rFonts w:asciiTheme="majorHAnsi" w:hAnsiTheme="majorHAnsi" w:cstheme="majorHAnsi"/>
          <w:sz w:val="24"/>
          <w:szCs w:val="24"/>
          <w:lang w:val="en-US"/>
        </w:rPr>
        <w:t xml:space="preserve"> to</w:t>
      </w:r>
      <w:r w:rsidR="00DC40C4">
        <w:rPr>
          <w:rFonts w:asciiTheme="majorHAnsi" w:hAnsiTheme="majorHAnsi" w:cstheme="majorHAnsi"/>
          <w:sz w:val="24"/>
          <w:szCs w:val="24"/>
          <w:lang w:val="en-US"/>
        </w:rPr>
        <w:t xml:space="preserve"> </w:t>
      </w:r>
      <w:r w:rsidRPr="00E60CDA">
        <w:rPr>
          <w:rFonts w:asciiTheme="majorHAnsi" w:hAnsiTheme="majorHAnsi" w:cstheme="majorHAnsi"/>
          <w:sz w:val="24"/>
          <w:szCs w:val="24"/>
          <w:lang w:val="en-US"/>
        </w:rPr>
        <w:t xml:space="preserve">the overall </w:t>
      </w:r>
      <w:r>
        <w:rPr>
          <w:rFonts w:asciiTheme="majorHAnsi" w:hAnsiTheme="majorHAnsi" w:cstheme="majorHAnsi"/>
          <w:sz w:val="24"/>
          <w:szCs w:val="24"/>
          <w:lang w:val="en-US"/>
        </w:rPr>
        <w:t xml:space="preserve">and broad </w:t>
      </w:r>
      <w:r w:rsidRPr="00E60CDA">
        <w:rPr>
          <w:rFonts w:asciiTheme="majorHAnsi" w:hAnsiTheme="majorHAnsi" w:cstheme="majorHAnsi"/>
          <w:sz w:val="24"/>
          <w:szCs w:val="24"/>
          <w:lang w:val="en-US"/>
        </w:rPr>
        <w:t xml:space="preserve">capacity to regulate impulses, emotions, and behaviors and focus on goal-oriented behaviors, </w:t>
      </w:r>
      <w:r>
        <w:rPr>
          <w:rFonts w:asciiTheme="majorHAnsi" w:hAnsiTheme="majorHAnsi" w:cstheme="majorHAnsi"/>
          <w:sz w:val="24"/>
          <w:szCs w:val="24"/>
          <w:lang w:val="en-US"/>
        </w:rPr>
        <w:t xml:space="preserve">ADHD more specifically taps into the clinical neurodevelopmental disorder with the difficulties </w:t>
      </w:r>
      <w:r w:rsidRPr="00E60CDA">
        <w:rPr>
          <w:rFonts w:asciiTheme="majorHAnsi" w:hAnsiTheme="majorHAnsi" w:cstheme="majorHAnsi"/>
          <w:sz w:val="24"/>
          <w:szCs w:val="24"/>
          <w:lang w:val="en-US"/>
        </w:rPr>
        <w:t xml:space="preserve">to control your impulses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{"citationItems":[{"id":"ITEM-1","itemData":{"DOI":"10.1111/jcpp.12675","ISSN":"00219630","author":[{"dropping-particle":"","family":"Nigg","given":"Joel T.","non-dropping-particle":"","parse-names":false,"suffix":""}],"container-title":"Journal of Child Psychology and Psychiatry","id":"ITEM-1","issue":"4","issued":{"date-parts":[["2017","4","1"]]},"page":"361-383","title":"Annual Research Review: On the relations among self-regulation, self-control, executive functioning, effortful control, cognitive control, impulsivity, risk-taking, and inhibition for developmental psychopathology","type":"article-journal","volume":"58"},"uris":["http://www.mendeley.com/documents/?uuid=cd32e248-90e9-3284-b676-639d2085f3ba"]}],"mendeley":{"formattedCitation":"(Nigg, 2017)","plainTextFormattedCitation":"(Nigg, 2017)","previouslyFormattedCitation":"(Nigg, 2017)"},"properties":{"noteIndex":0},"schema":"https://github.com/citation-style-language/schema/raw/master/csl-citation.json"}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(Nigg, 2017)</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w:t>
      </w:r>
      <w:r w:rsidR="00DC40C4">
        <w:rPr>
          <w:rFonts w:asciiTheme="majorHAnsi" w:hAnsiTheme="majorHAnsi" w:cstheme="majorHAnsi"/>
          <w:sz w:val="24"/>
          <w:szCs w:val="24"/>
          <w:lang w:val="en-US"/>
        </w:rPr>
        <w:t xml:space="preserve"> </w:t>
      </w:r>
      <w:r w:rsidRPr="00E60CDA">
        <w:rPr>
          <w:rFonts w:asciiTheme="majorHAnsi" w:hAnsiTheme="majorHAnsi" w:cstheme="majorHAnsi"/>
          <w:sz w:val="24"/>
          <w:szCs w:val="24"/>
          <w:lang w:val="en-US"/>
        </w:rPr>
        <w:t>As the genotyped participants of the NTR were part of the ADHD GWAS, we used sum stats where the NTR participants were left out to avoid an overestimation of the effects. LD-pred was used to compute the polygenic scores in the target sample, taking linkage disequilibrium (LD) among SNPs into account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{"citationItems":[{"id":"ITEM-1","itemData":{"DOI":"10.1016/J.AJHG.2015.09.001","ISSN":"0002-9297","abstract":"Polygenic risk scores have shown great promise in predicting complex disease risk and will become more accurate as training sample sizes increase. The standard approach for calculating risk scores involves linkage disequilibrium (LD)-based marker pruning and applying a p value threshold to association statistics, but this discards information and can reduce predictive accuracy. We introduce LDpred, a method that infers the posterior mean effect size of each marker by using a prior on effect sizes and LD information from an external reference panel. Theory and simulations show that LDpred outperforms the approach of pruning followed by thresholding, particularly at large sample sizes. Accordingly, predicted R2 increased from 20.1% to 25.3% in a large schizophrenia dataset and from 9.8% to 12.0% in a large multiple sclerosis dataset. A similar relative improvement in accuracy was observed for three additional large disease datasets and for non-European schizophrenia samples. The advantage of LDpred over existing methods will grow as sample sizes increase.","author":[{"dropping-particle":"","family":"Vilhjálmsson","given":"Bjarni J.","non-dropping-particle":"","parse-names":false,"suffix":""},{"dropping-particle":"","family":"Yang","given":"Jian","non-dropping-particle":"","parse-names":false,"suffix":""},{"dropping-particle":"","family":"Finucane","given":"Hilary K.","non-dropping-particle":"","parse-names":false,"suffix":""},{"dropping-particle":"","family":"Gusev","given":"Alexander","non-dropping-particle":"","parse-names":false,"suffix":""},{"dropping-particle":"","family":"Lindström","given":"Sara","non-dropping-particle":"","parse-names":false,"suffix":""},{"dropping-particle":"","family":"Ripke","given":"Stephan","non-dropping-particle":"","parse-names":false,"suffix":""},{"dropping-particle":"","family":"Genovese","given":"Giulio","non-dropping-particle":"","parse-names":false,"suffix":""},{"dropping-particle":"","family":"Loh","given":"Po-Ru","non-dropping-particle":"","parse-names":false,"suffix":""},{"dropping-particle":"","family":"Bhatia","given":"Gaurav","non-dropping-particle":"","parse-names":false,"suffix":""},{"dropping-particle":"","family":"Do","given":"Ron","non-dropping-particle":"","parse-names":false,"suffix":""},{"dropping-particle":"","family":"Hayeck","given":"Tristan","non-dropping-particle":"","parse-names":false,"suffix":""},{"dropping-particle":"","family":"Won","given":"Hong-Hee","non-dropping-particle":"","parse-names":false,"suffix":""},{"dropping-particle":"","family":"Ripke","given":"Stephan","non-dropping-particle":"","parse-names":false,"suffix":""},{"dropping-particle":"","family":"Neale","given":"Benjamin M.","non-dropping-particle":"","parse-names":false,"suffix":""},{"dropping-particle":"","family":"Corvin","given":"Aiden","non-dropping-particle":"","parse-names":false,"suffix":""},{"dropping-particle":"","family":"Walters","given":"James T.R.","non-dropping-particle":"","parse-names":false,"suffix":""},{"dropping-particle":"","family":"Farh","given":"Kai-How","non-dropping-particle":"","parse-names":false,"suffix":""},{"dropping-particle":"","family":"Holmans","given":"Peter A.","non-dropping-particle":"","parse-names":false,"suffix":""},{"dropping-particle":"","family":"Lee","given":"Phil","non-dropping-particle":"","parse-names":false,"suffix":""},{"dropping-particle":"","family":"Bulik-Sullivan","given":"Brendan","non-dropping-particle":"","parse-names":false,"suffix":""},{"dropping-particle":"","family":"Collier","given":"David A.","non-dropping-particle":"","parse-names":false,"suffix":""},{"dropping-particle":"","family":"Huang","given":"Hailiang","non-dropping-particle":"","parse-names":false,"suffix":""},{"dropping-particle":"","family":"Pers","given":"Tune H.","non-dropping-particle":"","parse-names":false,"suffix":""},{"dropping-particle":"","family":"Agartz","given":"Ingrid","non-dropping-particle":"","parse-names":false,"suffix":""},{"dropping-particle":"","family":"Agerbo","given":"Esben","non-dropping-particle":"","parse-names":false,"suffix":""},{"dropping-particle":"","family":"Albus","given":"Margot","non-dropping-particle":"","parse-names":false,"suffix":""},{"dropping-particle":"","family":"Alexander","given":"Madeline","non-dropping-particle":"","parse-names":false,"suffix":""},{"dropping-particle":"","family":"Amin","given":"Farooq","non-dropping-particle":"","parse-names":false,"suffix":""},{"dropping-particle":"","family":"Bacanu","given":"Silviu A.","non-dropping-particle":"","parse-names":false,"suffix":""},{"dropping-particle":"","family":"Begemann","given":"Martin","non-dropping-particle":"","parse-names":false,"suffix":""},{"dropping-particle":"","family":"Belliveau","given":"Richard A.","non-dropping-particle":"","parse-names":false,"suffix":""},{"dropping-particle":"","family":"Bene","given":"Judit","non-dropping-particle":"","parse-names":false,"suffix":""},{"dropping-particle":"","family":"Bergen","given":"Sarah E.","non-dropping-particle":"","parse-names":false,"suffix":""},{"dropping-particle":"","family":"Bevilacqua","given":"Elizabeth","non-dropping-particle":"","parse-names":false,"suffix":""},{"dropping-particle":"","family":"Bigdeli","given":"Tim B.","non-dropping-particle":"","parse-names":false,"suffix":""},{"dropping-particle":"","family":"Black","given":"Donald W.","non-dropping-particle":"","parse-names":false,"suffix":""},{"dropping-particle":"","family":"Bruggeman","given":"Richard","non-dropping-particle":"","parse-names":false,"suffix":""},{"dropping-particle":"","family":"Buccola","given":"Nancy G.","non-dropping-particle":"","parse-names":false,"suffix":""},{"dropping-particle":"","family":"Buckner","given":"Randy L.","non-dropping-particle":"","parse-names":false,"suffix":""},{"dropping-particle":"","family":"Byerley","given":"William","non-dropping-particle":"","parse-names":false,"suffix":""},{"dropping-particle":"","family":"Cahn","given":"Wiepke","non-dropping-particle":"","parse-names":false,"suffix":""},{"dropping-particle":"","family":"Cai","given":"Guiqing","non-dropping-particle":"","parse-names":false,"suffix":""},{"dropping-particle":"","family":"Campion","given":"Dominique","non-dropping-particle":"","parse-names":false,"suffix":""},{"dropping-particle":"","family":"Cantor","given":"Rita M.","non-dropping-particle":"","parse-names":false,"suffix":""},{"dropping-particle":"","family":"Carr","given":"Vaughan J.","non-dropping-particle":"","parse-names":false,"suffix":""},{"dropping-particle":"","family":"Carrera","given":"Noa","non-dropping-particle":"","parse-names":false,"suffix":""},{"dropping-particle":"","family":"Catts","given":"Stanley V.","non-dropping-particle":"","parse-names":false,"suffix":""},{"dropping-particle":"","family":"Chambert","given":"Kimberly D.","non-dropping-particle":"","parse-names":false,"suffix":""},{"dropping-particle":"","family":"Chan","given":"Raymond C.K.","non-dropping-particle":"","parse-names":false,"suffix":""},{"dropping-particle":"","family":"Chen","given":"Ronald Y.L.","non-dropping-particle":"","parse-names":false,"suffix":""},{"dropping-particle":"","family":"Chen","given":"Eric Y.H.","non-dropping-particle":"","parse-names":false,"suffix":""},{"dropping-particle":"","family":"Cheng","given":"Wei","non-dropping-particle":"","parse-names":false,"suffix":""},{"dropping-particle":"","family":"Cheung","given":"Eric F.C.","non-dropping-particle":"","parse-names":false,"suffix":""},{"dropping-particle":"","family":"Chong","given":"Siow Ann","non-dropping-particle":"","parse-names":false,"suffix":""},{"dropping-particle":"","family":"Cloninger","given":"C. Robert","non-dropping-particle":"","parse-names":false,"suffix":""},{"dropping-particle":"","family":"Cohen","given":"David","non-dropping-particle":"","parse-names":false,"suffix":""},{"dropping-particle":"","family":"Cohen","given":"Nadine","non-dropping-particle":"","parse-names":false,"suffix":""},{"dropping-particle":"","family":"Cormican","given":"Paul","non-dropping-particle":"","parse-names":false,"suffix":""},{"dropping-particle":"","family":"Craddock","given":"Nick","non-dropping-particle":"","parse-names":false,"suffix":""},{"dropping-particle":"","family":"Crowley","given":"James J.","non-dropping-particle":"","parse-names":false,"suffix":""},{"dropping-particle":"","family":"Curtis","given":"David","non-dropping-particle":"","parse-names":false,"suffix":""},{"dropping-particle":"","family":"Davidson","given":"Michael","non-dropping-particle":"","parse-names":false,"suffix":""},{"dropping-particle":"","family":"Davis","given":"Kenneth L.","non-dropping-particle":"","parse-names":false,"suffix":""},{"dropping-particle":"","family":"Degenhardt","given":"Franziska","non-dropping-particle":"","parse-names":false,"suffix":""},{"dropping-particle":"","family":"Del Favero","given":"Jurgen","non-dropping-particle":"","parse-names":false,"suffix":""},{"dropping-particle":"","family":"DeLisi","given":"Lynn E.","non-dropping-particle":"","parse-names":false,"suffix":""},{"dropping-particle":"","family":"Demontis","given":"Ditte","non-dropping-particle":"","parse-names":false,"suffix":""},{"dropping-particle":"","family":"Dikeos","given":"Dimitris","non-dropping-particle":"","parse-names":false,"suffix":""},{"dropping-particle":"","family":"Dinan","given":"Timothy","non-dropping-particle":"","parse-names":false,"suffix":""},{"dropping-particle":"","family":"Djurovic","given":"Srdjan","non-dropping-particle":"","parse-names":false,"suffix":""},{"dropping-particle":"","family":"Donohoe","given":"Gary","non-dropping-particle":"","parse-names":false,"suffix":""},{"dropping-particle":"","family":"Drapeau","given":"Elodie","non-dropping-particle":"","parse-names":false,"suffix":""},{"dropping-particle":"","family":"Duan","given":"Jubao","non-dropping-particle":"","parse-names":false,"suffix":""},{"dropping-particle":"","family":"Dudbridge","given":"Frank","non-dropping-particle":"","parse-names":false,"suffix":""},{"dropping-particle":"","family":"Durmishi","given":"Naser","non-dropping-particle":"","parse-names":false,"suffix":""},{"dropping-particle":"","family":"Eichhammer","given":"Peter","non-dropping-particle":"","parse-names":false,"suffix":""},{"dropping-particle":"","family":"Eriksson","given":"Johan","non-dropping-particle":"","parse-names":false,"suffix":""},{"dropping-particle":"","family":"Escott-Price","given":"Valentina","non-dropping-particle":"","parse-names":false,"suffix":""},{"dropping-particle":"","family":"Essioux","given":"Laurent","non-dropping-particle":"","parse-names":false,"suffix":""},{"dropping-particle":"","family":"Fanous","given":"Ayman H.","non-dropping-particle":"","parse-names":false,"suffix":""},{"dropping-particle":"","family":"Farrell","given":"Martilias S.","non-dropping-particle":"","parse-names":false,"suffix":""},{"dropping-particle":"","family":"Frank","given":"Josef","non-dropping-particle":"","parse-names":false,"suffix":""},{"dropping-particle":"","family":"Franke","given":"Lude","non-dropping-particle":"","parse-names":false,"suffix":""},{"dropping-particle":"","family":"Freedman","given":"Robert","non-dropping-particle":"","parse-names":false,"suffix":""},{"dropping-particle":"","family":"Freimer","given":"Nelson B.","non-dropping-particle":"","parse-names":false,"suffix":""},{"dropping-particle":"","family":"Friedl","given":"Marion","non-dropping-particle":"","parse-names":false,"suffix":""},{"dropping-particle":"","family":"Friedman","given":"Joseph I.","non-dropping-particle":"","parse-names":false,"suffix":""},{"dropping-particle":"","family":"Fromer","given":"Menachem","non-dropping-particle":"","parse-names":false,"suffix":""},{"dropping-particle":"","family":"Genovese","given":"Giulio","non-dropping-particle":"","parse-names":false,"suffix":""},{"dropping-particle":"","family":"Georgieva","given":"Lyudmila","non-dropping-particle":"","parse-names":false,"suffix":""},{"dropping-particle":"","family":"Gershon","given":"Elliot S.","non-dropping-particle":"","parse-names":false,"suffix":""},{"dropping-particle":"","family":"Giegling","given":"Ina","non-dropping-particle":"","parse-names":false,"suffix":""},{"dropping-particle":"","family":"Giusti-Rodrguez","given":"Paola","non-dropping-particle":"","parse-names":false,"suffix":""},{"dropping-particle":"","family":"Godard","given":"Stephanie","non-dropping-particle":"","parse-names":false,"suffix":""},{"dropping-particle":"","family":"Goldstein","given":"Jacqueline I.","non-dropping-particle":"","parse-names":false,"suffix":""},{"dropping-particle":"","family":"Golimbet","given":"Vera","non-dropping-particle":"","parse-names":false,"suffix":""},{"dropping-particle":"","family":"Gopal","given":"Srihari","non-dropping-particle":"","parse-names":false,"suffix":""},{"dropping-particle":"","family":"Gratten","given":"Jacob","non-dropping-particle":"","parse-names":false,"suffix":""},{"dropping-particle":"","family":"Grove","given":"Jakob","non-dropping-particle":"","parse-names":false,"suffix":""},{"dropping-particle":"","family":"de Haan","given":"Lieuwe","non-dropping-particle":"","parse-names":false,"suffix":""},{"dropping-particle":"","family":"Hammer","given":"Christian","non-dropping-particle":"","parse-names":false,"suffix":""},{"dropping-particle":"","family":"Hamshere","given":"Marian L.","non-dropping-particle":"","parse-names":false,"suffix":""},{"dropping-particle":"","family":"Hansen","given":"Mark","non-dropping-particle":"","parse-names":false,"suffix":""},{"dropping-particle":"","family":"Hansen","given":"Thomas","non-dropping-particle":"","parse-names":false,"suffix":""},{"dropping-particle":"","family":"Haroutunian","given":"Vahram","non-dropping-particle":"","parse-names":false,"suffix":""},{"dropping-particle":"","family":"Hartmann","given":"Annette M.","non-dropping-particle":"","parse-names":false,"suffix":""},{"dropping-particle":"","family":"Henskens","given":"Frans A.","non-dropping-particle":"","parse-names":false,"suffix":""},{"dropping-particle":"","family":"Herms","given":"Stefan","non-dropping-particle":"","parse-names":false,"suffix":""},{"dropping-particle":"","family":"Hirschhorn","given":"Joel N.","non-dropping-particle":"","parse-names":false,"suffix":""},{"dropping-particle":"","family":"Hoffmann","given":"Per","non-dropping-particle":"","parse-names":false,"suffix":""},{"dropping-particle":"","family":"Hofman","given":"Andrea","non-dropping-particle":"","parse-names":false,"suffix":""},{"dropping-particle":"","family":"Hollegaard","given":"Mads V.","non-dropping-particle":"","parse-names":false,"suffix":""},{"dropping-particle":"","family":"Hougaard","given":"David M.","non-dropping-particle":"","parse-names":false,"suffix":""},{"dropping-particle":"","family":"Ikeda","given":"Masashi","non-dropping-particle":"","parse-names":false,"suffix":""},{"dropping-particle":"","family":"Joa","given":"Inge","non-dropping-particle":"","parse-names":false,"suffix":""},{"dropping-particle":"","family":"Julia","given":"Antonio","non-dropping-particle":"","parse-names":false,"suffix":""},{"dropping-particle":"","family":"Kahn","given":"Rene S.","non-dropping-particle":"","parse-names":false,"suffix":""},{"dropping-particle":"","family":"Kalaydjieva","given":"Luba","non-dropping-particle":"","parse-names":false,"suffix":""},{"dropping-particle":"","family":"Karachanak-Yankova","given":"Sena","non-dropping-particle":"","parse-names":false,"suffix":""},{"dropping-particle":"","family":"Karjalainen","given":"Juha","non-dropping-particle":"","parse-names":false,"suffix":""},{"dropping-particle":"","family":"Kavanagh","given":"David","non-dropping-particle":"","parse-names":false,"suffix":""},{"dropping-particle":"","family":"Keller","given":"Matthew C.","non-dropping-particle":"","parse-names":false,"suffix":""},{"dropping-particle":"","family":"Kelly","given":"Brian J.","non-dropping-particle":"","parse-names":false,"suffix":""},{"dropping-particle":"","family":"Kennedy","given":"James L.","non-dropping-particle":"","parse-names":false,"suffix":""},{"dropping-particle":"","family":"Khrunin","given":"Andrey","non-dropping-particle":"","parse-names":false,"suffix":""},{"dropping-particle":"","family":"Kim","given":"Yunjung","non-dropping-particle":"","parse-names":false,"suffix":""},{"dropping-particle":"","family":"Klovins","given":"Janis","non-dropping-particle":"","parse-names":false,"suffix":""},{"dropping-particle":"","family":"Knowles","given":"James A.","non-dropping-particle":"","parse-names":false,"suffix":""},{"dropping-particle":"","family":"Konte","given":"Bettina","non-dropping-particle":"","parse-names":false,"suffix":""},{"dropping-particle":"","family":"Kucinskas","given":"Vaidutis","non-dropping-particle":"","parse-names":false,"suffix":""},{"dropping-particle":"","family":"Kucinskiene","given":"Zita Ausrele","non-dropping-particle":"","parse-names":false,"suffix":""},{"dropping-particle":"","family":"Kuzelova-Ptackova","given":"Hana","non-dropping-particle":"","parse-names":false,"suffix":""},{"dropping-particle":"","family":"Kahler","given":"Anna K.","non-dropping-particle":"","parse-names":false,"suffix":""},{"dropping-particle":"","family":"Laurent","given":"Claudine","non-dropping-particle":"","parse-names":false,"suffix":""},{"dropping-particle":"","family":"Keong","given":"Jimmy Lee Chee","non-dropping-particle":"","parse-names":false,"suffix":""},{"dropping-particle":"","family":"Lee","given":"S. Hong","non-dropping-particle":"","parse-names":false,"suffix":""},{"dropping-particle":"","family":"Legge","given":"Sophie E.","non-dropping-particle":"","parse-names":false,"suffix":""},{"dropping-particle":"","family":"Lerer","given":"Bernard","non-dropping-particle":"","parse-names":false,"suffix":""},{"dropping-particle":"","family":"Li","given":"Miaoxin","non-dropping-particle":"","parse-names":false,"suffix":""},{"dropping-particle":"","family":"Li","given":"Tao","non-dropping-particle":"","parse-names":false,"suffix":""},{"dropping-particle":"","family":"Liang","given":"Kung-Yee","non-dropping-particle":"","parse-names":false,"suffix":""},{"dropping-particle":"","family":"Lieberman","given":"Jeffrey","non-dropping-particle":"","parse-names":false,"suffix":""},{"dropping-particle":"","family":"Limborska","given":"Svetlana","non-dropping-particle":"","parse-names":false,"suffix":""},{"dropping-particle":"","family":"Loughland","given":"Carmel M.","non-dropping-particle":"","parse-names":false,"suffix":""},{"dropping-particle":"","family":"Lubinski","given":"Jan","non-dropping-particle":"","parse-names":false,"suffix":""},{"dropping-particle":"","family":"Lnnqvist","given":"Jouko","non-dropping-particle":"","parse-names":false,"suffix":""},{"dropping-particle":"","family":"Macek","given":"Milan","non-dropping-particle":"","parse-names":false,"suffix":""},{"dropping-particle":"","family":"Magnusson","given":"Patrik K.E.","non-dropping-particle":"","parse-names":false,"suffix":""},{"dropping-particle":"","family":"Maher","given":"Brion S.","non-dropping-particle":"","parse-names":false,"suffix":""},{"dropping-particle":"","family":"Maier","given":"Wolfgang","non-dropping-particle":"","parse-names":false,"suffix":""},{"dropping-particle":"","family":"Mallet","given":"Jacques","non-dropping-particle":"","parse-names":false,"suffix":""},{"dropping-particle":"","family":"Marsal","given":"Sara","non-dropping-particle":"","parse-names":false,"suffix":""},{"dropping-particle":"","family":"Mattheisen","given":"Manuel","non-dropping-particle":"","parse-names":false,"suffix":""},{"dropping-particle":"","family":"Mattingsdal","given":"Morten","non-dropping-particle":"","parse-names":false,"suffix":""},{"dropping-particle":"","family":"McCarley","given":"Robert W.","non-dropping-particle":"","parse-names":false,"suffix":""},{"dropping-particle":"","family":"McDonald","given":"Colm","non-dropping-particle":"","parse-names":false,"suffix":""},{"dropping-particle":"","family":"McIntosh","given":"Andrew M.","non-dropping-particle":"","parse-names":false,"suffix":""},{"dropping-particle":"","family":"Meier","given":"Sandra","non-dropping-particle":"","parse-names":false,"suffix":""},{"dropping-particle":"","family":"Meijer","given":"Carin J.","non-dropping-particle":"","parse-names":false,"suffix":""},{"dropping-particle":"","family":"Melegh","given":"Bela","non-dropping-particle":"","parse-names":false,"suffix":""},{"dropping-particle":"","family":"Melle","given":"Ingrid","non-dropping-particle":"","parse-names":false,"suffix":""},{"dropping-particle":"","family":"Mesholam-Gately","given":"Raquelle I.","non-dropping-particle":"","parse-names":false,"suffix":""},{"dropping-particle":"","family":"Metspalu","given":"Andres","non-dropping-particle":"","parse-names":false,"suffix":""},{"dropping-particle":"","family":"Michie","given":"Patricia T.","non-dropping-particle":"","parse-names":false,"suffix":""},{"dropping-particle":"","family":"Milani","given":"Lili","non-dropping-particle":"","parse-names":false,"suffix":""},{"dropping-particle":"","family":"Milanova","given":"Vihra","non-dropping-particle":"","parse-names":false,"suffix":""},{"dropping-particle":"","family":"Mokrab","given":"Younes","non-dropping-particle":"","parse-names":false,"suffix":""},{"dropping-particle":"","family":"Morris","given":"Derek W.","non-dropping-particle":"","parse-names":false,"suffix":""},{"dropping-particle":"","family":"Mors","given":"Ole","non-dropping-particle":"","parse-names":false,"suffix":""},{"dropping-particle":"","family":"Mortensen","given":"Preben B.","non-dropping-particle":"","parse-names":false,"suffix":""},{"dropping-particle":"","family":"Murphy","given":"Kieran C.","non-dropping-particle":"","parse-names":false,"suffix":""},{"dropping-particle":"","family":"Murray","given":"Robin M.","non-dropping-particle":"","parse-names":false,"suffix":""},{"dropping-particle":"","family":"Myin-Germeys","given":"Inez","non-dropping-particle":"","parse-names":false,"suffix":""},{"dropping-particle":"","family":"Mller-Myhsok","given":"Bertram","non-dropping-particle":"","parse-names":false,"suffix":""},{"dropping-particle":"","family":"Nelis","given":"Mari","non-dropping-particle":"","parse-names":false,"suffix":""},{"dropping-particle":"","family":"Nenadic","given":"Igor","non-dropping-particle":"","parse-names":false,"suffix":""},{"dropping-particle":"","family":"Nertney","given":"Deborah A.","non-dropping-particle":"","parse-names":false,"suffix":""},{"dropping-particle":"","family":"Nestadt","given":"Gerald","non-dropping-particle":"","parse-names":false,"suffix":""},{"dropping-particle":"","family":"Nicodemus","given":"Kristin K.","non-dropping-particle":"","parse-names":false,"suffix":""},{"dropping-particle":"","family":"Nikitina-Zake","given":"Liene","non-dropping-particle":"","parse-names":false,"suffix":""},{"dropping-particle":"","family":"Nisenbaum","given":"Laura","non-dropping-particle":"","parse-names":false,"suffix":""},{"dropping-particle":"","family":"Nordin","given":"Annelie","non-dropping-particle":"","parse-names":false,"suffix":""},{"dropping-particle":"","family":"O’Callaghan","given":"Eadbhard","non-dropping-particle":"","parse-names":false,"suffix":""},{"dropping-particle":"","family":"O’Dushlaine","given":"Colm","non-dropping-particle":"","parse-names":false,"suffix":""},{"dropping-particle":"","family":"O’Neill","given":"F. Anthony","non-dropping-particle":"","parse-names":false,"suffix":""},{"dropping-particle":"","family":"Oh","given":"Sang-Yun","non-dropping-particle":"","parse-names":false,"suffix":""},{"dropping-particle":"","family":"Olincy","given":"Ann","non-dropping-particle":"","parse-names":false,"suffix":""},{"dropping-particle":"","family":"Olsen","given":"Line","non-dropping-particle":"","parse-names":false,"suffix":""},{"dropping-particle":"","family":"Van Os","given":"Jim","non-dropping-particle":"","parse-names":false,"suffix":""},{"dropping-particle":"","family":"Pantelis","given":"Christos","non-dropping-particle":"","parse-names":false,"suffix":""},{"dropping-particle":"","family":"Papadimitriou","given":"George N.","non-dropping-particle":"","parse-names":false,"suffix":""},{"dropping-particle":"","family":"Papiol","given":"Sergi","non-dropping-particle":"","parse-names":false,"suffix":""},{"dropping-particle":"","family":"Parkhomenko","given":"Elena","non-dropping-particle":"","parse-names":false,"suffix":""},{"dropping-particle":"","family":"Pato","given":"Michele T.","non-dropping-particle":"","parse-names":false,"suffix":""},{"dropping-particle":"","family":"Paunio","given":"Tiina","non-dropping-particle":"","parse-names":false,"suffix":""},{"dropping-particle":"","family":"Pejovic-Milovancevic","given":"Milica","non-dropping-particle":"","parse-names":false,"suffix":""},{"dropping-particle":"","family":"Perkins","given":"Diana O.","non-dropping-particle":"","parse-names":false,"suffix":""},{"dropping-particle":"","family":"Pietilinen","given":"Olli","non-dropping-particle":"","parse-names":false,"suffix":""},{"dropping-particle":"","family":"Pimm","given":"Jonathan","non-dropping-particle":"","parse-names":false,"suffix":""},{"dropping-particle":"","family":"Pocklington","given":"Andrew J.","non-dropping-particle":"","parse-names":false,"suffix":""},{"dropping-particle":"","family":"Powell","given":"John","non-dropping-particle":"","parse-names":false,"suffix":""},{"dropping-particle":"","family":"Price","given":"Alkes","non-dropping-particle":"","parse-names":false,"suffix":""},{"dropping-particle":"","family":"Pulver","given":"Ann E.","non-dropping-particle":"","parse-names":false,"suffix":""},{"dropping-particle":"","family":"Purcell","given":"Shaun M.","non-dropping-particle":"","parse-names":false,"suffix":""},{"dropping-particle":"","family":"Quested","given":"Digby","non-dropping-particle":"","parse-names":false,"suffix":""},{"dropping-particle":"","family":"Rasmussen","given":"Henrik B.","non-dropping-particle":"","parse-names":false,"suffix":""},{"dropping-particle":"","family":"Reichenberg","given":"Abraham","non-dropping-particle":"","parse-names":false,"suffix":""},{"dropping-particle":"","family":"Reimers","given":"Mark A.","non-dropping-particle":"","parse-names":false,"suffix":""},{"dropping-particle":"","family":"Richards","given":"Alexander L.","non-dropping-particle":"","parse-names":false,"suffix":""},{"dropping-particle":"","family":"Roffman","given":"Joshua L.","non-dropping-particle":"","parse-names":false,"suffix":""},{"dropping-particle":"","family":"Roussos","given":"Panos","non-dropping-particle":"","parse-names":false,"suffix":""},{"dropping-particle":"","family":"Ruderfer","given":"Douglas M.","non-dropping-particle":"","parse-names":false,"suffix":""},{"dropping-particle":"","family":"Salomaa","given":"Veikko","non-dropping-particle":"","parse-names":false,"suffix":""},{"dropping-particle":"","family":"Sanders","given":"Alan R.","non-dropping-particle":"","parse-names":false,"suffix":""},{"dropping-particle":"","family":"Schall","given":"Ulrich","non-dropping-particle":"","parse-names":false,"suffix":""},{"dropping-particle":"","family":"Schubert","given":"Christian R.","non-dropping-particle":"","parse-names":false,"suffix":""},{"dropping-particle":"","family":"Schulze","given":"Thomas G.","non-dropping-particle":"","parse-names":false,"suffix":""},{"dropping-particle":"","family":"Schwab","given":"Sibylle G.","non-dropping-particle":"","parse-names":false,"suffix":""},{"dropping-particle":"","family":"Scolnick","given":"Edward M.","non-dropping-particle":"","parse-names":false,"suffix":""},{"dropping-particle":"","family":"Scott","given":"Rodney J.","non-dropping-particle":"","parse-names":false,"suffix":""},{"dropping-particle":"","family":"Seidman","given":"Larry J.","non-dropping-particle":"","parse-names":false,"suffix":""},{"dropping-particle":"","family":"Shi","given":"Jianxin","non-dropping-particle":"","parse-names":false,"suffix":""},{"dropping-particle":"","family":"Sigurdsson","given":"Engilbert","non-dropping-particle":"","parse-names":false,"suffix":""},{"dropping-particle":"","family":"Silagadze","given":"Teimuraz","non-dropping-particle":"","parse-names":false,"suffix":""},{"dropping-particle":"","family":"Silverman","given":"Jeremy M.","non-dropping-particle":"","parse-names":false,"suffix":""},{"dropping-particle":"","family":"Sim","given":"Kang","non-dropping-particle":"","parse-names":false,"suffix":""},{"dropping-particle":"","family":"Slominsky","given":"Petr","non-dropping-particle":"","parse-names":false,"suffix":""},{"dropping-particle":"","family":"Smoller","given":"Jordan W.","non-dropping-particle":"","parse-names":false,"suffix":""},{"dropping-particle":"","family":"So","given":"Hon-Cheong","non-dropping-particle":"","parse-names":false,"suffix":""},{"dropping-particle":"","family":"Spencer","given":"Chris C.A.","non-dropping-particle":"","parse-names":false,"suffix":""},{"dropping-particle":"","family":"Stahl","given":"Eli A.","non-dropping-particle":"","parse-names":false,"suffix":""},{"dropping-particle":"","family":"Stefansson","given":"Hreinn","non-dropping-particle":"","parse-names":false,"suffix":""},{"dropping-particle":"","family":"Steinberg","given":"Stacy","non-dropping-particle":"","parse-names":false,"suffix":""},{"dropping-particle":"","family":"Stogmann","given":"Elisabeth","non-dropping-particle":"","parse-names":false,"suffix":""},{"dropping-particle":"","family":"Straub","given":"Richard E.","non-dropping-particle":"","parse-names":false,"suffix":""},{"dropping-particle":"","family":"Strengman","given":"Eric","non-dropping-particle":"","parse-names":false,"suffix":""},{"dropping-particle":"","family":"Strohmaier","given":"Jana","non-dropping-particle":"","parse-names":false,"suffix":""},{"dropping-particle":"","family":"Stroup","given":"T. Scott","non-dropping-particle":"","parse-names":false,"suffix":""},{"dropping-particle":"","family":"Subramaniam","given":"Mythily","non-dropping-particle":"","parse-names":false,"suffix":""},{"dropping-particle":"","family":"Suvisaari","given":"Jaana","non-dropping-particle":"","parse-names":false,"suffix":""},{"dropping-particle":"","family":"Svrakic","given":"Dragan M.","non-dropping-particle":"","parse-names":false,"suffix":""},{"dropping-particle":"","family":"Szatkiewicz","given":"Jin P.","non-dropping-particle":"","parse-names":false,"suffix":""},{"dropping-particle":"","family":"Sderman","given":"Erik","non-dropping-particle":"","parse-names":false,"suffix":""},{"dropping-particle":"","family":"Thirumalai","given":"Srinivas","non-dropping-particle":"","parse-names":false,"suffix":""},{"dropping-particle":"","family":"Toncheva","given":"Draga","non-dropping-particle":"","parse-names":false,"suffix":""},{"dropping-particle":"","family":"Tooney","given":"Paul A.","non-dropping-particle":"","parse-names":false,"suffix":""},{"dropping-particle":"","family":"Tosato","given":"Sarah","non-dropping-particle":"","parse-names":false,"suffix":""},{"dropping-particle":"","family":"Veijola","given":"Juha","non-dropping-particle":"","parse-names":false,"suffix":""},{"dropping-particle":"","family":"Waddington","given":"John","non-dropping-particle":"","parse-names":false,"suffix":""},{"dropping-particle":"","family":"Walsh","given":"Dermot","non-dropping-particle":"","parse-names":false,"suffix":""},{"dropping-particle":"","family":"Wang","given":"Dai","non-dropping-particle":"","parse-names":false,"suffix":""},{"dropping-particle":"","family":"Wang","given":"Qiang","non-dropping-particle":"","parse-names":false,"suffix":""},{"dropping-particle":"","family":"Webb","given":"Bradley T.","non-dropping-particle":"","parse-names":false,"suffix":""},{"dropping-particle":"","family":"Weiser","given":"Mark","non-dropping-particle":"","parse-names":false,"suffix":""},{"dropping-particle":"","family":"Wildenauer","given":"Dieter B.","non-dropping-particle":"","parse-names":false,"suffix":""},{"dropping-particle":"","family":"Williams","given":"Nigel M.","non-dropping-particle":"","parse-names":false,"suffix":""},{"dropping-particle":"","family":"Williams","given":"Stephanie","non-dropping-particle":"","parse-names":false,"suffix":""},{"dropping-particle":"","family":"Witt","given":"Stephanie H.","non-dropping-particle":"","parse-names":false,"suffix":""},{"dropping-particle":"","family":"Wolen","given":"Aaron R.","non-dropping-particle":"","parse-names":false,"suffix":""},{"dropping-particle":"","family":"Wong","given":"Emily H.M.","non-dropping-particle":"","parse-names":false,"suffix":""},{"dropping-particle":"","family":"Wormley","given":"Brandon K.","non-dropping-particle":"","parse-names":false,"suffix":""},{"dropping-particle":"","family":"Wu","given":"Jing Qin","non-dropping-particle":"","parse-names":false,"suffix":""},{"dropping-particle":"","family":"Xi","given":"Hualin Simon","non-dropping-particle":"","parse-names":false,"suffix":""},{"dropping-particle":"","family":"Zai","given":"Clement C.","non-dropping-particle":"","parse-names":false,"suffix":""},{"dropping-particle":"","family":"Zheng","given":"Xuebin","non-dropping-particle":"","parse-names":false,"suffix":""},{"dropping-particle":"","family":"Zimprich","given":"Fritz","non-dropping-particle":"","parse-names":false,"suffix":""},{"dropping-particle":"","family":"Wray","given":"Naomi R.","non-dropping-particle":"","parse-names":false,"suffix":""},{"dropping-particle":"","family":"Stefansson","given":"Kari","non-dropping-particle":"","parse-names":false,"suffix":""},{"dropping-particle":"","family":"Visscher","given":"Peter M.","non-dropping-particle":"","parse-names":false,"suffix":""},{"dropping-particle":"","family":"Adolfsson","given":"Rolf","non-dropping-particle":"","parse-names":false,"suffix":""},{"dropping-particle":"","family":"Andreassen","given":"Ole A.","non-dropping-particle":"","parse-names":false,"suffix":""},{"dropping-particle":"","family":"Blackwood","given":"Douglas H.R.","non-dropping-particle":"","parse-names":false,"suffix":""},{"dropping-particle":"","family":"Bramon","given":"Elvira","non-dropping-particle":"","parse-names":false,"suffix":""},{"dropping-particle":"","family":"Buxbaum","given":"Joseph D.","non-dropping-particle":"","parse-names":false,"suffix":""},{"dropping-particle":"","family":"Børglum","given":"Anders D.","non-dropping-particle":"","parse-names":false,"suffix":""},{"dropping-particle":"","family":"Cichon","given":"Sven","non-dropping-particle":"","parse-names":false,"suffix":""},{"dropping-particle":"","family":"Darvasi","given":"Ariel","non-dropping-particle":"","parse-names":false,"suffix":""},{"dropping-particle":"","family":"Domenici","given":"Enrico","non-dropping-particle":"","parse-names":false,"suffix":""},{"dropping-particle":"","family":"Ehrenreich","given":"Hannelore","non-dropping-particle":"","parse-names":false,"suffix":""},{"dropping-particle":"","family":"Esko","given":"Tonu","non-dropping-particle":"","parse-names":false,"suffix":""},{"dropping-particle":"","family":"Gejman","given":"Pablo V.","non-dropping-particle":"","parse-names":false,"suffix":""},{"dropping-particle":"","family":"Gill","given":"Michael","non-dropping-particle":"","parse-names":false,"suffix":""},{"dropping-particle":"","family":"Gurling","given":"Hugh","non-dropping-particle":"","parse-names":false,"suffix":""},{"dropping-particle":"","family":"Hultman","given":"Christina M.","non-dropping-particle":"","parse-names":false,"suffix":""},{"dropping-particle":"","family":"Iwata","given":"Nakao","non-dropping-particle":"","parse-names":false,"suffix":""},{"dropping-particle":"","family":"Jablensky","given":"Assen V.","non-dropping-particle":"","parse-names":false,"suffix":""},{"dropping-particle":"","family":"Jonsson","given":"Erik G.","non-dropping-particle":"","parse-names":false,"suffix":""},{"dropping-particle":"","family":"Kendler","given":"Kenneth S.","non-dropping-particle":"","parse-names":false,"suffix":""},{"dropping-particle":"","family":"Kirov","given":"George","non-dropping-particle":"","parse-names":false,"suffix":""},{"dropping-particle":"","family":"Knight","given":"Jo","non-dropping-particle":"","parse-names":false,"suffix":""},{"dropping-particle":"","family":"Lencz","given":"Todd","non-dropping-particle":"","parse-names":false,"suffix":""},{"dropping-particle":"","family":"Levinson","given":"Douglas F.","non-dropping-particle":"","parse-names":false,"suffix":""},{"dropping-particle":"","family":"Li","given":"Qingqin S.","non-dropping-particle":"","parse-names":false,"suffix":""},{"dropping-particle":"","family":"Liu","given":"Jianjun","non-dropping-particle":"","parse-names":false,"suffix":""},{"dropping-particle":"","family":"Malhotra","given":"Anil K.","non-dropping-particle":"","parse-names":false,"suffix":""},{"dropping-particle":"","family":"McCarroll","given":"Steven A.","non-dropping-particle":"","parse-names":false,"suffix":""},{"dropping-particle":"","family":"McQuillin","given":"Andrew","non-dropping-particle":"","parse-names":false,"suffix":""},{"dropping-particle":"","family":"Moran","given":"Jennifer L.","non-dropping-particle":"","parse-names":false,"suffix":""},{"dropping-particle":"","family":"Mortensen","given":"Preben B.","non-dropping-particle":"","parse-names":false,"suffix":""},{"dropping-particle":"","family":"Mowry","given":"Bryan J.","non-dropping-particle":"","parse-names":false,"suffix":""},{"dropping-particle":"","family":"Nthen","given":"Markus M.","non-dropping-particle":"","parse-names":false,"suffix":""},{"dropping-particle":"","family":"Ophoff","given":"Roel A.","non-dropping-particle":"","parse-names":false,"suffix":""},{"dropping-particle":"","family":"Owen","given":"Michael J.","non-dropping-particle":"","parse-names":false,"suffix":""},{"dropping-particle":"","family":"Palotie","given":"Aarno","non-dropping-particle":"","parse-names":false,"suffix":""},{"dropping-particle":"","family":"Pato","given":"Carlos N.","non-dropping-particle":"","parse-names":false,"suffix":""},{"dropping-particle":"","family":"Petryshen","given":"Tracey L.","non-dropping-particle":"","parse-names":false,"suffix":""},{"dropping-particle":"","family":"Posthuma","given":"Danielle","non-dropping-particle":"","parse-names":false,"suffix":""},{"dropping-particle":"","family":"Rietschel","given":"Marcella","non-dropping-particle":"","parse-names":false,"suffix":""},{"dropping-particle":"","family":"Riley","given":"Brien P.","non-dropping-particle":"","parse-names":false,"suffix":""},{"dropping-particle":"","family":"Rujescu","given":"Dan","non-dropping-particle":"","parse-names":false,"suffix":""},{"dropping-particle":"","family":"Sham","given":"Pak C.","non-dropping-particle":"","parse-names":false,"suffix":""},{"dropping-particle":"","family":"Sklar","given":"Pamela","non-dropping-particle":"","parse-names":false,"suffix":""},{"dropping-particle":"","family":"St. Clair","given":"David","non-dropping-particle":"","parse-names":false,"suffix":""},{"dropping-particle":"","family":"Weinberger","given":"Daniel R.","non-dropping-particle":"","parse-names":false,"suffix":""},{"dropping-particle":"","family":"Wendland","given":"Jens R.","non-dropping-particle":"","parse-names":false,"suffix":""},{"dropping-particle":"","family":"Werge","given":"Thomas","non-dropping-particle":"","parse-names":false,"suffix":""},{"dropping-particle":"","family":"Daly","given":"Mark J.","non-dropping-particle":"","parse-names":false,"suffix":""},{"dropping-particle":"","family":"Sullivan","given":"Patrick F.","non-dropping-particle":"","parse-names":false,"suffix":""},{"dropping-particle":"","family":"O’Donovan","given":"Michael C.","non-dropping-particle":"","parse-names":false,"suffix":""},{"dropping-particle":"","family":"Kraft","given":"Peter","non-dropping-particle":"","parse-names":false,"suffix":""},{"dropping-particle":"","family":"Hunter","given":"David J.","non-dropping-particle":"","parse-names":false,"suffix":""},{"dropping-particle":"","family":"Adank","given":"Muriel","non-dropping-particle":"","parse-names":false,"suffix":""},{"dropping-particle":"","family":"Ahsan","given":"Habibul","non-dropping-particle":"","parse-names":false,"suffix":""},{"dropping-particle":"","family":"Aittomäki","given":"Kristiina","non-dropping-particle":"","parse-names":false,"suffix":""},{"dropping-particle":"","family":"Baglietto","given":"Laura","non-dropping-particle":"","parse-names":false,"suffix":""},{"dropping-particle":"","family":"Berndt","given":"Sonja","non-dropping-particle":"","parse-names":false,"suffix":""},{"dropping-particle":"","family":"Blomquist","given":"Carl","non-dropping-particle":"","parse-names":false,"suffix":""},{"dropping-particle":"","family":"Canzian","given":"Federico","non-dropping-particle":"","parse-names":false,"suffix":""},{"dropping-particle":"","family":"Chang-Claude","given":"Jenny","non-dropping-particle":"","parse-names":false,"suffix":""},{"dropping-particle":"","family":"Chanock","given":"Stephen J.","non-dropping-particle":"","parse-names":false,"suffix":""},{"dropping-particle":"","family":"Crisponi","given":"Laura","non-dropping-particle":"","parse-names":false,"suffix":""},{"dropping-particle":"","family":"Czene","given":"Kamila","non-dropping-particle":"","parse-names":false,"suffix":""},{"dropping-particle":"","family":"Dahmen","given":"Norbert","non-dropping-particle":"","parse-names":false,"suffix":""},{"dropping-particle":"","family":"Silva","given":"Isabel dos Santos","non-dropping-particle":"","parse-names":false,"suffix":""},{"dropping-particle":"","family":"Easton","given":"Douglas","non-dropping-particle":"","parse-names":false,"suffix":""},{"dropping-particle":"","family":"Eliassen","given":"A. Heather","non-dropping-particle":"","parse-names":false,"suffix":""},{"dropping-particle":"","family":"Figueroa","given":"Jonine","non-dropping-particle":"","parse-names":false,"suffix":""},{"dropping-particle":"","family":"Fletcher","given":"Olivia","non-dropping-particle":"","parse-names":false,"suffix":""},{"dropping-particle":"","family":"Garcia-Closas","given":"Montserrat","non-dropping-particle":"","parse-names":false,"suffix":""},{"dropping-particle":"","family":"Gaudet","given":"Mia M.","non-dropping-particle":"","parse-names":false,"suffix":""},{"dropping-particle":"","family":"Gibson","given":"Lorna","non-dropping-particle":"","parse-names":false,"suffix":""},{"dropping-particle":"","family":"Haiman","given":"Christopher A.","non-dropping-particle":"","parse-names":false,"suffix":""},{"dropping-particle":"","family":"Hall","given":"Per","non-dropping-particle":"","parse-names":false,"suffix":""},{"dropping-particle":"","family":"Hazra","given":"Aditi","non-dropping-particle":"","parse-names":false,"suffix":""},{"dropping-particle":"","family":"Hein","given":"Rebecca","non-dropping-particle":"","parse-names":false,"suffix":""},{"dropping-particle":"","family":"Henderson","given":"Brian E.","non-dropping-particle":"","parse-names":false,"suffix":""},{"dropping-particle":"","family":"Hofman","given":"Albert","non-dropping-particle":"","parse-names":false,"suffix":""},{"dropping-particle":"","family":"Hopper","given":"John L.","non-dropping-particle":"","parse-names":false,"suffix":""},{"dropping-particle":"","family":"Irwanto","given":"Astrid","non-dropping-particle":"","parse-names":false,"suffix":""},{"dropping-particle":"","family":"Johansson","given":"Mattias","non-dropping-particle":"","parse-names":false,"suffix":""},{"dropping-particle":"","family":"Kaaks","given":"Rudolf","non-dropping-particle":"","parse-names":false,"suffix":""},{"dropping-particle":"","family":"Kibriya","given":"Muhammad G.","non-dropping-particle":"","parse-names":false,"suffix":""},{"dropping-particle":"","family":"Lichtner","given":"Peter","non-dropping-particle":"","parse-names":false,"suffix":""},{"dropping-particle":"","family":"Lindström","given":"Sara","non-dropping-particle":"","parse-names":false,"suffix":""},{"dropping-particle":"","family":"Liu","given":"Jianjun","non-dropping-particle":"","parse-names":false,"suffix":""},{"dropping-particle":"","family":"Lund","given":"Eiliv","non-dropping-particle":"","parse-names":false,"suffix":""},{"dropping-particle":"","family":"Makalic","given":"Enes","non-dropping-particle":"","parse-names":false,"suffix":""},{"dropping-particle":"","family":"Meindl","given":"Alfons","non-dropping-particle":"","parse-names":false,"suffix":""},{"dropping-particle":"","family":"Meijers-Heijboer","given":"Hanne","non-dropping-particle":"","parse-names":false,"suffix":""},{"dropping-particle":"","family":"Müller-Myhsok","given":"Bertram","non-dropping-particle":"","parse-names":false,"suffix":""},{"dropping-particle":"","family":"Muranen","given":"Taru A.","non-dropping-particle":"","parse-names":false,"suffix":""},{"dropping-particle":"","family":"Nevanlinna","given":"Heli","non-dropping-particle":"","parse-names":false,"suffix":""},{"dropping-particle":"","family":"Peeters","given":"Petra H.","non-dropping-particle":"","parse-names":false,"suffix":""},{"dropping-particle":"","family":"Peto","given":"Julian","non-dropping-particle":"","parse-names":false,"suffix":""},{"dropping-particle":"","family":"Prentice","given":"Ross L.","non-dropping-particle":"","parse-names":false,"suffix":""},{"dropping-particle":"","family":"Rahman","given":"Nazneen","non-dropping-particle":"","parse-names":false,"suffix":""},{"dropping-particle":"","family":"Sánchez","given":"María José","non-dropping-particle":"","parse-names":false,"suffix":""},{"dropping-particle":"","family":"Schmidt","given":"Daniel F.","non-dropping-particle":"","parse-names":false,"suffix":""},{"dropping-particle":"","family":"Schmutzler","given":"Rita K.","non-dropping-particle":"","parse-names":false,"suffix":""},{"dropping-particle":"","family":"Southey","given":"Melissa C.","non-dropping-particle":"","parse-names":false,"suffix":""},{"dropping-particle":"","family":"Tamimi","given":"Rulla","non-dropping-particle":"","parse-names":false,"suffix":""},{"dropping-particle":"","family":"Travis","given":"Ruth","non-dropping-particle":"","parse-names":false,"suffix":""},{"dropping-particle":"","family":"Turnbull","given":"Clare","non-dropping-particle":"","parse-names":false,"suffix":""},{"dropping-particle":"","family":"Uitterlinden","given":"Andre G.","non-dropping-particle":"","parse-names":false,"suffix":""},{"dropping-particle":"","family":"Luijt","given":"Rob B.","non-dropping-particle":"van der","parse-names":false,"suffix":""},{"dropping-particle":"","family":"Waisfisz","given":"Quinten","non-dropping-particle":"","parse-names":false,"suffix":""},{"dropping-particle":"","family":"Wang","given":"Zhaoming","non-dropping-particle":"","parse-names":false,"suffix":""},{"dropping-particle":"","family":"Whittemore","given":"Alice S.","non-dropping-particle":"","parse-names":false,"suffix":""},{"dropping-particle":"","family":"Yang","given":"Rose","non-dropping-particle":"","parse-names":false,"suffix":""},{"dropping-particle":"","family":"Zheng","given":"Wei","non-dropping-particle":"","parse-names":false,"suffix":""},{"dropping-particle":"","family":"Kathiresan","given":"Sekar","non-dropping-particle":"","parse-names":false,"suffix":""},{"dropping-particle":"","family":"Pato","given":"Michele","non-dropping-particle":"","parse-names":false,"suffix":""},{"dropping-particle":"","family":"Pato","given":"Carlos","non-dropping-particle":"","parse-names":false,"suffix":""},{"dropping-particle":"","family":"Tamimi","given":"Rulla","non-dropping-particle":"","parse-names":false,"suffix":""},{"dropping-particle":"","family":"Stahl","given":"Eli","non-dropping-particle":"","parse-names":false,"suffix":""},{"dropping-particle":"","family":"Zaitlen","given":"Noah","non-dropping-particle":"","parse-names":false,"suffix":""},{"dropping-particle":"","family":"Pasaniuc","given":"Bogdan","non-dropping-particle":"","parse-names":false,"suffix":""},{"dropping-particle":"","family":"Belbin","given":"Gillian","non-dropping-particle":"","parse-names":false,"suffix":""},{"dropping-particle":"","family":"Kenny","given":"Eimear E.","non-dropping-particle":"","parse-names":false,"suffix":""},{"dropping-particle":"","family":"Schierup","given":"Mikkel H.","non-dropping-particle":"","parse-names":false,"suffix":""},{"dropping-particle":"","family":"Jager","given":"Philip","non-dropping-particle":"De","parse-names":false,"suffix":""},{"dropping-particle":"","family":"Patsopoulos","given":"Nikolaos A.","non-dropping-particle":"","parse-names":false,"suffix":""},{"dropping-particle":"","family":"McCarroll","given":"Steve","non-dropping-particle":"","parse-names":false,"suffix":""},{"dropping-particle":"","family":"Daly","given":"Mark","non-dropping-particle":"","parse-names":false,"suffix":""},{"dropping-particle":"","family":"Purcell","given":"Shaun","non-dropping-particle":"","parse-names":false,"suffix":""},{"dropping-particle":"","family":"Chasman","given":"Daniel","non-dropping-particle":"","parse-names":false,"suffix":""},{"dropping-particle":"","family":"Neale","given":"Benjamin","non-dropping-particle":"","parse-names":false,"suffix":""},{"dropping-particle":"","family":"Goddard","given":"Michael","non-dropping-particle":"","parse-names":false,"suffix":""},{"dropping-particle":"","family":"Visscher","given":"Peter M.","non-dropping-particle":"","parse-names":false,"suffix":""},{"dropping-particle":"","family":"Kraft","given":"Peter","non-dropping-particle":"","parse-names":false,"suffix":""},{"dropping-particle":"","family":"Patterson","given":"Nick","non-dropping-particle":"","parse-names":false,"suffix":""},{"dropping-particle":"","family":"Price","given":"Alkes L.","non-dropping-particle":"","parse-names":false,"suffix":""}],"container-title":"The American Journal of Human Genetics","id":"ITEM-1","issue":"4","issued":{"date-parts":[["2015","10","1"]]},"page":"576-592","publisher":"Cell Press","title":"Modeling Linkage Disequilibrium Increases Accuracy of Polygenic Risk Scores","type":"article-journal","volume":"97"},"uris":["http://www.mendeley.com/documents/?uuid=0b77bf0b-f683-340e-9ef0-dae38a97669c"]}],"mendeley":{"formattedCitation":"(Vilhjálmsson et al., 2015)","manualFormatting":"Vilhjálmsson et al., 2015)","plainTextFormattedCitation":"(Vilhjálmsson et al., 2015)","previouslyFormattedCitation":"(Vilhjálmsson et al., 2015)"},"properties":{"noteIndex":0},"schema":"https://github.com/citation-style-language/schema/raw/master/csl-citation.json"}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Vilhjálmsson et al., 2015)</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xml:space="preserve">, and modelling LD using the LD structure of a reference sample set specific for the NTR based on 1000 Genomes phase 1 genotypes (1000 Genomes Project Consortium, 2015). In line with earlier work on cognitive traits and psychiatric disorders, we set the fraction of causal markers to be .30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{"citationItems":[{"id":"ITEM-1","itemData":{"DOI":"10.1111/gbb.12472","ISSN":"16011848","author":[{"dropping-particle":"","family":"Abdellaoui","given":"A.","non-dropping-particle":"","parse-names":false,"suffix":""},{"dropping-particle":"","family":"Nivard","given":"M. G.","non-dropping-particle":"","parse-names":false,"suffix":""},{"dropping-particle":"","family":"Hottenga","given":"J.-J.","non-dropping-particle":"","parse-names":false,"suffix":""},{"dropping-particle":"","family":"Fedko","given":"I.","non-dropping-particle":"","parse-names":false,"suffix":""},{"dropping-particle":"","family":"Verweij","given":"K. J. H.","non-dropping-particle":"","parse-names":false,"suffix":""},{"dropping-particle":"","family":"Baselmans","given":"B. M. L.","non-dropping-particle":"","parse-names":false,"suffix":""},{"dropping-particle":"","family":"Ehli","given":"E. A.","non-dropping-particle":"","parse-names":false,"suffix":""},{"dropping-particle":"","family":"Davies","given":"G. E.","non-dropping-particle":"","parse-names":false,"suffix":""},{"dropping-particle":"","family":"Bartels","given":"M.","non-dropping-particle":"","parse-names":false,"suffix":""},{"dropping-particle":"","family":"Boomsma","given":"D. I.","non-dropping-particle":"","parse-names":false,"suffix":""},{"dropping-particle":"","family":"Cacioppo","given":"J. T.","non-dropping-particle":"","parse-names":false,"suffix":""}],"container-title":"Genes, Brain and Behavior","id":"ITEM-1","issue":"6","issued":{"date-parts":[["2018","7","1"]]},"page":"e12472","publisher":"John Wiley &amp; Sons, Ltd (10.1111)","title":"Predicting loneliness with polygenic scores of social, psychological and psychiatric traits","type":"article-journal","volume":"17"},"uris":["http://www.mendeley.com/documents/?uuid=d484f8b6-67fa-3418-ae39-71ea746f2b6c"]},{"id":"ITEM-2","itemData":{"DOI":"10.1016/J.AJHG.2015.09.001","ISSN":"0002-9297","abstract":"Polygenic risk scores have shown great promise in predicting complex disease risk and will become more accurate as training sample sizes increase. The standard approach for calculating risk scores involves linkage disequilibrium (LD)-based marker pruning and applying a p value threshold to association statistics, but this discards information and can reduce predictive accuracy. We introduce LDpred, a method that infers the posterior mean effect size of each marker by using a prior on effect sizes and LD information from an external reference panel. Theory and simulations show that LDpred outperforms the approach of pruning followed by thresholding, particularly at large sample sizes. Accordingly, predicted R2 increased from 20.1% to 25.3% in a large schizophrenia dataset and from 9.8% to 12.0% in a large multiple sclerosis dataset. A similar relative improvement in accuracy was observed for three additional large disease datasets and for non-European schizophrenia samples. The advantage of LDpred over existing methods will grow as sample sizes increase.","author":[{"dropping-particle":"","family":"Vilhjálmsson","given":"Bjarni J.","non-dropping-particle":"","parse-names":false,"suffix":""},{"dropping-particle":"","family":"Yang","given":"Jian","non-dropping-particle":"","parse-names":false,"suffix":""},{"dropping-particle":"","family":"Finucane","given":"Hilary K.","non-dropping-particle":"","parse-names":false,"suffix":""},{"dropping-particle":"","family":"Gusev","given":"Alexander","non-dropping-particle":"","parse-names":false,"suffix":""},{"dropping-particle":"","family":"Lindström","given":"Sara","non-dropping-particle":"","parse-names":false,"suffix":""},{"dropping-particle":"","family":"Ripke","given":"Stephan","non-dropping-particle":"","parse-names":false,"suffix":""},{"dropping-particle":"","family":"Genovese","given":"Giulio","non-dropping-particle":"","parse-names":false,"suffix":""},{"dropping-particle":"","family":"Loh","given":"Po-Ru","non-dropping-particle":"","parse-names":false,"suffix":""},{"dropping-particle":"","family":"Bhatia","given":"Gaurav","non-dropping-particle":"","parse-names":false,"suffix":""},{"dropping-particle":"","family":"Do","given":"Ron","non-dropping-particle":"","parse-names":false,"suffix":""},{"dropping-particle":"","family":"Hayeck","given":"Tristan","non-dropping-particle":"","parse-names":false,"suffix":""},{"dropping-particle":"","family":"Won","given":"Hong-Hee","non-dropping-particle":"","parse-names":false,"suffix":""},{"dropping-particle":"","family":"Ripke","given":"Stephan","non-dropping-particle":"","parse-names":false,"suffix":""},{"dropping-particle":"","family":"Neale","given":"Benjamin M.","non-dropping-particle":"","parse-names":false,"suffix":""},{"dropping-particle":"","family":"Corvin","given":"Aiden","non-dropping-particle":"","parse-names":false,"suffix":""},{"dropping-particle":"","family":"Walters","given":"James T.R.","non-dropping-particle":"","parse-names":false,"suffix":""},{"dropping-particle":"","family":"Farh","given":"Kai-How","non-dropping-particle":"","parse-names":false,"suffix":""},{"dropping-particle":"","family":"Holmans","given":"Peter A.","non-dropping-particle":"","parse-names":false,"suffix":""},{"dropping-particle":"","family":"Lee","given":"Phil","non-dropping-particle":"","parse-names":false,"suffix":""},{"dropping-particle":"","family":"Bulik-Sullivan","given":"Brendan","non-dropping-particle":"","parse-names":false,"suffix":""},{"dropping-particle":"","family":"Collier","given":"David A.","non-dropping-particle":"","parse-names":false,"suffix":""},{"dropping-particle":"","family":"Huang","given":"Hailiang","non-dropping-particle":"","parse-names":false,"suffix":""},{"dropping-particle":"","family":"Pers","given":"Tune H.","non-dropping-particle":"","parse-names":false,"suffix":""},{"dropping-particle":"","family":"Agartz","given":"Ingrid","non-dropping-particle":"","parse-names":false,"suffix":""},{"dropping-particle":"","family":"Agerbo","given":"Esben","non-dropping-particle":"","parse-names":false,"suffix":""},{"dropping-particle":"","family":"Albus","given":"Margot","non-dropping-particle":"","parse-names":false,"suffix":""},{"dropping-particle":"","family":"Alexander","given":"Madeline","non-dropping-particle":"","parse-names":false,"suffix":""},{"dropping-particle":"","family":"Amin","given":"Farooq","non-dropping-particle":"","parse-names":false,"suffix":""},{"dropping-particle":"","family":"Bacanu","given":"Silviu A.","non-dropping-particle":"","parse-names":false,"suffix":""},{"dropping-particle":"","family":"Begemann","given":"Martin","non-dropping-particle":"","parse-names":false,"suffix":""},{"dropping-particle":"","family":"Belliveau","given":"Richard A.","non-dropping-particle":"","parse-names":false,"suffix":""},{"dropping-particle":"","family":"Bene","given":"Judit","non-dropping-particle":"","parse-names":false,"suffix":""},{"dropping-particle":"","family":"Bergen","given":"Sarah E.","non-dropping-particle":"","parse-names":false,"suffix":""},{"dropping-particle":"","family":"Bevilacqua","given":"Elizabeth","non-dropping-particle":"","parse-names":false,"suffix":""},{"dropping-particle":"","family":"Bigdeli","given":"Tim B.","non-dropping-particle":"","parse-names":false,"suffix":""},{"dropping-particle":"","family":"Black","given":"Donald W.","non-dropping-particle":"","parse-names":false,"suffix":""},{"dropping-particle":"","family":"Bruggeman","given":"Richard","non-dropping-particle":"","parse-names":false,"suffix":""},{"dropping-particle":"","family":"Buccola","given":"Nancy G.","non-dropping-particle":"","parse-names":false,"suffix":""},{"dropping-particle":"","family":"Buckner","given":"Randy L.","non-dropping-particle":"","parse-names":false,"suffix":""},{"dropping-particle":"","family":"Byerley","given":"William","non-dropping-particle":"","parse-names":false,"suffix":""},{"dropping-particle":"","family":"Cahn","given":"Wiepke","non-dropping-particle":"","parse-names":false,"suffix":""},{"dropping-particle":"","family":"Cai","given":"Guiqing","non-dropping-particle":"","parse-names":false,"suffix":""},{"dropping-particle":"","family":"Campion","given":"Dominique","non-dropping-particle":"","parse-names":false,"suffix":""},{"dropping-particle":"","family":"Cantor","given":"Rita M.","non-dropping-particle":"","parse-names":false,"suffix":""},{"dropping-particle":"","family":"Carr","given":"Vaughan J.","non-dropping-particle":"","parse-names":false,"suffix":""},{"dropping-particle":"","family":"Carrera","given":"Noa","non-dropping-particle":"","parse-names":false,"suffix":""},{"dropping-particle":"","family":"Catts","given":"Stanley V.","non-dropping-particle":"","parse-names":false,"suffix":""},{"dropping-particle":"","family":"Chambert","given":"Kimberly D.","non-dropping-particle":"","parse-names":false,"suffix":""},{"dropping-particle":"","family":"Chan","given":"Raymond C.K.","non-dropping-particle":"","parse-names":false,"suffix":""},{"dropping-particle":"","family":"Chen","given":"Ronald Y.L.","non-dropping-particle":"","parse-names":false,"suffix":""},{"dropping-particle":"","family":"Chen","given":"Eric Y.H.","non-dropping-particle":"","parse-names":false,"suffix":""},{"dropping-particle":"","family":"Cheng","given":"Wei","non-dropping-particle":"","parse-names":false,"suffix":""},{"dropping-particle":"","family":"Cheung","given":"Eric F.C.","non-dropping-particle":"","parse-names":false,"suffix":""},{"dropping-particle":"","family":"Chong","given":"Siow Ann","non-dropping-particle":"","parse-names":false,"suffix":""},{"dropping-particle":"","family":"Cloninger","given":"C. Robert","non-dropping-particle":"","parse-names":false,"suffix":""},{"dropping-particle":"","family":"Cohen","given":"David","non-dropping-particle":"","parse-names":false,"suffix":""},{"dropping-particle":"","family":"Cohen","given":"Nadine","non-dropping-particle":"","parse-names":false,"suffix":""},{"dropping-particle":"","family":"Cormican","given":"Paul","non-dropping-particle":"","parse-names":false,"suffix":""},{"dropping-particle":"","family":"Craddock","given":"Nick","non-dropping-particle":"","parse-names":false,"suffix":""},{"dropping-particle":"","family":"Crowley","given":"James J.","non-dropping-particle":"","parse-names":false,"suffix":""},{"dropping-particle":"","family":"Curtis","given":"David","non-dropping-particle":"","parse-names":false,"suffix":""},{"dropping-particle":"","family":"Davidson","given":"Michael","non-dropping-particle":"","parse-names":false,"suffix":""},{"dropping-particle":"","family":"Davis","given":"Kenneth L.","non-dropping-particle":"","parse-names":false,"suffix":""},{"dropping-particle":"","family":"Degenhardt","given":"Franziska","non-dropping-particle":"","parse-names":false,"suffix":""},{"dropping-particle":"","family":"Del Favero","given":"Jurgen","non-dropping-particle":"","parse-names":false,"suffix":""},{"dropping-particle":"","family":"DeLisi","given":"Lynn E.","non-dropping-particle":"","parse-names":false,"suffix":""},{"dropping-particle":"","family":"Demontis","given":"Ditte","non-dropping-particle":"","parse-names":false,"suffix":""},{"dropping-particle":"","family":"Dikeos","given":"Dimitris","non-dropping-particle":"","parse-names":false,"suffix":""},{"dropping-particle":"","family":"Dinan","given":"Timothy","non-dropping-particle":"","parse-names":false,"suffix":""},{"dropping-particle":"","family":"Djurovic","given":"Srdjan","non-dropping-particle":"","parse-names":false,"suffix":""},{"dropping-particle":"","family":"Donohoe","given":"Gary","non-dropping-particle":"","parse-names":false,"suffix":""},{"dropping-particle":"","family":"Drapeau","given":"Elodie","non-dropping-particle":"","parse-names":false,"suffix":""},{"dropping-particle":"","family":"Duan","given":"Jubao","non-dropping-particle":"","parse-names":false,"suffix":""},{"dropping-particle":"","family":"Dudbridge","given":"Frank","non-dropping-particle":"","parse-names":false,"suffix":""},{"dropping-particle":"","family":"Durmishi","given":"Naser","non-dropping-particle":"","parse-names":false,"suffix":""},{"dropping-particle":"","family":"Eichhammer","given":"Peter","non-dropping-particle":"","parse-names":false,"suffix":""},{"dropping-particle":"","family":"Eriksson","given":"Johan","non-dropping-particle":"","parse-names":false,"suffix":""},{"dropping-particle":"","family":"Escott-Price","given":"Valentina","non-dropping-particle":"","parse-names":false,"suffix":""},{"dropping-particle":"","family":"Essioux","given":"Laurent","non-dropping-particle":"","parse-names":false,"suffix":""},{"dropping-particle":"","family":"Fanous","given":"Ayman H.","non-dropping-particle":"","parse-names":false,"suffix":""},{"dropping-particle":"","family":"Farrell","given":"Martilias S.","non-dropping-particle":"","parse-names":false,"suffix":""},{"dropping-particle":"","family":"Frank","given":"Josef","non-dropping-particle":"","parse-names":false,"suffix":""},{"dropping-particle":"","family":"Franke","given":"Lude","non-dropping-particle":"","parse-names":false,"suffix":""},{"dropping-particle":"","family":"Freedman","given":"Robert","non-dropping-particle":"","parse-names":false,"suffix":""},{"dropping-particle":"","family":"Freimer","given":"Nelson B.","non-dropping-particle":"","parse-names":false,"suffix":""},{"dropping-particle":"","family":"Friedl","given":"Marion","non-dropping-particle":"","parse-names":false,"suffix":""},{"dropping-particle":"","family":"Friedman","given":"Joseph I.","non-dropping-particle":"","parse-names":false,"suffix":""},{"dropping-particle":"","family":"Fromer","given":"Menachem","non-dropping-particle":"","parse-names":false,"suffix":""},{"dropping-particle":"","family":"Genovese","given":"Giulio","non-dropping-particle":"","parse-names":false,"suffix":""},{"dropping-particle":"","family":"Georgieva","given":"Lyudmila","non-dropping-particle":"","parse-names":false,"suffix":""},{"dropping-particle":"","family":"Gershon","given":"Elliot S.","non-dropping-particle":"","parse-names":false,"suffix":""},{"dropping-particle":"","family":"Giegling","given":"Ina","non-dropping-particle":"","parse-names":false,"suffix":""},{"dropping-particle":"","family":"Giusti-Rodrguez","given":"Paola","non-dropping-particle":"","parse-names":false,"suffix":""},{"dropping-particle":"","family":"Godard","given":"Stephanie","non-dropping-particle":"","parse-names":false,"suffix":""},{"dropping-particle":"","family":"Goldstein","given":"Jacqueline I.","non-dropping-particle":"","parse-names":false,"suffix":""},{"dropping-particle":"","family":"Golimbet","given":"Vera","non-dropping-particle":"","parse-names":false,"suffix":""},{"dropping-particle":"","family":"Gopal","given":"Srihari","non-dropping-particle":"","parse-names":false,"suffix":""},{"dropping-particle":"","family":"Gratten","given":"Jacob","non-dropping-particle":"","parse-names":false,"suffix":""},{"dropping-particle":"","family":"Grove","given":"Jakob","non-dropping-particle":"","parse-names":false,"suffix":""},{"dropping-particle":"","family":"de Haan","given":"Lieuwe","non-dropping-particle":"","parse-names":false,"suffix":""},{"dropping-particle":"","family":"Hammer","given":"Christian","non-dropping-particle":"","parse-names":false,"suffix":""},{"dropping-particle":"","family":"Hamshere","given":"Marian L.","non-dropping-particle":"","parse-names":false,"suffix":""},{"dropping-particle":"","family":"Hansen","given":"Mark","non-dropping-particle":"","parse-names":false,"suffix":""},{"dropping-particle":"","family":"Hansen","given":"Thomas","non-dropping-particle":"","parse-names":false,"suffix":""},{"dropping-particle":"","family":"Haroutunian","given":"Vahram","non-dropping-particle":"","parse-names":false,"suffix":""},{"dropping-particle":"","family":"Hartmann","given":"Annette M.","non-dropping-particle":"","parse-names":false,"suffix":""},{"dropping-particle":"","family":"Henskens","given":"Frans A.","non-dropping-particle":"","parse-names":false,"suffix":""},{"dropping-particle":"","family":"Herms","given":"Stefan","non-dropping-particle":"","parse-names":false,"suffix":""},{"dropping-particle":"","family":"Hirschhorn","given":"Joel N.","non-dropping-particle":"","parse-names":false,"suffix":""},{"dropping-particle":"","family":"Hoffmann","given":"Per","non-dropping-particle":"","parse-names":false,"suffix":""},{"dropping-particle":"","family":"Hofman","given":"Andrea","non-dropping-particle":"","parse-names":false,"suffix":""},{"dropping-particle":"","family":"Hollegaard","given":"Mads V.","non-dropping-particle":"","parse-names":false,"suffix":""},{"dropping-particle":"","family":"Hougaard","given":"David M.","non-dropping-particle":"","parse-names":false,"suffix":""},{"dropping-particle":"","family":"Ikeda","given":"Masashi","non-dropping-particle":"","parse-names":false,"suffix":""},{"dropping-particle":"","family":"Joa","given":"Inge","non-dropping-particle":"","parse-names":false,"suffix":""},{"dropping-particle":"","family":"Julia","given":"Antonio","non-dropping-particle":"","parse-names":false,"suffix":""},{"dropping-particle":"","family":"Kahn","given":"Rene S.","non-dropping-particle":"","parse-names":false,"suffix":""},{"dropping-particle":"","family":"Kalaydjieva","given":"Luba","non-dropping-particle":"","parse-names":false,"suffix":""},{"dropping-particle":"","family":"Karachanak-Yankova","given":"Sena","non-dropping-particle":"","parse-names":false,"suffix":""},{"dropping-particle":"","family":"Karjalainen","given":"Juha","non-dropping-particle":"","parse-names":false,"suffix":""},{"dropping-particle":"","family":"Kavanagh","given":"David","non-dropping-particle":"","parse-names":false,"suffix":""},{"dropping-particle":"","family":"Keller","given":"Matthew C.","non-dropping-particle":"","parse-names":false,"suffix":""},{"dropping-particle":"","family":"Kelly","given":"Brian J.","non-dropping-particle":"","parse-names":false,"suffix":""},{"dropping-particle":"","family":"Kennedy","given":"James L.","non-dropping-particle":"","parse-names":false,"suffix":""},{"dropping-particle":"","family":"Khrunin","given":"Andrey","non-dropping-particle":"","parse-names":false,"suffix":""},{"dropping-particle":"","family":"Kim","given":"Yunjung","non-dropping-particle":"","parse-names":false,"suffix":""},{"dropping-particle":"","family":"Klovins","given":"Janis","non-dropping-particle":"","parse-names":false,"suffix":""},{"dropping-particle":"","family":"Knowles","given":"James A.","non-dropping-particle":"","parse-names":false,"suffix":""},{"dropping-particle":"","family":"Konte","given":"Bettina","non-dropping-particle":"","parse-names":false,"suffix":""},{"dropping-particle":"","family":"Kucinskas","given":"Vaidutis","non-dropping-particle":"","parse-names":false,"suffix":""},{"dropping-particle":"","family":"Kucinskiene","given":"Zita Ausrele","non-dropping-particle":"","parse-names":false,"suffix":""},{"dropping-particle":"","family":"Kuzelova-Ptackova","given":"Hana","non-dropping-particle":"","parse-names":false,"suffix":""},{"dropping-particle":"","family":"Kahler","given":"Anna K.","non-dropping-particle":"","parse-names":false,"suffix":""},{"dropping-particle":"","family":"Laurent","given":"Claudine","non-dropping-particle":"","parse-names":false,"suffix":""},{"dropping-particle":"","family":"Keong","given":"Jimmy Lee Chee","non-dropping-particle":"","parse-names":false,"suffix":""},{"dropping-particle":"","family":"Lee","given":"S. Hong","non-dropping-particle":"","parse-names":false,"suffix":""},{"dropping-particle":"","family":"Legge","given":"Sophie E.","non-dropping-particle":"","parse-names":false,"suffix":""},{"dropping-particle":"","family":"Lerer","given":"Bernard","non-dropping-particle":"","parse-names":false,"suffix":""},{"dropping-particle":"","family":"Li","given":"Miaoxin","non-dropping-particle":"","parse-names":false,"suffix":""},{"dropping-particle":"","family":"Li","given":"Tao","non-dropping-particle":"","parse-names":false,"suffix":""},{"dropping-particle":"","family":"Liang","given":"Kung-Yee","non-dropping-particle":"","parse-names":false,"suffix":""},{"dropping-particle":"","family":"Lieberman","given":"Jeffrey","non-dropping-particle":"","parse-names":false,"suffix":""},{"dropping-particle":"","family":"Limborska","given":"Svetlana","non-dropping-particle":"","parse-names":false,"suffix":""},{"dropping-particle":"","family":"Loughland","given":"Carmel M.","non-dropping-particle":"","parse-names":false,"suffix":""},{"dropping-particle":"","family":"Lubinski","given":"Jan","non-dropping-particle":"","parse-names":false,"suffix":""},{"dropping-particle":"","family":"Lnnqvist","given":"Jouko","non-dropping-particle":"","parse-names":false,"suffix":""},{"dropping-particle":"","family":"Macek","given":"Milan","non-dropping-particle":"","parse-names":false,"suffix":""},{"dropping-particle":"","family":"Magnusson","given":"Patrik K.E.","non-dropping-particle":"","parse-names":false,"suffix":""},{"dropping-particle":"","family":"Maher","given":"Brion S.","non-dropping-particle":"","parse-names":false,"suffix":""},{"dropping-particle":"","family":"Maier","given":"Wolfgang","non-dropping-particle":"","parse-names":false,"suffix":""},{"dropping-particle":"","family":"Mallet","given":"Jacques","non-dropping-particle":"","parse-names":false,"suffix":""},{"dropping-particle":"","family":"Marsal","given":"Sara","non-dropping-particle":"","parse-names":false,"suffix":""},{"dropping-particle":"","family":"Mattheisen","given":"Manuel","non-dropping-particle":"","parse-names":false,"suffix":""},{"dropping-particle":"","family":"Mattingsdal","given":"Morten","non-dropping-particle":"","parse-names":false,"suffix":""},{"dropping-particle":"","family":"McCarley","given":"Robert W.","non-dropping-particle":"","parse-names":false,"suffix":""},{"dropping-particle":"","family":"McDonald","given":"Colm","non-dropping-particle":"","parse-names":false,"suffix":""},{"dropping-particle":"","family":"McIntosh","given":"Andrew M.","non-dropping-particle":"","parse-names":false,"suffix":""},{"dropping-particle":"","family":"Meier","given":"Sandra","non-dropping-particle":"","parse-names":false,"suffix":""},{"dropping-particle":"","family":"Meijer","given":"Carin J.","non-dropping-particle":"","parse-names":false,"suffix":""},{"dropping-particle":"","family":"Melegh","given":"Bela","non-dropping-particle":"","parse-names":false,"suffix":""},{"dropping-particle":"","family":"Melle","given":"Ingrid","non-dropping-particle":"","parse-names":false,"suffix":""},{"dropping-particle":"","family":"Mesholam-Gately","given":"Raquelle I.","non-dropping-particle":"","parse-names":false,"suffix":""},{"dropping-particle":"","family":"Metspalu","given":"Andres","non-dropping-particle":"","parse-names":false,"suffix":""},{"dropping-particle":"","family":"Michie","given":"Patricia T.","non-dropping-particle":"","parse-names":false,"suffix":""},{"dropping-particle":"","family":"Milani","given":"Lili","non-dropping-particle":"","parse-names":false,"suffix":""},{"dropping-particle":"","family":"Milanova","given":"Vihra","non-dropping-particle":"","parse-names":false,"suffix":""},{"dropping-particle":"","family":"Mokrab","given":"Younes","non-dropping-particle":"","parse-names":false,"suffix":""},{"dropping-particle":"","family":"Morris","given":"Derek W.","non-dropping-particle":"","parse-names":false,"suffix":""},{"dropping-particle":"","family":"Mors","given":"Ole","non-dropping-particle":"","parse-names":false,"suffix":""},{"dropping-particle":"","family":"Mortensen","given":"Preben B.","non-dropping-particle":"","parse-names":false,"suffix":""},{"dropping-particle":"","family":"Murphy","given":"Kieran C.","non-dropping-particle":"","parse-names":false,"suffix":""},{"dropping-particle":"","family":"Murray","given":"Robin M.","non-dropping-particle":"","parse-names":false,"suffix":""},{"dropping-particle":"","family":"Myin-Germeys","given":"Inez","non-dropping-particle":"","parse-names":false,"suffix":""},{"dropping-particle":"","family":"Mller-Myhsok","given":"Bertram","non-dropping-particle":"","parse-names":false,"suffix":""},{"dropping-particle":"","family":"Nelis","given":"Mari","non-dropping-particle":"","parse-names":false,"suffix":""},{"dropping-particle":"","family":"Nenadic","given":"Igor","non-dropping-particle":"","parse-names":false,"suffix":""},{"dropping-particle":"","family":"Nertney","given":"Deborah A.","non-dropping-particle":"","parse-names":false,"suffix":""},{"dropping-particle":"","family":"Nestadt","given":"Gerald","non-dropping-particle":"","parse-names":false,"suffix":""},{"dropping-particle":"","family":"Nicodemus","given":"Kristin K.","non-dropping-particle":"","parse-names":false,"suffix":""},{"dropping-particle":"","family":"Nikitina-Zake","given":"Liene","non-dropping-particle":"","parse-names":false,"suffix":""},{"dropping-particle":"","family":"Nisenbaum","given":"Laura","non-dropping-particle":"","parse-names":false,"suffix":""},{"dropping-particle":"","family":"Nordin","given":"Annelie","non-dropping-particle":"","parse-names":false,"suffix":""},{"dropping-particle":"","family":"O’Callaghan","given":"Eadbhard","non-dropping-particle":"","parse-names":false,"suffix":""},{"dropping-particle":"","family":"O’Dushlaine","given":"Colm","non-dropping-particle":"","parse-names":false,"suffix":""},{"dropping-particle":"","family":"O’Neill","given":"F. Anthony","non-dropping-particle":"","parse-names":false,"suffix":""},{"dropping-particle":"","family":"Oh","given":"Sang-Yun","non-dropping-particle":"","parse-names":false,"suffix":""},{"dropping-particle":"","family":"Olincy","given":"Ann","non-dropping-particle":"","parse-names":false,"suffix":""},{"dropping-particle":"","family":"Olsen","given":"Line","non-dropping-particle":"","parse-names":false,"suffix":""},{"dropping-particle":"","family":"Van Os","given":"Jim","non-dropping-particle":"","parse-names":false,"suffix":""},{"dropping-particle":"","family":"Pantelis","given":"Christos","non-dropping-particle":"","parse-names":false,"suffix":""},{"dropping-particle":"","family":"Papadimitriou","given":"George N.","non-dropping-particle":"","parse-names":false,"suffix":""},{"dropping-particle":"","family":"Papiol","given":"Sergi","non-dropping-particle":"","parse-names":false,"suffix":""},{"dropping-particle":"","family":"Parkhomenko","given":"Elena","non-dropping-particle":"","parse-names":false,"suffix":""},{"dropping-particle":"","family":"Pato","given":"Michele T.","non-dropping-particle":"","parse-names":false,"suffix":""},{"dropping-particle":"","family":"Paunio","given":"Tiina","non-dropping-particle":"","parse-names":false,"suffix":""},{"dropping-particle":"","family":"Pejovic-Milovancevic","given":"Milica","non-dropping-particle":"","parse-names":false,"suffix":""},{"dropping-particle":"","family":"Perkins","given":"Diana O.","non-dropping-particle":"","parse-names":false,"suffix":""},{"dropping-particle":"","family":"Pietilinen","given":"Olli","non-dropping-particle":"","parse-names":false,"suffix":""},{"dropping-particle":"","family":"Pimm","given":"Jonathan","non-dropping-particle":"","parse-names":false,"suffix":""},{"dropping-particle":"","family":"Pocklington","given":"Andrew J.","non-dropping-particle":"","parse-names":false,"suffix":""},{"dropping-particle":"","family":"Powell","given":"John","non-dropping-particle":"","parse-names":false,"suffix":""},{"dropping-particle":"","family":"Price","given":"Alkes","non-dropping-particle":"","parse-names":false,"suffix":""},{"dropping-particle":"","family":"Pulver","given":"Ann E.","non-dropping-particle":"","parse-names":false,"suffix":""},{"dropping-particle":"","family":"Purcell","given":"Shaun M.","non-dropping-particle":"","parse-names":false,"suffix":""},{"dropping-particle":"","family":"Quested","given":"Digby","non-dropping-particle":"","parse-names":false,"suffix":""},{"dropping-particle":"","family":"Rasmussen","given":"Henrik B.","non-dropping-particle":"","parse-names":false,"suffix":""},{"dropping-particle":"","family":"Reichenberg","given":"Abraham","non-dropping-particle":"","parse-names":false,"suffix":""},{"dropping-particle":"","family":"Reimers","given":"Mark A.","non-dropping-particle":"","parse-names":false,"suffix":""},{"dropping-particle":"","family":"Richards","given":"Alexander L.","non-dropping-particle":"","parse-names":false,"suffix":""},{"dropping-particle":"","family":"Roffman","given":"Joshua L.","non-dropping-particle":"","parse-names":false,"suffix":""},{"dropping-particle":"","family":"Roussos","given":"Panos","non-dropping-particle":"","parse-names":false,"suffix":""},{"dropping-particle":"","family":"Ruderfer","given":"Douglas M.","non-dropping-particle":"","parse-names":false,"suffix":""},{"dropping-particle":"","family":"Salomaa","given":"Veikko","non-dropping-particle":"","parse-names":false,"suffix":""},{"dropping-particle":"","family":"Sanders","given":"Alan R.","non-dropping-particle":"","parse-names":false,"suffix":""},{"dropping-particle":"","family":"Schall","given":"Ulrich","non-dropping-particle":"","parse-names":false,"suffix":""},{"dropping-particle":"","family":"Schubert","given":"Christian R.","non-dropping-particle":"","parse-names":false,"suffix":""},{"dropping-particle":"","family":"Schulze","given":"Thomas G.","non-dropping-particle":"","parse-names":false,"suffix":""},{"dropping-particle":"","family":"Schwab","given":"Sibylle G.","non-dropping-particle":"","parse-names":false,"suffix":""},{"dropping-particle":"","family":"Scolnick","given":"Edward M.","non-dropping-particle":"","parse-names":false,"suffix":""},{"dropping-particle":"","family":"Scott","given":"Rodney J.","non-dropping-particle":"","parse-names":false,"suffix":""},{"dropping-particle":"","family":"Seidman","given":"Larry J.","non-dropping-particle":"","parse-names":false,"suffix":""},{"dropping-particle":"","family":"Shi","given":"Jianxin","non-dropping-particle":"","parse-names":false,"suffix":""},{"dropping-particle":"","family":"Sigurdsson","given":"Engilbert","non-dropping-particle":"","parse-names":false,"suffix":""},{"dropping-particle":"","family":"Silagadze","given":"Teimuraz","non-dropping-particle":"","parse-names":false,"suffix":""},{"dropping-particle":"","family":"Silverman","given":"Jeremy M.","non-dropping-particle":"","parse-names":false,"suffix":""},{"dropping-particle":"","family":"Sim","given":"Kang","non-dropping-particle":"","parse-names":false,"suffix":""},{"dropping-particle":"","family":"Slominsky","given":"Petr","non-dropping-particle":"","parse-names":false,"suffix":""},{"dropping-particle":"","family":"Smoller","given":"Jordan W.","non-dropping-particle":"","parse-names":false,"suffix":""},{"dropping-particle":"","family":"So","given":"Hon-Cheong","non-dropping-particle":"","parse-names":false,"suffix":""},{"dropping-particle":"","family":"Spencer","given":"Chris C.A.","non-dropping-particle":"","parse-names":false,"suffix":""},{"dropping-particle":"","family":"Stahl","given":"Eli A.","non-dropping-particle":"","parse-names":false,"suffix":""},{"dropping-particle":"","family":"Stefansson","given":"Hreinn","non-dropping-particle":"","parse-names":false,"suffix":""},{"dropping-particle":"","family":"Steinberg","given":"Stacy","non-dropping-particle":"","parse-names":false,"suffix":""},{"dropping-particle":"","family":"Stogmann","given":"Elisabeth","non-dropping-particle":"","parse-names":false,"suffix":""},{"dropping-particle":"","family":"Straub","given":"Richard E.","non-dropping-particle":"","parse-names":false,"suffix":""},{"dropping-particle":"","family":"Strengman","given":"Eric","non-dropping-particle":"","parse-names":false,"suffix":""},{"dropping-particle":"","family":"Strohmaier","given":"Jana","non-dropping-particle":"","parse-names":false,"suffix":""},{"dropping-particle":"","family":"Stroup","given":"T. Scott","non-dropping-particle":"","parse-names":false,"suffix":""},{"dropping-particle":"","family":"Subramaniam","given":"Mythily","non-dropping-particle":"","parse-names":false,"suffix":""},{"dropping-particle":"","family":"Suvisaari","given":"Jaana","non-dropping-particle":"","parse-names":false,"suffix":""},{"dropping-particle":"","family":"Svrakic","given":"Dragan M.","non-dropping-particle":"","parse-names":false,"suffix":""},{"dropping-particle":"","family":"Szatkiewicz","given":"Jin P.","non-dropping-particle":"","parse-names":false,"suffix":""},{"dropping-particle":"","family":"Sderman","given":"Erik","non-dropping-particle":"","parse-names":false,"suffix":""},{"dropping-particle":"","family":"Thirumalai","given":"Srinivas","non-dropping-particle":"","parse-names":false,"suffix":""},{"dropping-particle":"","family":"Toncheva","given":"Draga","non-dropping-particle":"","parse-names":false,"suffix":""},{"dropping-particle":"","family":"Tooney","given":"Paul A.","non-dropping-particle":"","parse-names":false,"suffix":""},{"dropping-particle":"","family":"Tosato","given":"Sarah","non-dropping-particle":"","parse-names":false,"suffix":""},{"dropping-particle":"","family":"Veijola","given":"Juha","non-dropping-particle":"","parse-names":false,"suffix":""},{"dropping-particle":"","family":"Waddington","given":"John","non-dropping-particle":"","parse-names":false,"suffix":""},{"dropping-particle":"","family":"Walsh","given":"Dermot","non-dropping-particle":"","parse-names":false,"suffix":""},{"dropping-particle":"","family":"Wang","given":"Dai","non-dropping-particle":"","parse-names":false,"suffix":""},{"dropping-particle":"","family":"Wang","given":"Qiang","non-dropping-particle":"","parse-names":false,"suffix":""},{"dropping-particle":"","family":"Webb","given":"Bradley T.","non-dropping-particle":"","parse-names":false,"suffix":""},{"dropping-particle":"","family":"Weiser","given":"Mark","non-dropping-particle":"","parse-names":false,"suffix":""},{"dropping-particle":"","family":"Wildenauer","given":"Dieter B.","non-dropping-particle":"","parse-names":false,"suffix":""},{"dropping-particle":"","family":"Williams","given":"Nigel M.","non-dropping-particle":"","parse-names":false,"suffix":""},{"dropping-particle":"","family":"Williams","given":"Stephanie","non-dropping-particle":"","parse-names":false,"suffix":""},{"dropping-particle":"","family":"Witt","given":"Stephanie H.","non-dropping-particle":"","parse-names":false,"suffix":""},{"dropping-particle":"","family":"Wolen","given":"Aaron R.","non-dropping-particle":"","parse-names":false,"suffix":""},{"dropping-particle":"","family":"Wong","given":"Emily H.M.","non-dropping-particle":"","parse-names":false,"suffix":""},{"dropping-particle":"","family":"Wormley","given":"Brandon K.","non-dropping-particle":"","parse-names":false,"suffix":""},{"dropping-particle":"","family":"Wu","given":"Jing Qin","non-dropping-particle":"","parse-names":false,"suffix":""},{"dropping-particle":"","family":"Xi","given":"Hualin Simon","non-dropping-particle":"","parse-names":false,"suffix":""},{"dropping-particle":"","family":"Zai","given":"Clement C.","non-dropping-particle":"","parse-names":false,"suffix":""},{"dropping-particle":"","family":"Zheng","given":"Xuebin","non-dropping-particle":"","parse-names":false,"suffix":""},{"dropping-particle":"","family":"Zimprich","given":"Fritz","non-dropping-particle":"","parse-names":false,"suffix":""},{"dropping-particle":"","family":"Wray","given":"Naomi R.","non-dropping-particle":"","parse-names":false,"suffix":""},{"dropping-particle":"","family":"Stefansson","given":"Kari","non-dropping-particle":"","parse-names":false,"suffix":""},{"dropping-particle":"","family":"Visscher","given":"Peter M.","non-dropping-particle":"","parse-names":false,"suffix":""},{"dropping-particle":"","family":"Adolfsson","given":"Rolf","non-dropping-particle":"","parse-names":false,"suffix":""},{"dropping-particle":"","family":"Andreassen","given":"Ole A.","non-dropping-particle":"","parse-names":false,"suffix":""},{"dropping-particle":"","family":"Blackwood","given":"Douglas H.R.","non-dropping-particle":"","parse-names":false,"suffix":""},{"dropping-particle":"","family":"Bramon","given":"Elvira","non-dropping-particle":"","parse-names":false,"suffix":""},{"dropping-particle":"","family":"Buxbaum","given":"Joseph D.","non-dropping-particle":"","parse-names":false,"suffix":""},{"dropping-particle":"","family":"Børglum","given":"Anders D.","non-dropping-particle":"","parse-names":false,"suffix":""},{"dropping-particle":"","family":"Cichon","given":"Sven","non-dropping-particle":"","parse-names":false,"suffix":""},{"dropping-particle":"","family":"Darvasi","given":"Ariel","non-dropping-particle":"","parse-names":false,"suffix":""},{"dropping-particle":"","family":"Domenici","given":"Enrico","non-dropping-particle":"","parse-names":false,"suffix":""},{"dropping-particle":"","family":"Ehrenreich","given":"Hannelore","non-dropping-particle":"","parse-names":false,"suffix":""},{"dropping-particle":"","family":"Esko","given":"Tonu","non-dropping-particle":"","parse-names":false,"suffix":""},{"dropping-particle":"","family":"Gejman","given":"Pablo V.","non-dropping-particle":"","parse-names":false,"suffix":""},{"dropping-particle":"","family":"Gill","given":"Michael","non-dropping-particle":"","parse-names":false,"suffix":""},{"dropping-particle":"","family":"Gurling","given":"Hugh","non-dropping-particle":"","parse-names":false,"suffix":""},{"dropping-particle":"","family":"Hultman","given":"Christina M.","non-dropping-particle":"","parse-names":false,"suffix":""},{"dropping-particle":"","family":"Iwata","given":"Nakao","non-dropping-particle":"","parse-names":false,"suffix":""},{"dropping-particle":"","family":"Jablensky","given":"Assen V.","non-dropping-particle":"","parse-names":false,"suffix":""},{"dropping-particle":"","family":"Jonsson","given":"Erik G.","non-dropping-particle":"","parse-names":false,"suffix":""},{"dropping-particle":"","family":"Kendler","given":"Kenneth S.","non-dropping-particle":"","parse-names":false,"suffix":""},{"dropping-particle":"","family":"Kirov","given":"George","non-dropping-particle":"","parse-names":false,"suffix":""},{"dropping-particle":"","family":"Knight","given":"Jo","non-dropping-particle":"","parse-names":false,"suffix":""},{"dropping-particle":"","family":"Lencz","given":"Todd","non-dropping-particle":"","parse-names":false,"suffix":""},{"dropping-particle":"","family":"Levinson","given":"Douglas F.","non-dropping-particle":"","parse-names":false,"suffix":""},{"dropping-particle":"","family":"Li","given":"Qingqin S.","non-dropping-particle":"","parse-names":false,"suffix":""},{"dropping-particle":"","family":"Liu","given":"Jianjun","non-dropping-particle":"","parse-names":false,"suffix":""},{"dropping-particle":"","family":"Malhotra","given":"Anil K.","non-dropping-particle":"","parse-names":false,"suffix":""},{"dropping-particle":"","family":"McCarroll","given":"Steven A.","non-dropping-particle":"","parse-names":false,"suffix":""},{"dropping-particle":"","family":"McQuillin","given":"Andrew","non-dropping-particle":"","parse-names":false,"suffix":""},{"dropping-particle":"","family":"Moran","given":"Jennifer L.","non-dropping-particle":"","parse-names":false,"suffix":""},{"dropping-particle":"","family":"Mortensen","given":"Preben B.","non-dropping-particle":"","parse-names":false,"suffix":""},{"dropping-particle":"","family":"Mowry","given":"Bryan J.","non-dropping-particle":"","parse-names":false,"suffix":""},{"dropping-particle":"","family":"Nthen","given":"Markus M.","non-dropping-particle":"","parse-names":false,"suffix":""},{"dropping-particle":"","family":"Ophoff","given":"Roel A.","non-dropping-particle":"","parse-names":false,"suffix":""},{"dropping-particle":"","family":"Owen","given":"Michael J.","non-dropping-particle":"","parse-names":false,"suffix":""},{"dropping-particle":"","family":"Palotie","given":"Aarno","non-dropping-particle":"","parse-names":false,"suffix":""},{"dropping-particle":"","family":"Pato","given":"Carlos N.","non-dropping-particle":"","parse-names":false,"suffix":""},{"dropping-particle":"","family":"Petryshen","given":"Tracey L.","non-dropping-particle":"","parse-names":false,"suffix":""},{"dropping-particle":"","family":"Posthuma","given":"Danielle","non-dropping-particle":"","parse-names":false,"suffix":""},{"dropping-particle":"","family":"Rietschel","given":"Marcella","non-dropping-particle":"","parse-names":false,"suffix":""},{"dropping-particle":"","family":"Riley","given":"Brien P.","non-dropping-particle":"","parse-names":false,"suffix":""},{"dropping-particle":"","family":"Rujescu","given":"Dan","non-dropping-particle":"","parse-names":false,"suffix":""},{"dropping-particle":"","family":"Sham","given":"Pak C.","non-dropping-particle":"","parse-names":false,"suffix":""},{"dropping-particle":"","family":"Sklar","given":"Pamela","non-dropping-particle":"","parse-names":false,"suffix":""},{"dropping-particle":"","family":"St. Clair","given":"David","non-dropping-particle":"","parse-names":false,"suffix":""},{"dropping-particle":"","family":"Weinberger","given":"Daniel R.","non-dropping-particle":"","parse-names":false,"suffix":""},{"dropping-particle":"","family":"Wendland","given":"Jens R.","non-dropping-particle":"","parse-names":false,"suffix":""},{"dropping-particle":"","family":"Werge","given":"Thomas","non-dropping-particle":"","parse-names":false,"suffix":""},{"dropping-particle":"","family":"Daly","given":"Mark J.","non-dropping-particle":"","parse-names":false,"suffix":""},{"dropping-particle":"","family":"Sullivan","given":"Patrick F.","non-dropping-particle":"","parse-names":false,"suffix":""},{"dropping-particle":"","family":"O’Donovan","given":"Michael C.","non-dropping-particle":"","parse-names":false,"suffix":""},{"dropping-particle":"","family":"Kraft","given":"Peter","non-dropping-particle":"","parse-names":false,"suffix":""},{"dropping-particle":"","family":"Hunter","given":"David J.","non-dropping-particle":"","parse-names":false,"suffix":""},{"dropping-particle":"","family":"Adank","given":"Muriel","non-dropping-particle":"","parse-names":false,"suffix":""},{"dropping-particle":"","family":"Ahsan","given":"Habibul","non-dropping-particle":"","parse-names":false,"suffix":""},{"dropping-particle":"","family":"Aittomäki","given":"Kristiina","non-dropping-particle":"","parse-names":false,"suffix":""},{"dropping-particle":"","family":"Baglietto","given":"Laura","non-dropping-particle":"","parse-names":false,"suffix":""},{"dropping-particle":"","family":"Berndt","given":"Sonja","non-dropping-particle":"","parse-names":false,"suffix":""},{"dropping-particle":"","family":"Blomquist","given":"Carl","non-dropping-particle":"","parse-names":false,"suffix":""},{"dropping-particle":"","family":"Canzian","given":"Federico","non-dropping-particle":"","parse-names":false,"suffix":""},{"dropping-particle":"","family":"Chang-Claude","given":"Jenny","non-dropping-particle":"","parse-names":false,"suffix":""},{"dropping-particle":"","family":"Chanock","given":"Stephen J.","non-dropping-particle":"","parse-names":false,"suffix":""},{"dropping-particle":"","family":"Crisponi","given":"Laura","non-dropping-particle":"","parse-names":false,"suffix":""},{"dropping-particle":"","family":"Czene","given":"Kamila","non-dropping-particle":"","parse-names":false,"suffix":""},{"dropping-particle":"","family":"Dahmen","given":"Norbert","non-dropping-particle":"","parse-names":false,"suffix":""},{"dropping-particle":"","family":"Silva","given":"Isabel dos Santos","non-dropping-particle":"","parse-names":false,"suffix":""},{"dropping-particle":"","family":"Easton","given":"Douglas","non-dropping-particle":"","parse-names":false,"suffix":""},{"dropping-particle":"","family":"Eliassen","given":"A. Heather","non-dropping-particle":"","parse-names":false,"suffix":""},{"dropping-particle":"","family":"Figueroa","given":"Jonine","non-dropping-particle":"","parse-names":false,"suffix":""},{"dropping-particle":"","family":"Fletcher","given":"Olivia","non-dropping-particle":"","parse-names":false,"suffix":""},{"dropping-particle":"","family":"Garcia-Closas","given":"Montserrat","non-dropping-particle":"","parse-names":false,"suffix":""},{"dropping-particle":"","family":"Gaudet","given":"Mia M.","non-dropping-particle":"","parse-names":false,"suffix":""},{"dropping-particle":"","family":"Gibson","given":"Lorna","non-dropping-particle":"","parse-names":false,"suffix":""},{"dropping-particle":"","family":"Haiman","given":"Christopher A.","non-dropping-particle":"","parse-names":false,"suffix":""},{"dropping-particle":"","family":"Hall","given":"Per","non-dropping-particle":"","parse-names":false,"suffix":""},{"dropping-particle":"","family":"Hazra","given":"Aditi","non-dropping-particle":"","parse-names":false,"suffix":""},{"dropping-particle":"","family":"Hein","given":"Rebecca","non-dropping-particle":"","parse-names":false,"suffix":""},{"dropping-particle":"","family":"Henderson","given":"Brian E.","non-dropping-particle":"","parse-names":false,"suffix":""},{"dropping-particle":"","family":"Hofman","given":"Albert","non-dropping-particle":"","parse-names":false,"suffix":""},{"dropping-particle":"","family":"Hopper","given":"John L.","non-dropping-particle":"","parse-names":false,"suffix":""},{"dropping-particle":"","family":"Irwanto","given":"Astrid","non-dropping-particle":"","parse-names":false,"suffix":""},{"dropping-particle":"","family":"Johansson","given":"Mattias","non-dropping-particle":"","parse-names":false,"suffix":""},{"dropping-particle":"","family":"Kaaks","given":"Rudolf","non-dropping-particle":"","parse-names":false,"suffix":""},{"dropping-particle":"","family":"Kibriya","given":"Muhammad G.","non-dropping-particle":"","parse-names":false,"suffix":""},{"dropping-particle":"","family":"Lichtner","given":"Peter","non-dropping-particle":"","parse-names":false,"suffix":""},{"dropping-particle":"","family":"Lindström","given":"Sara","non-dropping-particle":"","parse-names":false,"suffix":""},{"dropping-particle":"","family":"Liu","given":"Jianjun","non-dropping-particle":"","parse-names":false,"suffix":""},{"dropping-particle":"","family":"Lund","given":"Eiliv","non-dropping-particle":"","parse-names":false,"suffix":""},{"dropping-particle":"","family":"Makalic","given":"Enes","non-dropping-particle":"","parse-names":false,"suffix":""},{"dropping-particle":"","family":"Meindl","given":"Alfons","non-dropping-particle":"","parse-names":false,"suffix":""},{"dropping-particle":"","family":"Meijers-Heijboer","given":"Hanne","non-dropping-particle":"","parse-names":false,"suffix":""},{"dropping-particle":"","family":"Müller-Myhsok","given":"Bertram","non-dropping-particle":"","parse-names":false,"suffix":""},{"dropping-particle":"","family":"Muranen","given":"Taru A.","non-dropping-particle":"","parse-names":false,"suffix":""},{"dropping-particle":"","family":"Nevanlinna","given":"Heli","non-dropping-particle":"","parse-names":false,"suffix":""},{"dropping-particle":"","family":"Peeters","given":"Petra H.","non-dropping-particle":"","parse-names":false,"suffix":""},{"dropping-particle":"","family":"Peto","given":"Julian","non-dropping-particle":"","parse-names":false,"suffix":""},{"dropping-particle":"","family":"Prentice","given":"Ross L.","non-dropping-particle":"","parse-names":false,"suffix":""},{"dropping-particle":"","family":"Rahman","given":"Nazneen","non-dropping-particle":"","parse-names":false,"suffix":""},{"dropping-particle":"","family":"Sánchez","given":"María José","non-dropping-particle":"","parse-names":false,"suffix":""},{"dropping-particle":"","family":"Schmidt","given":"Daniel F.","non-dropping-particle":"","parse-names":false,"suffix":""},{"dropping-particle":"","family":"Schmutzler","given":"Rita K.","non-dropping-particle":"","parse-names":false,"suffix":""},{"dropping-particle":"","family":"Southey","given":"Melissa C.","non-dropping-particle":"","parse-names":false,"suffix":""},{"dropping-particle":"","family":"Tamimi","given":"Rulla","non-dropping-particle":"","parse-names":false,"suffix":""},{"dropping-particle":"","family":"Travis","given":"Ruth","non-dropping-particle":"","parse-names":false,"suffix":""},{"dropping-particle":"","family":"Turnbull","given":"Clare","non-dropping-particle":"","parse-names":false,"suffix":""},{"dropping-particle":"","family":"Uitterlinden","given":"Andre G.","non-dropping-particle":"","parse-names":false,"suffix":""},{"dropping-particle":"","family":"Luijt","given":"Rob B.","non-dropping-particle":"van der","parse-names":false,"suffix":""},{"dropping-particle":"","family":"Waisfisz","given":"Quinten","non-dropping-particle":"","parse-names":false,"suffix":""},{"dropping-particle":"","family":"Wang","given":"Zhaoming","non-dropping-particle":"","parse-names":false,"suffix":""},{"dropping-particle":"","family":"Whittemore","given":"Alice S.","non-dropping-particle":"","parse-names":false,"suffix":""},{"dropping-particle":"","family":"Yang","given":"Rose","non-dropping-particle":"","parse-names":false,"suffix":""},{"dropping-particle":"","family":"Zheng","given":"Wei","non-dropping-particle":"","parse-names":false,"suffix":""},{"dropping-particle":"","family":"Kathiresan","given":"Sekar","non-dropping-particle":"","parse-names":false,"suffix":""},{"dropping-particle":"","family":"Pato","given":"Michele","non-dropping-particle":"","parse-names":false,"suffix":""},{"dropping-particle":"","family":"Pato","given":"Carlos","non-dropping-particle":"","parse-names":false,"suffix":""},{"dropping-particle":"","family":"Tamimi","given":"Rulla","non-dropping-particle":"","parse-names":false,"suffix":""},{"dropping-particle":"","family":"Stahl","given":"Eli","non-dropping-particle":"","parse-names":false,"suffix":""},{"dropping-particle":"","family":"Zaitlen","given":"Noah","non-dropping-particle":"","parse-names":false,"suffix":""},{"dropping-particle":"","family":"Pasaniuc","given":"Bogdan","non-dropping-particle":"","parse-names":false,"suffix":""},{"dropping-particle":"","family":"Belbin","given":"Gillian","non-dropping-particle":"","parse-names":false,"suffix":""},{"dropping-particle":"","family":"Kenny","given":"Eimear E.","non-dropping-particle":"","parse-names":false,"suffix":""},{"dropping-particle":"","family":"Schierup","given":"Mikkel H.","non-dropping-particle":"","parse-names":false,"suffix":""},{"dropping-particle":"","family":"Jager","given":"Philip","non-dropping-particle":"De","parse-names":false,"suffix":""},{"dropping-particle":"","family":"Patsopoulos","given":"Nikolaos A.","non-dropping-particle":"","parse-names":false,"suffix":""},{"dropping-particle":"","family":"McCarroll","given":"Steve","non-dropping-particle":"","parse-names":false,"suffix":""},{"dropping-particle":"","family":"Daly","given":"Mark","non-dropping-particle":"","parse-names":false,"suffix":""},{"dropping-particle":"","family":"Purcell","given":"Shaun","non-dropping-particle":"","parse-names":false,"suffix":""},{"dropping-particle":"","family":"Chasman","given":"Daniel","non-dropping-particle":"","parse-names":false,"suffix":""},{"dropping-particle":"","family":"Neale","given":"Benjamin","non-dropping-particle":"","parse-names":false,"suffix":""},{"dropping-particle":"","family":"Goddard","given":"Michael","non-dropping-particle":"","parse-names":false,"suffix":""},{"dropping-particle":"","family":"Visscher","given":"Peter M.","non-dropping-particle":"","parse-names":false,"suffix":""},{"dropping-particle":"","family":"Kraft","given":"Peter","non-dropping-particle":"","parse-names":false,"suffix":""},{"dropping-particle":"","family":"Patterson","given":"Nick","non-dropping-particle":"","parse-names":false,"suffix":""},{"dropping-particle":"","family":"Price","given":"Alkes L.","non-dropping-particle":"","parse-names":false,"suffix":""}],"container-title":"The American Journal of Human Genetics","id":"ITEM-2","issue":"4","issued":{"date-parts":[["2015","10","1"]]},"page":"576-592","publisher":"Cell Press","title":"Modeling Linkage Disequilibrium Increases Accuracy of Polygenic Risk Scores","type":"article-journal","volume":"97"},"uris":["http://www.mendeley.com/documents/?uuid=0b77bf0b-f683-340e-9ef0-dae38a97669c"]},{"id":"ITEM-3","itemData":{"DOI":"10.1016/J.INTELL.2016.08.005","ISSN":"0160-2896","abstract":"We examined whether assortative mating for educational attainment (“like marries like”) can be detected in the genomes of ~1600 UK spouse pairs of European descent. Assortative mating on heritable traits like educational attainment increases the genetic variance and heritability of the trait in the population, which may increase social inequalities. We test for genetic assortative mating in the UK on educational attainment, a phenotype that is indicative of socio-economic status and has shown substantial levels of assortative mating. We use genome-wide allelic effect sizes from a large genome-wide association study on educational attainment (N~300k) to create polygenic scores that are predictive of educational attainment in our independent sample (r=0.23, p&lt;2×10−16). The polygenic scores significantly predict partners' educational outcome (r=0.14, p=4×10−8 and r=0.19, p=2×10−14, for prediction from males to females and vice versa, respectively), and are themselves significantly correlated between spouses (r=0.11, p=7×10−6). Our findings provide molecular genetic evidence for genetic assortative mating on education in the UK.","author":[{"dropping-particle":"","family":"Hugh-Jones","given":"David","non-dropping-particle":"","parse-names":false,"suffix":""},{"dropping-particle":"","family":"Verweij","given":"Karin J.H.","non-dropping-particle":"","parse-names":false,"suffix":""},{"dropping-particle":"","family":"Pourcain","given":"Beate","non-dropping-particle":"St.","parse-names":false,"suffix":""},{"dropping-particle":"","family":"Abdellaoui","given":"Abdel","non-dropping-particle":"","parse-names":false,"suffix":""}],"container-title":"Intelligence","id":"ITEM-3","issued":{"date-parts":[["2016","11","1"]]},"page":"103-108","publisher":"JAI","title":"Assortative mating on educational attainment leads to genetic spousal resemblance for polygenic scores","type":"article-journal","volume":"59"},"uris":["http://www.mendeley.com/documents/?uuid=973a81ae-82d0-30f1-bf56-3de489b5e3eb"]}],"mendeley":{"formattedCitation":"(A. Abdellaoui et al., 2018; Hugh-Jones, Verweij, St. Pourcain, &amp; Abdellaoui, 2016; Vilhjálmsson et al., 2015)","manualFormatting":"(Abdellaoui et al., 2018; Hugh-Jones, Verweij, St. Pourcain, &amp; Abdellaoui, 2016; Vilhjálmsson et al., 2015)","plainTextFormattedCitation":"(A. Abdellaoui et al., 2018; Hugh-Jones, Verweij, St. Pourcain, &amp; Abdellaoui, 2016; Vilhjálmsson et al., 2015)","previouslyFormattedCitation":"(A. Abdellaoui et al., 2018; Hugh-Jones, Verweij, St. Pourcain, &amp; Abdellaoui, 2016; Vilhjálmsson et al., 2015)"},"properties":{"noteIndex":0},"schema":"https://github.com/citation-style-language/schema/raw/master/csl-citation.json"}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(Abdellaoui et al., 2018; Hugh-Jones, Verweij, St. Pourcain, &amp; Abdellaoui, 2016; Vilhjálmsson et al., 2015)</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xml:space="preserve">. </w:t>
      </w:r>
    </w:p>
    <w:p w14:paraId="17979E94" w14:textId="77777777" w:rsidR="0020002B" w:rsidRDefault="0020002B" w:rsidP="0020002B">
      <w:pPr>
        <w:tabs>
          <w:tab w:val="left" w:pos="0"/>
        </w:tabs>
        <w:spacing w:line="480" w:lineRule="auto"/>
        <w:rPr>
          <w:rFonts w:asciiTheme="majorHAnsi" w:hAnsiTheme="majorHAnsi" w:cstheme="majorHAnsi"/>
          <w:sz w:val="24"/>
          <w:szCs w:val="24"/>
          <w:lang w:val="en-US"/>
        </w:rPr>
      </w:pPr>
      <w:r w:rsidRPr="00E60CDA">
        <w:rPr>
          <w:rFonts w:asciiTheme="majorHAnsi" w:hAnsiTheme="majorHAnsi" w:cstheme="majorHAnsi"/>
          <w:b/>
          <w:sz w:val="24"/>
          <w:szCs w:val="24"/>
          <w:lang w:val="en-US"/>
        </w:rPr>
        <w:t>Self-control</w:t>
      </w:r>
      <w:r w:rsidRPr="00E60CDA">
        <w:rPr>
          <w:rFonts w:asciiTheme="majorHAnsi" w:hAnsiTheme="majorHAnsi" w:cstheme="majorHAnsi"/>
          <w:b/>
          <w:sz w:val="24"/>
          <w:szCs w:val="24"/>
          <w:lang w:val="en-US"/>
        </w:rPr>
        <w:tab/>
      </w:r>
      <w:r w:rsidRPr="00E60CDA">
        <w:rPr>
          <w:rFonts w:asciiTheme="majorHAnsi" w:hAnsiTheme="majorHAnsi" w:cstheme="majorHAnsi"/>
          <w:b/>
          <w:sz w:val="24"/>
          <w:szCs w:val="24"/>
          <w:lang w:val="en-US"/>
        </w:rPr>
        <w:br/>
      </w:r>
      <w:r w:rsidRPr="00E60CDA">
        <w:rPr>
          <w:rFonts w:asciiTheme="majorHAnsi" w:hAnsiTheme="majorHAnsi" w:cstheme="majorHAnsi"/>
          <w:sz w:val="24"/>
          <w:szCs w:val="24"/>
          <w:lang w:val="en-US"/>
        </w:rPr>
        <w:t xml:space="preserve">We used the ASEBA Self-Control Scale (ASCS) to assess self-control. This questionnaire </w:t>
      </w:r>
      <w:r>
        <w:rPr>
          <w:rFonts w:asciiTheme="majorHAnsi" w:hAnsiTheme="majorHAnsi" w:cstheme="majorHAnsi"/>
          <w:sz w:val="24"/>
          <w:szCs w:val="24"/>
          <w:lang w:val="en-US"/>
        </w:rPr>
        <w:t xml:space="preserve">has been elaborately </w:t>
      </w:r>
      <w:r w:rsidRPr="00E60CDA">
        <w:rPr>
          <w:rFonts w:asciiTheme="majorHAnsi" w:hAnsiTheme="majorHAnsi" w:cstheme="majorHAnsi"/>
          <w:sz w:val="24"/>
          <w:szCs w:val="24"/>
          <w:lang w:val="en-US"/>
        </w:rPr>
        <w:t xml:space="preserve">validated in children </w:t>
      </w:r>
      <w:r>
        <w:rPr>
          <w:rFonts w:asciiTheme="majorHAnsi" w:hAnsiTheme="majorHAnsi" w:cstheme="majorHAnsi"/>
          <w:sz w:val="24"/>
          <w:szCs w:val="24"/>
          <w:lang w:val="en-US"/>
        </w:rPr>
        <w:t xml:space="preserve">(age 7 – 12) </w:t>
      </w:r>
      <w:r w:rsidRPr="00E60CDA">
        <w:rPr>
          <w:rFonts w:asciiTheme="majorHAnsi" w:hAnsiTheme="majorHAnsi" w:cstheme="majorHAnsi"/>
          <w:sz w:val="24"/>
          <w:szCs w:val="24"/>
          <w:lang w:val="en-US"/>
        </w:rPr>
        <w:t xml:space="preserve">and adolescent samples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{"citationItems":[{"id":"ITEM-1","itemData":{"DOI":"10.1007/s10519-018-9887-1","ISSN":"1573-3297 (Electronic)","PMID":"29404830","abstract":"This study used a theoretically-derived set of items of the Achenbach System of Empirically Based Assessment to develop the Achenbach Self-Control Scale (ASCS) for 7-16 year olds. Using a large dataset of over 20,000 children, who are enrolled in the Netherlands Twin Register, we demonstrated the psychometric properties of the ASCS for parent-, self- and teacher-report by examining internal and criterion validity, and inter-rater and test-retest reliability. We found associations between the ASCS and measures of well-being, educational achievement, and substance use. Next, we applied the classical twin design to estimate the genetic and environmental contributions to self-control. Genetic influences accounted for 64-75% of the variance in self-control based on parent- and teacher-report (age 7-12), and for 47-49% of the variance in self-control based on self-report (age 12-16), with the remaining variance accounted by non-shared environmental influences. In conclusion, we developed a validated and accessible self-control scale, and show that genetic influences explain a majority of the individual differences in self-control across youth aged 7-16 years.","author":[{"dropping-particle":"","family":"Willems","given":"Yayouk E","non-dropping-particle":"","parse-names":false,"suffix":""},{"dropping-particle":"V","family":"Dolan","given":"Conor","non-dropping-particle":"","parse-names":false,"suffix":""},{"dropping-particle":"","family":"Beijsterveldt","given":"Catharina E M","non-dropping-particle":"van","parse-names":false,"suffix":""},{"dropping-particle":"","family":"Zeeuw","given":"Eveline L","non-dropping-particle":"de","parse-names":false,"suffix":""},{"dropping-particle":"","family":"Boomsma","given":"Dorret I","non-dropping-particle":"","parse-names":false,"suffix":""},{"dropping-particle":"","family":"Bartels","given":"Meike","non-dropping-particle":"","parse-names":false,"suffix":""},{"dropping-particle":"","family":"Finkenauer","given":"Catrin","non-dropping-particle":"","parse-names":false,"suffix":""}],"container-title":"Behavior genetics","id":"ITEM-1","issue":"2","issued":{"date-parts":[["2018","3"]]},"language":"eng","page":"135-146","publisher-place":"United States","title":"Genetic and Environmental Influences on Self-Control: Assessing Self-Control with the ASEBA Self-Control Scale.","type":"article-journal","volume":"48"},"uris":["http://www.mendeley.com/documents/?uuid=694e7c93-93a5-4a3c-ab78-683ce6754b1f"]}],"mendeley":{"formattedCitation":"(Yayouk E Willems et al., 2018)","manualFormatting":"(Willems et al., 2018a.)","plainTextFormattedCitation":"(Yayouk E Willems et al., 2018)","previouslyFormattedCitation":"(Yayouk E Willems et al., 2018)"},"properties":{"noteIndex":0},"schema":"https://github.com/citation-style-language/schema/raw/master/csl-citation.json"}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Pr>
          <w:rFonts w:asciiTheme="majorHAnsi" w:hAnsiTheme="majorHAnsi" w:cstheme="majorHAnsi"/>
          <w:noProof/>
          <w:sz w:val="24"/>
          <w:szCs w:val="24"/>
          <w:lang w:val="en-US"/>
        </w:rPr>
        <w:t xml:space="preserve">(age 14 - 16, see </w:t>
      </w:r>
      <w:r w:rsidRPr="00E60CDA">
        <w:rPr>
          <w:rFonts w:asciiTheme="majorHAnsi" w:hAnsiTheme="majorHAnsi" w:cstheme="majorHAnsi"/>
          <w:noProof/>
          <w:sz w:val="24"/>
          <w:szCs w:val="24"/>
          <w:lang w:val="en-US"/>
        </w:rPr>
        <w:t>Willems et al., 2018</w:t>
      </w:r>
      <w:r>
        <w:rPr>
          <w:rFonts w:asciiTheme="majorHAnsi" w:hAnsiTheme="majorHAnsi" w:cstheme="majorHAnsi"/>
          <w:noProof/>
          <w:sz w:val="24"/>
          <w:szCs w:val="24"/>
          <w:lang w:val="en-US"/>
        </w:rPr>
        <w:t>a</w:t>
      </w:r>
      <w:r w:rsidRPr="00E60CDA">
        <w:rPr>
          <w:rFonts w:asciiTheme="majorHAnsi" w:hAnsiTheme="majorHAnsi" w:cstheme="majorHAnsi"/>
          <w:noProof/>
          <w:sz w:val="24"/>
          <w:szCs w:val="24"/>
          <w:lang w:val="en-US"/>
        </w:rPr>
        <w:t>)</w:t>
      </w:r>
      <w:r w:rsidRPr="00E60CDA">
        <w:rPr>
          <w:rFonts w:asciiTheme="majorHAnsi" w:hAnsiTheme="majorHAnsi" w:cstheme="majorHAnsi"/>
          <w:sz w:val="24"/>
          <w:szCs w:val="24"/>
          <w:lang w:val="en-US"/>
        </w:rPr>
        <w:fldChar w:fldCharType="end"/>
      </w:r>
      <w:r>
        <w:rPr>
          <w:rFonts w:asciiTheme="majorHAnsi" w:hAnsiTheme="majorHAnsi" w:cstheme="majorHAnsi"/>
          <w:sz w:val="24"/>
          <w:szCs w:val="24"/>
          <w:lang w:val="en-US"/>
        </w:rPr>
        <w:t>. The ASCS</w:t>
      </w:r>
      <w:r w:rsidRPr="00E60CDA">
        <w:rPr>
          <w:rFonts w:asciiTheme="majorHAnsi" w:hAnsiTheme="majorHAnsi" w:cstheme="majorHAnsi"/>
          <w:sz w:val="24"/>
          <w:szCs w:val="24"/>
          <w:lang w:val="en-US"/>
        </w:rPr>
        <w:t xml:space="preserve"> consist</w:t>
      </w:r>
      <w:r>
        <w:rPr>
          <w:rFonts w:asciiTheme="majorHAnsi" w:hAnsiTheme="majorHAnsi" w:cstheme="majorHAnsi"/>
          <w:sz w:val="24"/>
          <w:szCs w:val="24"/>
          <w:lang w:val="en-US"/>
        </w:rPr>
        <w:t>s</w:t>
      </w:r>
      <w:r w:rsidRPr="00E60CDA">
        <w:rPr>
          <w:rFonts w:asciiTheme="majorHAnsi" w:hAnsiTheme="majorHAnsi" w:cstheme="majorHAnsi"/>
          <w:sz w:val="24"/>
          <w:szCs w:val="24"/>
          <w:lang w:val="en-US"/>
        </w:rPr>
        <w:t xml:space="preserve"> of 8 items assessing varying dimensions of self-control (e.g</w:t>
      </w:r>
      <w:r>
        <w:rPr>
          <w:rFonts w:asciiTheme="majorHAnsi" w:hAnsiTheme="majorHAnsi" w:cstheme="majorHAnsi"/>
          <w:sz w:val="24"/>
          <w:szCs w:val="24"/>
          <w:lang w:val="en-US"/>
        </w:rPr>
        <w:t>.,</w:t>
      </w:r>
      <w:r w:rsidRPr="00E60CDA">
        <w:rPr>
          <w:rFonts w:asciiTheme="majorHAnsi" w:hAnsiTheme="majorHAnsi" w:cstheme="majorHAnsi"/>
          <w:sz w:val="24"/>
          <w:szCs w:val="24"/>
          <w:lang w:val="en-US"/>
        </w:rPr>
        <w:t xml:space="preserve"> “I fail to finish things that I start”, “Sudden changes in moods or feelings”)</w:t>
      </w:r>
      <w:r>
        <w:rPr>
          <w:rFonts w:asciiTheme="majorHAnsi" w:hAnsiTheme="majorHAnsi" w:cstheme="majorHAnsi"/>
          <w:sz w:val="24"/>
          <w:szCs w:val="24"/>
          <w:lang w:val="en-US"/>
        </w:rPr>
        <w:t xml:space="preserve"> </w:t>
      </w:r>
      <w:r>
        <w:rPr>
          <w:rFonts w:asciiTheme="majorHAnsi" w:hAnsiTheme="majorHAnsi" w:cstheme="majorHAnsi"/>
          <w:sz w:val="24"/>
          <w:szCs w:val="24"/>
          <w:lang w:val="en-US"/>
        </w:rPr>
        <w:lastRenderedPageBreak/>
        <w:t>measured</w:t>
      </w:r>
      <w:r w:rsidRPr="00E60CDA">
        <w:rPr>
          <w:rFonts w:asciiTheme="majorHAnsi" w:hAnsiTheme="majorHAnsi" w:cstheme="majorHAnsi"/>
          <w:sz w:val="24"/>
          <w:szCs w:val="24"/>
          <w:lang w:val="en-US"/>
        </w:rPr>
        <w:t xml:space="preserve"> on a 3-point scale (1= </w:t>
      </w:r>
      <w:r w:rsidRPr="00E60CDA">
        <w:rPr>
          <w:rFonts w:asciiTheme="majorHAnsi" w:hAnsiTheme="majorHAnsi" w:cstheme="majorHAnsi"/>
          <w:i/>
          <w:sz w:val="24"/>
          <w:szCs w:val="24"/>
          <w:lang w:val="en-US"/>
        </w:rPr>
        <w:t>Not true</w:t>
      </w:r>
      <w:r w:rsidRPr="00E60CDA">
        <w:rPr>
          <w:rFonts w:asciiTheme="majorHAnsi" w:hAnsiTheme="majorHAnsi" w:cstheme="majorHAnsi"/>
          <w:sz w:val="24"/>
          <w:szCs w:val="24"/>
          <w:lang w:val="en-US"/>
        </w:rPr>
        <w:t xml:space="preserve">, 2= </w:t>
      </w:r>
      <w:r w:rsidRPr="00E60CDA">
        <w:rPr>
          <w:rFonts w:asciiTheme="majorHAnsi" w:hAnsiTheme="majorHAnsi" w:cstheme="majorHAnsi"/>
          <w:i/>
          <w:sz w:val="24"/>
          <w:szCs w:val="24"/>
          <w:lang w:val="en-US"/>
        </w:rPr>
        <w:t xml:space="preserve">Somewhat </w:t>
      </w:r>
      <w:r w:rsidRPr="00E60CDA">
        <w:rPr>
          <w:rFonts w:asciiTheme="majorHAnsi" w:hAnsiTheme="majorHAnsi" w:cstheme="majorHAnsi"/>
          <w:sz w:val="24"/>
          <w:szCs w:val="24"/>
          <w:lang w:val="en-US"/>
        </w:rPr>
        <w:t>or</w:t>
      </w:r>
      <w:r w:rsidRPr="00E60CDA">
        <w:rPr>
          <w:rFonts w:asciiTheme="majorHAnsi" w:hAnsiTheme="majorHAnsi" w:cstheme="majorHAnsi"/>
          <w:i/>
          <w:sz w:val="24"/>
          <w:szCs w:val="24"/>
          <w:lang w:val="en-US"/>
        </w:rPr>
        <w:t xml:space="preserve"> Sometimes True</w:t>
      </w:r>
      <w:r w:rsidRPr="00E60CDA">
        <w:rPr>
          <w:rFonts w:asciiTheme="majorHAnsi" w:hAnsiTheme="majorHAnsi" w:cstheme="majorHAnsi"/>
          <w:sz w:val="24"/>
          <w:szCs w:val="24"/>
          <w:lang w:val="en-US"/>
        </w:rPr>
        <w:t xml:space="preserve">, 3= </w:t>
      </w:r>
      <w:r w:rsidRPr="00E60CDA">
        <w:rPr>
          <w:rFonts w:asciiTheme="majorHAnsi" w:hAnsiTheme="majorHAnsi" w:cstheme="majorHAnsi"/>
          <w:i/>
          <w:sz w:val="24"/>
          <w:szCs w:val="24"/>
          <w:lang w:val="en-US"/>
        </w:rPr>
        <w:t xml:space="preserve">Very True </w:t>
      </w:r>
      <w:r w:rsidRPr="00E60CDA">
        <w:rPr>
          <w:rFonts w:asciiTheme="majorHAnsi" w:hAnsiTheme="majorHAnsi" w:cstheme="majorHAnsi"/>
          <w:sz w:val="24"/>
          <w:szCs w:val="24"/>
          <w:lang w:val="en-US"/>
        </w:rPr>
        <w:t>or</w:t>
      </w:r>
      <w:r w:rsidRPr="00E60CDA">
        <w:rPr>
          <w:rFonts w:asciiTheme="majorHAnsi" w:hAnsiTheme="majorHAnsi" w:cstheme="majorHAnsi"/>
          <w:i/>
          <w:sz w:val="24"/>
          <w:szCs w:val="24"/>
          <w:lang w:val="en-US"/>
        </w:rPr>
        <w:t xml:space="preserve"> Often True</w:t>
      </w:r>
      <w:r w:rsidRPr="00E60CDA">
        <w:rPr>
          <w:rFonts w:asciiTheme="majorHAnsi" w:hAnsiTheme="majorHAnsi" w:cstheme="majorHAnsi"/>
          <w:sz w:val="24"/>
          <w:szCs w:val="24"/>
          <w:lang w:val="en-US"/>
        </w:rPr>
        <w:t xml:space="preserve">). Higher scores reflect overall </w:t>
      </w:r>
      <w:r>
        <w:rPr>
          <w:rFonts w:asciiTheme="majorHAnsi" w:hAnsiTheme="majorHAnsi" w:cstheme="majorHAnsi"/>
          <w:sz w:val="24"/>
          <w:szCs w:val="24"/>
          <w:lang w:val="en-US"/>
        </w:rPr>
        <w:t xml:space="preserve">lower </w:t>
      </w:r>
      <w:r w:rsidRPr="00E60CDA">
        <w:rPr>
          <w:rFonts w:asciiTheme="majorHAnsi" w:hAnsiTheme="majorHAnsi" w:cstheme="majorHAnsi"/>
          <w:sz w:val="24"/>
          <w:szCs w:val="24"/>
          <w:lang w:val="en-US"/>
        </w:rPr>
        <w:t xml:space="preserve">levels of self-control. </w:t>
      </w:r>
    </w:p>
    <w:p w14:paraId="2EAB455F" w14:textId="77777777" w:rsidR="0020002B" w:rsidRPr="00E60CDA" w:rsidRDefault="0020002B" w:rsidP="0020002B">
      <w:pPr>
        <w:tabs>
          <w:tab w:val="left" w:pos="0"/>
        </w:tabs>
        <w:spacing w:line="480" w:lineRule="auto"/>
        <w:rPr>
          <w:rFonts w:asciiTheme="majorHAnsi" w:hAnsiTheme="majorHAnsi" w:cstheme="majorHAnsi"/>
          <w:sz w:val="24"/>
          <w:szCs w:val="24"/>
          <w:lang w:val="en-US"/>
        </w:rPr>
      </w:pPr>
      <w:r>
        <w:rPr>
          <w:rFonts w:asciiTheme="majorHAnsi" w:hAnsiTheme="majorHAnsi" w:cstheme="majorHAnsi"/>
          <w:sz w:val="24"/>
          <w:szCs w:val="24"/>
          <w:lang w:val="en-US"/>
        </w:rPr>
        <w:t xml:space="preserve"> </w:t>
      </w:r>
      <w:r>
        <w:rPr>
          <w:rFonts w:asciiTheme="majorHAnsi" w:hAnsiTheme="majorHAnsi" w:cstheme="majorHAnsi"/>
          <w:sz w:val="24"/>
          <w:szCs w:val="24"/>
          <w:lang w:val="en-US"/>
        </w:rPr>
        <w:tab/>
        <w:t xml:space="preserve">Extending this earlier work (Willems et al., 2018a), we examined the validity of the scale in adult samples in an independent </w:t>
      </w:r>
      <w:r w:rsidRPr="00E60CDA">
        <w:rPr>
          <w:rFonts w:asciiTheme="majorHAnsi" w:hAnsiTheme="majorHAnsi" w:cstheme="majorHAnsi"/>
          <w:sz w:val="24"/>
          <w:szCs w:val="24"/>
          <w:lang w:val="en-US"/>
        </w:rPr>
        <w:t>NTR sample of participants without genetic data (</w:t>
      </w:r>
      <w:r w:rsidRPr="00E60CDA">
        <w:rPr>
          <w:rFonts w:asciiTheme="majorHAnsi" w:hAnsiTheme="majorHAnsi" w:cstheme="majorHAnsi"/>
          <w:i/>
          <w:iCs/>
          <w:sz w:val="24"/>
          <w:szCs w:val="24"/>
          <w:lang w:val="en-US"/>
        </w:rPr>
        <w:t>N</w:t>
      </w:r>
      <w:r w:rsidRPr="00E60CDA">
        <w:rPr>
          <w:rFonts w:asciiTheme="majorHAnsi" w:hAnsiTheme="majorHAnsi" w:cstheme="majorHAnsi"/>
          <w:sz w:val="24"/>
          <w:szCs w:val="24"/>
          <w:lang w:val="en-US"/>
        </w:rPr>
        <w:t xml:space="preserve">=7,523, so not included in the overall G x E analyses). The ASEBA, on which the ASCS is based, is particularly promising as its items are similar in content across informants and across age. As such, we selected the same 8 items as the ASCS in children and adolescents and examined whether the psychometric properties of the ASCS are satisfactory in adults. Results showed a similar factor structure of the ASCS in adulthood as in childhood and adolescence, with a decent Cronbach alpha coefficient (.70), and good test-retest reliability (the correlation between the ASCS at age 16 and the ASCS age 18-25 was .58, 95% CI [.53,.63], </w:t>
      </w:r>
      <w:r w:rsidRPr="00E60CDA">
        <w:rPr>
          <w:rFonts w:asciiTheme="majorHAnsi" w:hAnsiTheme="majorHAnsi" w:cstheme="majorHAnsi"/>
          <w:i/>
          <w:iCs/>
          <w:sz w:val="24"/>
          <w:szCs w:val="24"/>
          <w:lang w:val="en-US"/>
        </w:rPr>
        <w:t>N</w:t>
      </w:r>
      <w:r w:rsidRPr="00E60CDA">
        <w:rPr>
          <w:rFonts w:asciiTheme="majorHAnsi" w:hAnsiTheme="majorHAnsi" w:cstheme="majorHAnsi"/>
          <w:sz w:val="24"/>
          <w:szCs w:val="24"/>
          <w:lang w:val="en-US"/>
        </w:rPr>
        <w:t xml:space="preserve">= 584), indicating the scale is psychometrically sound in adult samples. </w:t>
      </w:r>
    </w:p>
    <w:p w14:paraId="7B910A6D" w14:textId="77777777" w:rsidR="0020002B" w:rsidRPr="00E60CDA" w:rsidRDefault="0020002B" w:rsidP="0020002B">
      <w:pPr>
        <w:spacing w:line="480" w:lineRule="auto"/>
        <w:rPr>
          <w:rFonts w:asciiTheme="majorHAnsi" w:hAnsiTheme="majorHAnsi" w:cstheme="majorHAnsi"/>
          <w:sz w:val="24"/>
          <w:szCs w:val="24"/>
          <w:lang w:val="en-US"/>
        </w:rPr>
      </w:pPr>
      <w:r w:rsidRPr="00E60CDA">
        <w:rPr>
          <w:rFonts w:asciiTheme="majorHAnsi" w:hAnsiTheme="majorHAnsi" w:cstheme="majorHAnsi"/>
          <w:b/>
          <w:sz w:val="24"/>
          <w:szCs w:val="24"/>
          <w:lang w:val="en-US"/>
        </w:rPr>
        <w:t>Stressful life events</w:t>
      </w:r>
      <w:r w:rsidRPr="00E60CDA">
        <w:rPr>
          <w:rFonts w:asciiTheme="majorHAnsi" w:hAnsiTheme="majorHAnsi" w:cstheme="majorHAnsi"/>
          <w:b/>
          <w:sz w:val="24"/>
          <w:szCs w:val="24"/>
          <w:lang w:val="en-US"/>
        </w:rPr>
        <w:br/>
      </w:r>
      <w:r w:rsidRPr="00E60CDA">
        <w:rPr>
          <w:rFonts w:asciiTheme="majorHAnsi" w:hAnsiTheme="majorHAnsi" w:cstheme="majorHAnsi"/>
          <w:sz w:val="24"/>
          <w:szCs w:val="24"/>
          <w:lang w:val="en-US"/>
        </w:rPr>
        <w:t xml:space="preserve">We used the Dutch Life Event Scale (“Schokverwerkings Inventarisatie Lijst”, Van der Velden et al., 1992) to assess the experience of stressful life events across the lifespan. In line with previous work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{"citationItems":[{"id":"ITEM-1","itemData":{"DOI":"10.1375/twin.13.6.544","ISSN":"1832-4274","abstract":"&lt;p&gt;The finding of a significant gene by environment interaction effect on depression of the serotonin transporter length polymorphism (5-HTTLPR) and the Number of experienced Life Events (NLE) was not replicated in two large meta-analyses (Munafo et al., 2009; Risch et al., 2009). These meta-analyses have been criticized on the grounds that large studies that get most weight in meta-analyses have the poorest measurement quality of life events and, as a consequence, do not find an effect. Another issue is the time frame across which the NLE are measured. Proximal life events appear to be better predictors of depression than more distal events. We present the results of analyses of the 5-HTTLPR × NLE effect on anxious depression and neuroticism scores in a sample of 1,155 twins and their parents and siblings from 438 families. The interaction effect was tested separately for NLE experienced across the life span and NLE experienced in the past year. There was a significant main effect of NLE on anxious depression and neuroticism, especially when these were experienced in the past year. No interaction with 5-HTTLPR was found for NLE either experienced across the life span or across the past year. Our results support the two recent meta-analyses. Given recent insights from genome wide association studies, it seems more useful to focus on the joint effect of several genes, that are, for example, part of the same biological pathway, in interaction with the environment, than on one candidate gene.&lt;/p&gt;","author":[{"dropping-particle":"","family":"Middeldorp","given":"Christel M.","non-dropping-particle":"","parse-names":false,"suffix":""},{"dropping-particle":"","family":"Geus","given":"Eco J. C.","non-dropping-particle":"de","parse-names":false,"suffix":""},{"dropping-particle":"","family":"Willemsen","given":"Gonneke","non-dropping-particle":"","parse-names":false,"suffix":""},{"dropping-particle":"","family":"Hottenga","given":"Jouke-Jan","non-dropping-particle":"","parse-names":false,"suffix":""},{"dropping-particle":"","family":"Slagboom","given":"P. Eline","non-dropping-particle":"","parse-names":false,"suffix":""},{"dropping-particle":"","family":"Boomsma","given":"Dorret I.","non-dropping-particle":"","parse-names":false,"suffix":""}],"container-title":"Twin Research and Human Genetics","id":"ITEM-1","issue":"6","issued":{"date-parts":[["2010","12","1"]]},"page":"544-549","publisher":"Cambridge University Press","title":"The Serotonin Transporter Gene Length Polymorphism (5-HTTLPR) and Life Events: No Evidence for an Interaction Effect on Neuroticism and Anxious Depressive Symptoms","type":"article-journal","volume":"13"},"uris":["http://www.mendeley.com/documents/?uuid=71f94be6-aa99-3e00-9f40-2a7791860019"]},{"id":"ITEM-2","itemData":{"DOI":"10.1016/j.jad.2012.08.044","ISSN":"01650327","PMID":"23021380","abstract":"BACKGROUND There is ongoing interest in the possible interaction of the serotonin-transporter-linked polymorphic region (5-HTTLPR) with environmental factors in determining Major Depressive Disorder (MDD). The current study contributes to this research area by comprehensively examining the interaction-effects and direct-effects of 5-HTTLPR and five environmental factors on MDD prevalence and course in a well-characterized longitudinal sample. METHODS The sample consisted of 1625 patients with a CIDI-confirmed diagnosis of MDD and 1698 screened controls from the Netherlands. Four MDD outcomes were studied as dependent variables: one main MDD prevalence-outcome (all MDD), two more severe MDD prevalence-outcomes (suicidal and chronic MDD), and one MDD course outcome (chronic versus non-chronic MDD). Because SNP rs25531 modifies the effect of 5-HTTLPR, haplotypes of 5-HTTLPR and rs25531 were measured. For the four MDD outcome measures, we examined the direct effects of 5-HTTLPR/rs25531-haplotypes, five environmental factors (lifetime and recent stressful life-events, sexual abuse, low educational attainment, and childhood trauma) and their interaction in logistic regression models. RESULTS The environmental factors had large and consistent effects on all four MDD outcomes, including course of MDD. The 5-HTTLPR/rs25531-haplotype had a suggestive effect on course of MDD, but not on presence of MDD. Gene-by-environment interaction was significant (&lt;0.05) for one of the 20 tests performed, which is not more than expected by chance. LIMITATIONS Environmental factors were not assessed before the onset of MDD. CONCLUSIONS Environmental factors had a strong impact on the presence and course of MDD, but no evidence for gene-by-environment interaction was found.","author":[{"dropping-particle":"","family":"Peyrot","given":"Wouter J.","non-dropping-particle":"","parse-names":false,"suffix":""},{"dropping-particle":"","family":"Middeldorp","given":"Christel M.","non-dropping-particle":"","parse-names":false,"suffix":""},{"dropping-particle":"","family":"Jansen","given":"Rick","non-dropping-particle":"","parse-names":false,"suffix":""},{"dropping-particle":"","family":"Smit","given":"Johannes H.","non-dropping-particle":"","parse-names":false,"suffix":""},{"dropping-particle":"","family":"Geus","given":"Eco.J.C.","non-dropping-particle":"de","parse-names":false,"suffix":""},{"dropping-particle":"","family":"Hottenga","given":"Jouke-Jan","non-dropping-particle":"","parse-names":false,"suffix":""},{"dropping-particle":"","family":"Willemsen","given":"Gonneke","non-dropping-particle":"","parse-names":false,"suffix":""},{"dropping-particle":"","family":"Vink","given":"Jacqueline M.","non-dropping-particle":"","parse-names":false,"suffix":""},{"dropping-particle":"","family":"Virding","given":"Susanne","non-dropping-particle":"","parse-names":false,"suffix":""},{"dropping-particle":"","family":"Barragan","given":"Isabel","non-dropping-particle":"","parse-names":false,"suffix":""},{"dropping-particle":"","family":"Ingelman-Sundberg","given":"Magnus","non-dropping-particle":"","parse-names":false,"suffix":""},{"dropping-particle":"","family":"Sim","given":"Sarah C.","non-dropping-particle":"","parse-names":false,"suffix":""},{"dropping-particle":"","family":"Boomsma","given":"Dorret I.","non-dropping-particle":"","parse-names":false,"suffix":""},{"dropping-particle":"","family":"Penninx","given":"Brenda W.J.H.","non-dropping-particle":"","parse-names":false,"suffix":""}],"container-title":"Journal of Affective Disorders","id":"ITEM-2","issue":"1","issued":{"date-parts":[["2013","3","20"]]},"page":"91-99","title":"Strong effects of environmental factors on prevalence and course of major depressive disorder are not moderated by 5-HTTLPR polymorphisms in a large Dutch sample","type":"article-journal","volume":"146"},"uris":["http://www.mendeley.com/documents/?uuid=2753ec17-fd2f-3300-85a8-6e26554f15fc"]}],"mendeley":{"formattedCitation":"(Middeldorp et al., 2010; Peyrot et al., 2013)","plainTextFormattedCitation":"(Middeldorp et al., 2010; Peyrot et al., 2013)","previouslyFormattedCitation":"(Middeldorp et al., 2010; Peyrot et al., 2013)"},"properties":{"noteIndex":0},"schema":"https://github.com/citation-style-language/schema/raw/master/csl-citation.json"}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(Middeldorp et al., 2010; Peyrot et al., 2013)</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xml:space="preserve">, </w:t>
      </w:r>
      <w:r>
        <w:rPr>
          <w:rFonts w:asciiTheme="majorHAnsi" w:hAnsiTheme="majorHAnsi" w:cstheme="majorHAnsi"/>
          <w:sz w:val="24"/>
          <w:szCs w:val="24"/>
          <w:lang w:val="en-US"/>
        </w:rPr>
        <w:t xml:space="preserve">we included </w:t>
      </w:r>
      <w:r w:rsidRPr="00E60CDA">
        <w:rPr>
          <w:rFonts w:asciiTheme="majorHAnsi" w:hAnsiTheme="majorHAnsi" w:cstheme="majorHAnsi"/>
          <w:sz w:val="24"/>
          <w:szCs w:val="24"/>
          <w:lang w:val="en-US"/>
        </w:rPr>
        <w:t xml:space="preserve">the following experienced stressful life events: traffic accident, violent assault, sexual assault, robbery, serious illness or injury of self or a significant other (e.g. partner, child, parent), death of a significant other, dismissal from work, financial problems, and relationship problems with partner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{"citationItems":[{"id":"ITEM-1","itemData":{"DOI":"10.1375/twin.13.6.544","ISSN":"1832-4274","abstract":"&lt;p&gt;The finding of a significant gene by environment interaction effect on depression of the serotonin transporter length polymorphism (5-HTTLPR) and the Number of experienced Life Events (NLE) was not replicated in two large meta-analyses (Munafo et al., 2009; Risch et al., 2009). These meta-analyses have been criticized on the grounds that large studies that get most weight in meta-analyses have the poorest measurement quality of life events and, as a consequence, do not find an effect. Another issue is the time frame across which the NLE are measured. Proximal life events appear to be better predictors of depression than more distal events. We present the results of analyses of the 5-HTTLPR × NLE effect on anxious depression and neuroticism scores in a sample of 1,155 twins and their parents and siblings from 438 families. The interaction effect was tested separately for NLE experienced across the life span and NLE experienced in the past year. There was a significant main effect of NLE on anxious depression and neuroticism, especially when these were experienced in the past year. No interaction with 5-HTTLPR was found for NLE either experienced across the life span or across the past year. Our results support the two recent meta-analyses. Given recent insights from genome wide association studies, it seems more useful to focus on the joint effect of several genes, that are, for example, part of the same biological pathway, in interaction with the environment, than on one candidate gene.&lt;/p&gt;","author":[{"dropping-particle":"","family":"Middeldorp","given":"Christel M.","non-dropping-particle":"","parse-names":false,"suffix":""},{"dropping-particle":"","family":"Geus","given":"Eco J. C.","non-dropping-particle":"de","parse-names":false,"suffix":""},{"dropping-particle":"","family":"Willemsen","given":"Gonneke","non-dropping-particle":"","parse-names":false,"suffix":""},{"dropping-particle":"","family":"Hottenga","given":"Jouke-Jan","non-dropping-particle":"","parse-names":false,"suffix":""},{"dropping-particle":"","family":"Slagboom","given":"P. Eline","non-dropping-particle":"","parse-names":false,"suffix":""},{"dropping-particle":"","family":"Boomsma","given":"Dorret I.","non-dropping-particle":"","parse-names":false,"suffix":""}],"container-title":"Twin Research and Human Genetics","id":"ITEM-1","issue":"6","issued":{"date-parts":[["2010","12","1"]]},"page":"544-549","publisher":"Cambridge University Press","title":"The Serotonin Transporter Gene Length Polymorphism (5-HTTLPR) and Life Events: No Evidence for an Interaction Effect on Neuroticism and Anxious Depressive Symptoms","type":"article-journal","volume":"13"},"uris":["http://www.mendeley.com/documents/?uuid=71f94be6-aa99-3e00-9f40-2a7791860019"]}],"mendeley":{"formattedCitation":"(Middeldorp et al., 2010)","plainTextFormattedCitation":"(Middeldorp et al., 2010)","previouslyFormattedCitation":"(Middeldorp et al., 2010)"},"properties":{"noteIndex":0},"schema":"https://github.com/citation-style-language/schema/raw/master/csl-citation.json"}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(Middeldorp et al., 2010)</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xml:space="preserve">. Response categories included 1= </w:t>
      </w:r>
      <w:r w:rsidRPr="00E60CDA">
        <w:rPr>
          <w:rFonts w:asciiTheme="majorHAnsi" w:hAnsiTheme="majorHAnsi" w:cstheme="majorHAnsi"/>
          <w:i/>
          <w:sz w:val="24"/>
          <w:szCs w:val="24"/>
          <w:lang w:val="en-US"/>
        </w:rPr>
        <w:t>Not experienced</w:t>
      </w:r>
      <w:r w:rsidRPr="00E60CDA">
        <w:rPr>
          <w:rFonts w:asciiTheme="majorHAnsi" w:hAnsiTheme="majorHAnsi" w:cstheme="majorHAnsi"/>
          <w:sz w:val="24"/>
          <w:szCs w:val="24"/>
          <w:lang w:val="en-US"/>
        </w:rPr>
        <w:t xml:space="preserve">, 2= </w:t>
      </w:r>
      <w:r w:rsidRPr="00E60CDA">
        <w:rPr>
          <w:rFonts w:asciiTheme="majorHAnsi" w:hAnsiTheme="majorHAnsi" w:cstheme="majorHAnsi"/>
          <w:i/>
          <w:sz w:val="24"/>
          <w:szCs w:val="24"/>
          <w:lang w:val="en-US"/>
        </w:rPr>
        <w:t>Experienced Less than a year ago</w:t>
      </w:r>
      <w:r w:rsidRPr="00E60CDA">
        <w:rPr>
          <w:rFonts w:asciiTheme="majorHAnsi" w:hAnsiTheme="majorHAnsi" w:cstheme="majorHAnsi"/>
          <w:sz w:val="24"/>
          <w:szCs w:val="24"/>
          <w:lang w:val="en-US"/>
        </w:rPr>
        <w:t xml:space="preserve">, 3= </w:t>
      </w:r>
      <w:r w:rsidRPr="00E60CDA">
        <w:rPr>
          <w:rFonts w:asciiTheme="majorHAnsi" w:hAnsiTheme="majorHAnsi" w:cstheme="majorHAnsi"/>
          <w:i/>
          <w:sz w:val="24"/>
          <w:szCs w:val="24"/>
          <w:lang w:val="en-US"/>
        </w:rPr>
        <w:t>Experienced 1-5 years ago</w:t>
      </w:r>
      <w:r w:rsidRPr="00E60CDA">
        <w:rPr>
          <w:rFonts w:asciiTheme="majorHAnsi" w:hAnsiTheme="majorHAnsi" w:cstheme="majorHAnsi"/>
          <w:sz w:val="24"/>
          <w:szCs w:val="24"/>
          <w:lang w:val="en-US"/>
        </w:rPr>
        <w:t xml:space="preserve">, 4= </w:t>
      </w:r>
      <w:r w:rsidRPr="00E60CDA">
        <w:rPr>
          <w:rFonts w:asciiTheme="majorHAnsi" w:hAnsiTheme="majorHAnsi" w:cstheme="majorHAnsi"/>
          <w:i/>
          <w:sz w:val="24"/>
          <w:szCs w:val="24"/>
          <w:lang w:val="en-US"/>
        </w:rPr>
        <w:t>Experienced longer than 5 years ago</w:t>
      </w:r>
      <w:r w:rsidRPr="00E60CDA">
        <w:rPr>
          <w:rFonts w:asciiTheme="majorHAnsi" w:hAnsiTheme="majorHAnsi" w:cstheme="majorHAnsi"/>
          <w:sz w:val="24"/>
          <w:szCs w:val="24"/>
          <w:lang w:val="en-US"/>
        </w:rPr>
        <w:t>. We created a sum score for the number of life events experienced in the previous year and a sum score for the number of life events across the lifespan, respectively.</w:t>
      </w:r>
      <w:r>
        <w:rPr>
          <w:rFonts w:asciiTheme="majorHAnsi" w:hAnsiTheme="majorHAnsi" w:cstheme="majorHAnsi"/>
          <w:sz w:val="24"/>
          <w:szCs w:val="24"/>
          <w:lang w:val="en-US"/>
        </w:rPr>
        <w:t xml:space="preserve"> </w:t>
      </w:r>
      <w:r>
        <w:rPr>
          <w:rFonts w:asciiTheme="majorHAnsi" w:hAnsiTheme="majorHAnsi" w:cstheme="majorHAnsi"/>
          <w:sz w:val="24"/>
          <w:szCs w:val="24"/>
          <w:lang w:val="en-US"/>
        </w:rPr>
        <w:lastRenderedPageBreak/>
        <w:t xml:space="preserve">Important to note is that this scale only assesses negative life events, and not positive life events which can be stressful as well (e.g. marriage, birth of child, etc.). </w:t>
      </w:r>
    </w:p>
    <w:p w14:paraId="0649EB4A" w14:textId="77777777" w:rsidR="0020002B" w:rsidRPr="00E60CDA" w:rsidRDefault="0020002B" w:rsidP="0020002B">
      <w:pPr>
        <w:spacing w:line="480" w:lineRule="auto"/>
        <w:rPr>
          <w:rFonts w:asciiTheme="majorHAnsi" w:hAnsiTheme="majorHAnsi" w:cstheme="majorHAnsi"/>
          <w:sz w:val="24"/>
          <w:szCs w:val="24"/>
          <w:lang w:val="en-US"/>
        </w:rPr>
      </w:pPr>
      <w:r w:rsidRPr="00E60CDA">
        <w:rPr>
          <w:rFonts w:asciiTheme="majorHAnsi" w:hAnsiTheme="majorHAnsi" w:cstheme="majorHAnsi"/>
          <w:b/>
          <w:sz w:val="24"/>
          <w:szCs w:val="24"/>
          <w:lang w:val="en-US"/>
        </w:rPr>
        <w:t>Statistical Analyses</w:t>
      </w:r>
      <w:r w:rsidRPr="00E60CDA">
        <w:rPr>
          <w:rFonts w:asciiTheme="majorHAnsi" w:hAnsiTheme="majorHAnsi" w:cstheme="majorHAnsi"/>
          <w:b/>
          <w:sz w:val="24"/>
          <w:szCs w:val="24"/>
          <w:lang w:val="en-US"/>
        </w:rPr>
        <w:br/>
      </w:r>
      <w:r w:rsidRPr="00E60CDA">
        <w:rPr>
          <w:rFonts w:asciiTheme="majorHAnsi" w:hAnsiTheme="majorHAnsi" w:cstheme="majorHAnsi"/>
          <w:sz w:val="24"/>
          <w:szCs w:val="24"/>
          <w:lang w:val="en-US"/>
        </w:rPr>
        <w:t xml:space="preserve">Regression analyses were carried out with self-control as the dependent variable, using generalized estimation equations (GEE) in SPSS (version 25.0, IBM Corp, 2017). We </w:t>
      </w:r>
      <w:r>
        <w:rPr>
          <w:rFonts w:asciiTheme="majorHAnsi" w:hAnsiTheme="majorHAnsi" w:cstheme="majorHAnsi"/>
          <w:sz w:val="24"/>
          <w:szCs w:val="24"/>
          <w:lang w:val="en-US"/>
        </w:rPr>
        <w:t xml:space="preserve">standardized all the variables and </w:t>
      </w:r>
      <w:r w:rsidRPr="00E60CDA">
        <w:rPr>
          <w:rFonts w:asciiTheme="majorHAnsi" w:hAnsiTheme="majorHAnsi" w:cstheme="majorHAnsi"/>
          <w:sz w:val="24"/>
          <w:szCs w:val="24"/>
          <w:lang w:val="en-US"/>
        </w:rPr>
        <w:t xml:space="preserve">analyzed main effects (stressful life events and polygenic score, respectively) and the interaction effect (stressful life events x polygenic score) in one model. We did these analyses separately for life events in the previous year and life events over lifetime (resulting in 2 tests). Applying Bonferroni-type adjustment, we divided </w:t>
      </w:r>
      <w:r>
        <w:rPr>
          <w:rFonts w:asciiTheme="majorHAnsi" w:hAnsiTheme="majorHAnsi" w:cstheme="majorHAnsi"/>
          <w:i/>
          <w:sz w:val="24"/>
          <w:szCs w:val="24"/>
          <w:lang w:val="en-US"/>
        </w:rPr>
        <w:t>p</w:t>
      </w:r>
      <w:r w:rsidRPr="00E60CDA">
        <w:rPr>
          <w:rFonts w:asciiTheme="majorHAnsi" w:hAnsiTheme="majorHAnsi" w:cstheme="majorHAnsi"/>
          <w:sz w:val="24"/>
          <w:szCs w:val="24"/>
          <w:lang w:val="en-US"/>
        </w:rPr>
        <w:t xml:space="preserve"> &lt;0.05 by the number of tests on the dependent variable (2 tests in total), taking </w:t>
      </w:r>
      <w:r>
        <w:rPr>
          <w:rFonts w:asciiTheme="majorHAnsi" w:hAnsiTheme="majorHAnsi" w:cstheme="majorHAnsi"/>
          <w:i/>
          <w:sz w:val="24"/>
          <w:szCs w:val="24"/>
          <w:lang w:val="en-US"/>
        </w:rPr>
        <w:t>p</w:t>
      </w:r>
      <w:r w:rsidRPr="00E60CDA">
        <w:rPr>
          <w:rFonts w:asciiTheme="majorHAnsi" w:hAnsiTheme="majorHAnsi" w:cstheme="majorHAnsi"/>
          <w:sz w:val="24"/>
          <w:szCs w:val="24"/>
          <w:lang w:val="en-US"/>
        </w:rPr>
        <w:t xml:space="preserve"> &lt;0.025 as level of significance. To correct for the dependency between participants (</w:t>
      </w:r>
      <w:r>
        <w:rPr>
          <w:rFonts w:asciiTheme="majorHAnsi" w:hAnsiTheme="majorHAnsi" w:cstheme="majorHAnsi"/>
          <w:sz w:val="24"/>
          <w:szCs w:val="24"/>
          <w:lang w:val="en-US"/>
        </w:rPr>
        <w:t>i.e.,</w:t>
      </w:r>
      <w:r w:rsidRPr="00E60CDA">
        <w:rPr>
          <w:rFonts w:asciiTheme="majorHAnsi" w:hAnsiTheme="majorHAnsi" w:cstheme="majorHAnsi"/>
          <w:sz w:val="24"/>
          <w:szCs w:val="24"/>
          <w:lang w:val="en-US"/>
        </w:rPr>
        <w:t xml:space="preserve"> family members), we allowed for correlated residuals between members of the same family</w:t>
      </w:r>
      <w:r>
        <w:rPr>
          <w:rFonts w:asciiTheme="majorHAnsi" w:hAnsiTheme="majorHAnsi" w:cstheme="majorHAnsi"/>
          <w:sz w:val="24"/>
          <w:szCs w:val="24"/>
          <w:lang w:val="en-US"/>
        </w:rPr>
        <w:t>,</w:t>
      </w:r>
      <w:r w:rsidRPr="00E60CDA">
        <w:rPr>
          <w:rFonts w:asciiTheme="majorHAnsi" w:hAnsiTheme="majorHAnsi" w:cstheme="majorHAnsi"/>
          <w:sz w:val="24"/>
          <w:szCs w:val="24"/>
          <w:lang w:val="en-US"/>
        </w:rPr>
        <w:t xml:space="preserve"> and tests were based on applied robust sandwich-corrected standard errors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{"citationItems":[{"id":"ITEM-1","itemData":{"DOI":"10.1111/gbb.12472","ISBN":"0000000310","ISSN":"1601183X","PMID":"29573219","abstract":"Loneliness is a heritable trait that accompanies multiple disorders. The association between loneliness and mental health indices may partly be due to inherited biological factors. We constructed polygenic scores for 27 traits related to behavior, cognition and mental health and tested their prediction for self-reported loneliness in a population-based sample of 8798 Dutch individuals. Polygenic scores for major depressive disorder (MDD), schizophrenia and bipolar disorder were significantly associated with loneliness. Of the Big Five personality dimensions, polygenic scores for neuroticism and conscientiousness also significantly predicted loneliness, as did the polygenic scores for subjective well-being, tiredness and self-rated health. When including all polygenic scores simultaneously into one model, only 2 major depression polygenic scores remained as significant predictors of loneliness. When controlling only for these 2 MDD polygenic scores, only neuroticism and schizophrenia remain significant. The total variation explained by all polygenic scores collectively was 1.7%. The association between the propensity to feel lonely and the susceptibility to psychiatric disorders thus pointed to a shared genetic etiology. The predictive power of polygenic scores will increase as the power of the genome-wide association studies on which they are based increases and may lead to clinically useful polygenic scores that can inform on the genetic predisposition to loneliness and mental health.","author":[{"dropping-particle":"","family":"Abdellaoui","given":"A","non-dropping-particle":"","parse-names":false,"suffix":""},{"dropping-particle":"","family":"Nivard","given":"M G","non-dropping-particle":"","parse-names":false,"suffix":""},{"dropping-particle":"","family":"Hottenga","given":"J J","non-dropping-particle":"","parse-names":false,"suffix":""},{"dropping-particle":"","family":"Fedko","given":"I","non-dropping-particle":"","parse-names":false,"suffix":""},{"dropping-particle":"","family":"Verweij","given":"K J H","non-dropping-particle":"","parse-names":false,"suffix":""},{"dropping-particle":"","family":"Baselmans","given":"B M L","non-dropping-particle":"","parse-names":false,"suffix":""},{"dropping-particle":"","family":"Ehli","given":"E A","non-dropping-particle":"","parse-names":false,"suffix":""},{"dropping-particle":"","family":"Davies","given":"G E","non-dropping-particle":"","parse-names":false,"suffix":""},{"dropping-particle":"","family":"Bartels","given":"M","non-dropping-particle":"","parse-names":false,"suffix":""},{"dropping-particle":"","family":"Boomsma","given":"D I","non-dropping-particle":"","parse-names":false,"suffix":""},{"dropping-particle":"","family":"Cacioppo","given":"J T","non-dropping-particle":"","parse-names":false,"suffix":""}],"container-title":"Genes, Brain and Behavior","id":"ITEM-1","issued":{"date-parts":[["2018"]]},"title":"Predicting loneliness with polygenic scores of social, psychological and psychiatric traits","type":"article"},"uris":["http://www.mendeley.com/documents/?uuid=a4ba06a5-53d1-4447-94e9-0d5885863316"]},{"id":"ITEM-2","itemData":{"DOI":"10.1375/twin.9.3.367","ISSN":"1832-4274","author":[{"dropping-particle":"","family":"Rebollo","given":"Irene","non-dropping-particle":"","parse-names":false,"suffix":""},{"dropping-particle":"","family":"Moor","given":"Marleen H. M.","non-dropping-particle":"de","parse-names":false,"suffix":""},{"dropping-particle":"V.","family":"Dolan","given":"Conor","non-dropping-particle":"","parse-names":false,"suffix":""},{"dropping-particle":"","family":"Boomsma","given":"Dorret I.","non-dropping-particle":"","parse-names":false,"suffix":""}],"container-title":"Twin Research and Human Genetics","id":"ITEM-2","issue":"03","issued":{"date-parts":[["2012","2","21"]]},"language":"English","page":"367-376","publisher":"Cambridge University Press","title":"Phenotypic Factor Analysis of Family Data: Correction of the Bias Due to Dependency","type":"article-journal","volume":"9"},"uris":["http://www.mendeley.com/documents/?uuid=7e1422a2-ae3c-4275-a9c1-487c29aba549"]}],"mendeley":{"formattedCitation":"(A Abdellaoui et al., 2018; Rebollo, de Moor, Dolan, &amp; Boomsma, 2012)","manualFormatting":"(Abdellaoui et al., 2018; Rebollo, de Moor, Dolan, &amp; Boomsma, 2012)","plainTextFormattedCitation":"(A Abdellaoui et al., 2018; Rebollo, de Moor, Dolan, &amp; Boomsma, 2012)","previouslyFormattedCitation":"(A Abdellaoui et al., 2018; Rebollo, de Moor, Dolan, &amp; Boomsma, 2012)"},"properties":{"noteIndex":0},"schema":"https://github.com/citation-style-language/schema/raw/master/csl-citation.json"}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(Abdellaoui et al., 2018; Rebollo, de Moor, Dolan, &amp; Boomsma, 2012)</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 To avoid the finding</w:t>
      </w:r>
      <w:r>
        <w:rPr>
          <w:rFonts w:asciiTheme="majorHAnsi" w:hAnsiTheme="majorHAnsi" w:cstheme="majorHAnsi"/>
          <w:sz w:val="24"/>
          <w:szCs w:val="24"/>
          <w:lang w:val="en-US"/>
        </w:rPr>
        <w:t>s</w:t>
      </w:r>
      <w:r w:rsidRPr="00E60CDA">
        <w:rPr>
          <w:rFonts w:asciiTheme="majorHAnsi" w:hAnsiTheme="majorHAnsi" w:cstheme="majorHAnsi"/>
          <w:sz w:val="24"/>
          <w:szCs w:val="24"/>
          <w:lang w:val="en-US"/>
        </w:rPr>
        <w:t xml:space="preserve"> being driven by confounders rather than by the genetic or environmental variables of interest, we added age, age</w:t>
      </w:r>
      <w:r w:rsidRPr="00E60CDA">
        <w:rPr>
          <w:rFonts w:asciiTheme="majorHAnsi" w:hAnsiTheme="majorHAnsi" w:cstheme="majorHAnsi"/>
          <w:sz w:val="24"/>
          <w:szCs w:val="24"/>
          <w:vertAlign w:val="superscript"/>
          <w:lang w:val="en-US"/>
        </w:rPr>
        <w:t>2</w:t>
      </w:r>
      <w:r w:rsidRPr="00E60CDA">
        <w:rPr>
          <w:rFonts w:asciiTheme="majorHAnsi" w:hAnsiTheme="majorHAnsi" w:cstheme="majorHAnsi"/>
          <w:sz w:val="24"/>
          <w:szCs w:val="24"/>
          <w:lang w:val="en-US"/>
        </w:rPr>
        <w:t>, sex, 10 principal components, and array as covariates. Doing so does not control for the possible effect these confounders have on the G x E interaction, possibly resulting in attenuation of the G x E estimates. Therefore, we also included interaction-terms of covariates x genes (e.g.</w:t>
      </w:r>
      <w:r>
        <w:rPr>
          <w:rFonts w:asciiTheme="majorHAnsi" w:hAnsiTheme="majorHAnsi" w:cstheme="majorHAnsi"/>
          <w:sz w:val="24"/>
          <w:szCs w:val="24"/>
          <w:lang w:val="en-US"/>
        </w:rPr>
        <w:t>,</w:t>
      </w:r>
      <w:r w:rsidRPr="00E60CDA">
        <w:rPr>
          <w:rFonts w:asciiTheme="majorHAnsi" w:hAnsiTheme="majorHAnsi" w:cstheme="majorHAnsi"/>
          <w:sz w:val="24"/>
          <w:szCs w:val="24"/>
          <w:lang w:val="en-US"/>
        </w:rPr>
        <w:t xml:space="preserve"> age x polygenic score) and covariates x environment (e.g.</w:t>
      </w:r>
      <w:r>
        <w:rPr>
          <w:rFonts w:asciiTheme="majorHAnsi" w:hAnsiTheme="majorHAnsi" w:cstheme="majorHAnsi"/>
          <w:sz w:val="24"/>
          <w:szCs w:val="24"/>
          <w:lang w:val="en-US"/>
        </w:rPr>
        <w:t>,</w:t>
      </w:r>
      <w:r w:rsidRPr="00E60CDA">
        <w:rPr>
          <w:rFonts w:asciiTheme="majorHAnsi" w:hAnsiTheme="majorHAnsi" w:cstheme="majorHAnsi"/>
          <w:sz w:val="24"/>
          <w:szCs w:val="24"/>
          <w:lang w:val="en-US"/>
        </w:rPr>
        <w:t xml:space="preserve"> age x stressful life event) to eliminate effects of interactions between covariates and the variables of interest </w:t>
      </w:r>
      <w:r w:rsidRPr="00E60CDA">
        <w:rPr>
          <w:rFonts w:asciiTheme="majorHAnsi" w:hAnsiTheme="majorHAnsi" w:cstheme="majorHAnsi"/>
          <w:sz w:val="24"/>
          <w:szCs w:val="24"/>
          <w:lang w:val="en-US"/>
        </w:rPr>
        <w:fldChar w:fldCharType="begin" w:fldLock="1"/>
      </w:r>
      <w:r w:rsidRPr="00E60CDA">
        <w:rPr>
          <w:rFonts w:asciiTheme="majorHAnsi" w:hAnsiTheme="majorHAnsi" w:cstheme="majorHAnsi"/>
          <w:sz w:val="24"/>
          <w:szCs w:val="24"/>
          <w:lang w:val="en-US"/>
        </w:rPr>
        <w:instrText>ADDIN CSL_CITATION {"citationItems":[{"id":"ITEM-1","itemData":{"DOI":"10.1016/J.BIOPSYCH.2013.09.006","ISSN":"0006-3223","abstract":"Candidate gene × environment (G × E) interaction research tests the hypothesis that the effects of some environmental variable (e.g., childhood maltreatment) on some outcome measure (e.g., depression) depend on a particular genetic polymorphism. Because this research is inherently nonexperimental, investigators have been rightly concerned that detected interactions could be driven by confounders (e.g., ethnicity, gender, age, socioeconomic status) rather than by the specified genetic or environmental variables per se. In an attempt to eliminate such alternative explanations for detected G × E interactions, investigators routinely enter the potential confounders as covariates in general linear models. However, this practice does not control for the effects these variables might have on the G × E interaction. Rather, to properly control for confounders, researchers need to enter the covariate × environment and the covariate × gene interaction terms in the same model that tests the G × E term. In this manuscript, I demonstrate this point analytically and show that the practice of improperly controlling for covariates is the norm in the G × E interaction literature to date. Thus, many alternative explanations for G × E findings that investigators had thought were eliminated have not been.","author":[{"dropping-particle":"","family":"Keller","given":"Matthew C.","non-dropping-particle":"","parse-names":false,"suffix":""}],"container-title":"Biological Psychiatry","id":"ITEM-1","issue":"1","issued":{"date-parts":[["2014","1","1"]]},"page":"18-24","publisher":"Elsevier","title":"Gene × Environment Interaction Studies Have Not Properly Controlled for Potential Confounders: The Problem and the (Simple) Solution","type":"article-journal","volume":"75"},"uris":["http://www.mendeley.com/documents/?uuid=3585cfd6-e3c3-3c4d-8fef-e4af95f66216"]}],"mendeley":{"formattedCitation":"(Keller, 2014)","plainTextFormattedCitation":"(Keller, 2014)","previouslyFormattedCitation":"(Keller, 2014)"},"properties":{"noteIndex":0},"schema":"https://github.com/citation-style-language/schema/raw/master/csl-citation.json"}</w:instrText>
      </w:r>
      <w:r w:rsidRPr="00E60CDA">
        <w:rPr>
          <w:rFonts w:asciiTheme="majorHAnsi" w:hAnsiTheme="majorHAnsi" w:cstheme="majorHAnsi"/>
          <w:sz w:val="24"/>
          <w:szCs w:val="24"/>
          <w:lang w:val="en-US"/>
        </w:rPr>
        <w:fldChar w:fldCharType="separate"/>
      </w:r>
      <w:r w:rsidRPr="00E60CDA">
        <w:rPr>
          <w:rFonts w:asciiTheme="majorHAnsi" w:hAnsiTheme="majorHAnsi" w:cstheme="majorHAnsi"/>
          <w:noProof/>
          <w:sz w:val="24"/>
          <w:szCs w:val="24"/>
          <w:lang w:val="en-US"/>
        </w:rPr>
        <w:t>(Keller, 2014)</w:t>
      </w:r>
      <w:r w:rsidRPr="00E60CDA">
        <w:rPr>
          <w:rFonts w:asciiTheme="majorHAnsi" w:hAnsiTheme="majorHAnsi" w:cstheme="majorHAnsi"/>
          <w:sz w:val="24"/>
          <w:szCs w:val="24"/>
          <w:lang w:val="en-US"/>
        </w:rPr>
        <w:fldChar w:fldCharType="end"/>
      </w:r>
      <w:r w:rsidRPr="00E60CDA">
        <w:rPr>
          <w:rFonts w:asciiTheme="majorHAnsi" w:hAnsiTheme="majorHAnsi" w:cstheme="majorHAnsi"/>
          <w:sz w:val="24"/>
          <w:szCs w:val="24"/>
          <w:lang w:val="en-US"/>
        </w:rPr>
        <w:t>.</w:t>
      </w:r>
      <w:r>
        <w:rPr>
          <w:rFonts w:asciiTheme="majorHAnsi" w:hAnsiTheme="majorHAnsi" w:cstheme="majorHAnsi"/>
          <w:sz w:val="24"/>
          <w:szCs w:val="24"/>
          <w:lang w:val="en-US"/>
        </w:rPr>
        <w:t xml:space="preserve"> </w:t>
      </w:r>
    </w:p>
    <w:p w14:paraId="5CD43ABE" w14:textId="77777777" w:rsidR="0020002B" w:rsidRDefault="0020002B" w:rsidP="0020002B">
      <w:pPr>
        <w:spacing w:line="480" w:lineRule="auto"/>
        <w:rPr>
          <w:rFonts w:asciiTheme="majorHAnsi" w:hAnsiTheme="majorHAnsi" w:cstheme="majorHAnsi"/>
          <w:bCs/>
          <w:sz w:val="24"/>
          <w:szCs w:val="24"/>
          <w:lang w:val="en-US"/>
        </w:rPr>
      </w:pPr>
      <w:r w:rsidRPr="00E60CDA">
        <w:rPr>
          <w:rFonts w:asciiTheme="majorHAnsi" w:hAnsiTheme="majorHAnsi" w:cstheme="majorHAnsi"/>
          <w:b/>
          <w:sz w:val="24"/>
          <w:szCs w:val="24"/>
          <w:lang w:val="en-US"/>
        </w:rPr>
        <w:t xml:space="preserve">Results </w:t>
      </w:r>
      <w:r w:rsidRPr="00E60CDA">
        <w:rPr>
          <w:rFonts w:asciiTheme="majorHAnsi" w:hAnsiTheme="majorHAnsi" w:cstheme="majorHAnsi"/>
          <w:b/>
          <w:sz w:val="24"/>
          <w:szCs w:val="24"/>
          <w:lang w:val="en-US"/>
        </w:rPr>
        <w:br/>
      </w:r>
      <w:r w:rsidRPr="00E60CDA">
        <w:rPr>
          <w:rFonts w:asciiTheme="majorHAnsi" w:hAnsiTheme="majorHAnsi" w:cstheme="majorHAnsi"/>
          <w:bCs/>
          <w:sz w:val="24"/>
          <w:szCs w:val="24"/>
          <w:lang w:val="en-US"/>
        </w:rPr>
        <w:t xml:space="preserve">The prevalence of experienced life events in </w:t>
      </w:r>
      <w:r w:rsidRPr="00E60CDA">
        <w:rPr>
          <w:rFonts w:asciiTheme="majorHAnsi" w:hAnsiTheme="majorHAnsi" w:cstheme="majorHAnsi"/>
          <w:bCs/>
          <w:i/>
          <w:iCs/>
          <w:sz w:val="24"/>
          <w:szCs w:val="24"/>
          <w:lang w:val="en-US"/>
        </w:rPr>
        <w:t>the last year</w:t>
      </w:r>
      <w:r w:rsidRPr="00E60CDA">
        <w:rPr>
          <w:rFonts w:asciiTheme="majorHAnsi" w:hAnsiTheme="majorHAnsi" w:cstheme="majorHAnsi"/>
          <w:bCs/>
          <w:sz w:val="24"/>
          <w:szCs w:val="24"/>
          <w:lang w:val="en-US"/>
        </w:rPr>
        <w:t xml:space="preserve"> ranged between 0 and 5, and the </w:t>
      </w:r>
      <w:r w:rsidRPr="00E60CDA">
        <w:rPr>
          <w:rFonts w:asciiTheme="majorHAnsi" w:hAnsiTheme="majorHAnsi" w:cstheme="majorHAnsi"/>
          <w:bCs/>
          <w:sz w:val="24"/>
          <w:szCs w:val="24"/>
          <w:lang w:val="en-US"/>
        </w:rPr>
        <w:lastRenderedPageBreak/>
        <w:t xml:space="preserve">prevalence of experienced life events over </w:t>
      </w:r>
      <w:r w:rsidRPr="00E60CDA">
        <w:rPr>
          <w:rFonts w:asciiTheme="majorHAnsi" w:hAnsiTheme="majorHAnsi" w:cstheme="majorHAnsi"/>
          <w:bCs/>
          <w:i/>
          <w:iCs/>
          <w:sz w:val="24"/>
          <w:szCs w:val="24"/>
          <w:lang w:val="en-US"/>
        </w:rPr>
        <w:t>the lifetime</w:t>
      </w:r>
      <w:r w:rsidRPr="00E60CDA">
        <w:rPr>
          <w:rFonts w:asciiTheme="majorHAnsi" w:hAnsiTheme="majorHAnsi" w:cstheme="majorHAnsi"/>
          <w:bCs/>
          <w:sz w:val="24"/>
          <w:szCs w:val="24"/>
          <w:lang w:val="en-US"/>
        </w:rPr>
        <w:t xml:space="preserve"> ranged between 0 and 13 (see Table 1). In </w:t>
      </w:r>
      <w:r>
        <w:rPr>
          <w:rFonts w:asciiTheme="majorHAnsi" w:hAnsiTheme="majorHAnsi" w:cstheme="majorHAnsi"/>
          <w:bCs/>
          <w:sz w:val="24"/>
          <w:szCs w:val="24"/>
          <w:lang w:val="en-US"/>
        </w:rPr>
        <w:t>T</w:t>
      </w:r>
      <w:r w:rsidRPr="00E60CDA">
        <w:rPr>
          <w:rFonts w:asciiTheme="majorHAnsi" w:hAnsiTheme="majorHAnsi" w:cstheme="majorHAnsi"/>
          <w:bCs/>
          <w:sz w:val="24"/>
          <w:szCs w:val="24"/>
          <w:lang w:val="en-US"/>
        </w:rPr>
        <w:t xml:space="preserve">able 2, we report the standardized betas, standard errors, and </w:t>
      </w:r>
      <w:r w:rsidRPr="00E60CDA">
        <w:rPr>
          <w:rFonts w:asciiTheme="majorHAnsi" w:hAnsiTheme="majorHAnsi" w:cstheme="majorHAnsi"/>
          <w:bCs/>
          <w:i/>
          <w:iCs/>
          <w:sz w:val="24"/>
          <w:szCs w:val="24"/>
          <w:lang w:val="en-US"/>
        </w:rPr>
        <w:t>p</w:t>
      </w:r>
      <w:r w:rsidRPr="00E60CDA">
        <w:rPr>
          <w:rFonts w:asciiTheme="majorHAnsi" w:hAnsiTheme="majorHAnsi" w:cstheme="majorHAnsi"/>
          <w:bCs/>
          <w:sz w:val="24"/>
          <w:szCs w:val="24"/>
          <w:lang w:val="en-US"/>
        </w:rPr>
        <w:t xml:space="preserve">-values of the main and interaction effects. There was a significant main, albeit small, effect of the polygenic score on low self-control, and a significant main effect of life events experienced in the last year. The interaction between polygenic score and negative life events in the last year, however, did not significantly predict low self-control. </w:t>
      </w:r>
      <w:r>
        <w:rPr>
          <w:rFonts w:asciiTheme="majorHAnsi" w:hAnsiTheme="majorHAnsi" w:cstheme="majorHAnsi"/>
          <w:bCs/>
          <w:sz w:val="24"/>
          <w:szCs w:val="24"/>
          <w:lang w:val="en-US"/>
        </w:rPr>
        <w:t>W</w:t>
      </w:r>
      <w:r w:rsidRPr="00E60CDA">
        <w:rPr>
          <w:rFonts w:asciiTheme="majorHAnsi" w:hAnsiTheme="majorHAnsi" w:cstheme="majorHAnsi"/>
          <w:bCs/>
          <w:sz w:val="24"/>
          <w:szCs w:val="24"/>
          <w:lang w:val="en-US"/>
        </w:rPr>
        <w:t>e report similar test statistics for life events experienced over the lifetime. While there was a significant main effect of polygenic score and experienced life events experienced over the lifetime</w:t>
      </w:r>
      <w:r>
        <w:rPr>
          <w:rFonts w:asciiTheme="majorHAnsi" w:hAnsiTheme="majorHAnsi" w:cstheme="majorHAnsi"/>
          <w:bCs/>
          <w:sz w:val="24"/>
          <w:szCs w:val="24"/>
          <w:lang w:val="en-US"/>
        </w:rPr>
        <w:t>,</w:t>
      </w:r>
      <w:r w:rsidRPr="00E60CDA">
        <w:rPr>
          <w:rFonts w:asciiTheme="majorHAnsi" w:hAnsiTheme="majorHAnsi" w:cstheme="majorHAnsi"/>
          <w:bCs/>
          <w:sz w:val="24"/>
          <w:szCs w:val="24"/>
          <w:lang w:val="en-US"/>
        </w:rPr>
        <w:t xml:space="preserve"> respectively, the interaction between polygenic score and negative life events experienced in the life time did not signific</w:t>
      </w:r>
      <w:r>
        <w:rPr>
          <w:rFonts w:asciiTheme="majorHAnsi" w:hAnsiTheme="majorHAnsi" w:cstheme="majorHAnsi"/>
          <w:bCs/>
          <w:sz w:val="24"/>
          <w:szCs w:val="24"/>
          <w:lang w:val="en-US"/>
        </w:rPr>
        <w:t>antly predict low self-control.</w:t>
      </w:r>
    </w:p>
    <w:p w14:paraId="118F446D" w14:textId="12220386" w:rsidR="005658D5" w:rsidRPr="00E60CDA" w:rsidRDefault="0020002B" w:rsidP="00CB024D">
      <w:pPr>
        <w:spacing w:line="480" w:lineRule="auto"/>
        <w:rPr>
          <w:rFonts w:asciiTheme="majorHAnsi" w:hAnsiTheme="majorHAnsi" w:cstheme="majorHAnsi"/>
          <w:bCs/>
          <w:sz w:val="24"/>
          <w:szCs w:val="24"/>
          <w:lang w:val="en-US"/>
        </w:rPr>
      </w:pPr>
      <w:r>
        <w:rPr>
          <w:rFonts w:asciiTheme="majorHAnsi" w:hAnsiTheme="majorHAnsi" w:cstheme="majorHAnsi"/>
          <w:bCs/>
          <w:sz w:val="24"/>
          <w:szCs w:val="24"/>
          <w:lang w:val="en-US"/>
        </w:rPr>
        <w:t xml:space="preserve"> </w:t>
      </w:r>
      <w:r>
        <w:rPr>
          <w:rFonts w:asciiTheme="majorHAnsi" w:hAnsiTheme="majorHAnsi" w:cstheme="majorHAnsi"/>
          <w:bCs/>
          <w:sz w:val="24"/>
          <w:szCs w:val="24"/>
          <w:lang w:val="en-US"/>
        </w:rPr>
        <w:tab/>
        <w:t xml:space="preserve">Perhaps, it is gene-environment correlation that is applicable rather than gene-environment interaction that plays a role and attenuating our findings. As an exploratory analyses, we </w:t>
      </w:r>
      <w:r w:rsidRPr="00E60CDA">
        <w:rPr>
          <w:rFonts w:asciiTheme="majorHAnsi" w:hAnsiTheme="majorHAnsi" w:cstheme="majorHAnsi"/>
          <w:bCs/>
          <w:sz w:val="24"/>
          <w:szCs w:val="24"/>
          <w:lang w:val="en-US"/>
        </w:rPr>
        <w:t>correl</w:t>
      </w:r>
      <w:r>
        <w:rPr>
          <w:rFonts w:asciiTheme="majorHAnsi" w:hAnsiTheme="majorHAnsi" w:cstheme="majorHAnsi"/>
          <w:bCs/>
          <w:sz w:val="24"/>
          <w:szCs w:val="24"/>
          <w:lang w:val="en-US"/>
        </w:rPr>
        <w:t>ated</w:t>
      </w:r>
      <w:r w:rsidRPr="00E60CDA">
        <w:rPr>
          <w:rFonts w:asciiTheme="majorHAnsi" w:hAnsiTheme="majorHAnsi" w:cstheme="majorHAnsi"/>
          <w:bCs/>
          <w:sz w:val="24"/>
          <w:szCs w:val="24"/>
          <w:lang w:val="en-US"/>
        </w:rPr>
        <w:t xml:space="preserve"> our polygenic score (fo</w:t>
      </w:r>
      <w:r>
        <w:rPr>
          <w:rFonts w:asciiTheme="majorHAnsi" w:hAnsiTheme="majorHAnsi" w:cstheme="majorHAnsi"/>
          <w:bCs/>
          <w:sz w:val="24"/>
          <w:szCs w:val="24"/>
          <w:lang w:val="en-US"/>
        </w:rPr>
        <w:t>r ADHD) and the environment (negative life events p</w:t>
      </w:r>
      <w:r w:rsidRPr="00E60CDA">
        <w:rPr>
          <w:rFonts w:asciiTheme="majorHAnsi" w:hAnsiTheme="majorHAnsi" w:cstheme="majorHAnsi"/>
          <w:bCs/>
          <w:sz w:val="24"/>
          <w:szCs w:val="24"/>
          <w:lang w:val="en-US"/>
        </w:rPr>
        <w:t xml:space="preserve">ast year, </w:t>
      </w:r>
      <w:r>
        <w:rPr>
          <w:rFonts w:asciiTheme="majorHAnsi" w:hAnsiTheme="majorHAnsi" w:cstheme="majorHAnsi"/>
          <w:bCs/>
          <w:sz w:val="24"/>
          <w:szCs w:val="24"/>
          <w:lang w:val="en-US"/>
        </w:rPr>
        <w:t xml:space="preserve">negative life events across the life time). Doing so resulted in </w:t>
      </w:r>
      <w:r w:rsidRPr="00E60CDA">
        <w:rPr>
          <w:rFonts w:asciiTheme="majorHAnsi" w:hAnsiTheme="majorHAnsi" w:cstheme="majorHAnsi"/>
          <w:bCs/>
          <w:sz w:val="24"/>
          <w:szCs w:val="24"/>
          <w:lang w:val="en-US"/>
        </w:rPr>
        <w:t xml:space="preserve">we </w:t>
      </w:r>
      <w:r>
        <w:rPr>
          <w:rFonts w:asciiTheme="majorHAnsi" w:hAnsiTheme="majorHAnsi" w:cstheme="majorHAnsi"/>
          <w:bCs/>
          <w:sz w:val="24"/>
          <w:szCs w:val="24"/>
          <w:lang w:val="en-US"/>
        </w:rPr>
        <w:t>find</w:t>
      </w:r>
      <w:r w:rsidRPr="00E60CDA">
        <w:rPr>
          <w:rFonts w:asciiTheme="majorHAnsi" w:hAnsiTheme="majorHAnsi" w:cstheme="majorHAnsi"/>
          <w:bCs/>
          <w:sz w:val="24"/>
          <w:szCs w:val="24"/>
          <w:lang w:val="en-US"/>
        </w:rPr>
        <w:t xml:space="preserve"> significant albeit small correlations (NLE past year </w:t>
      </w:r>
      <w:r w:rsidRPr="00E60CDA">
        <w:rPr>
          <w:rFonts w:asciiTheme="majorHAnsi" w:hAnsiTheme="majorHAnsi" w:cstheme="majorHAnsi"/>
          <w:bCs/>
          <w:i/>
          <w:iCs/>
          <w:sz w:val="24"/>
          <w:szCs w:val="24"/>
          <w:lang w:val="en-US"/>
        </w:rPr>
        <w:t>r</w:t>
      </w:r>
      <w:r w:rsidRPr="00E60CDA">
        <w:rPr>
          <w:rFonts w:asciiTheme="majorHAnsi" w:hAnsiTheme="majorHAnsi" w:cstheme="majorHAnsi"/>
          <w:bCs/>
          <w:sz w:val="24"/>
          <w:szCs w:val="24"/>
          <w:lang w:val="en-US"/>
        </w:rPr>
        <w:t xml:space="preserve">=.022, </w:t>
      </w:r>
      <w:r w:rsidRPr="00E60CDA">
        <w:rPr>
          <w:rFonts w:asciiTheme="majorHAnsi" w:hAnsiTheme="majorHAnsi" w:cstheme="majorHAnsi"/>
          <w:bCs/>
          <w:i/>
          <w:iCs/>
          <w:sz w:val="24"/>
          <w:szCs w:val="24"/>
          <w:lang w:val="en-US"/>
        </w:rPr>
        <w:t>p</w:t>
      </w:r>
      <w:r w:rsidRPr="00E60CDA">
        <w:rPr>
          <w:rFonts w:asciiTheme="majorHAnsi" w:hAnsiTheme="majorHAnsi" w:cstheme="majorHAnsi"/>
          <w:bCs/>
          <w:sz w:val="24"/>
          <w:szCs w:val="24"/>
          <w:lang w:val="en-US"/>
        </w:rPr>
        <w:t xml:space="preserve">=.016, NLE life time </w:t>
      </w:r>
      <w:r w:rsidRPr="00E60CDA">
        <w:rPr>
          <w:rFonts w:asciiTheme="majorHAnsi" w:hAnsiTheme="majorHAnsi" w:cstheme="majorHAnsi"/>
          <w:bCs/>
          <w:i/>
          <w:iCs/>
          <w:sz w:val="24"/>
          <w:szCs w:val="24"/>
          <w:lang w:val="en-US"/>
        </w:rPr>
        <w:t>r</w:t>
      </w:r>
      <w:r w:rsidRPr="00E60CDA">
        <w:rPr>
          <w:rFonts w:asciiTheme="majorHAnsi" w:hAnsiTheme="majorHAnsi" w:cstheme="majorHAnsi"/>
          <w:bCs/>
          <w:sz w:val="24"/>
          <w:szCs w:val="24"/>
          <w:lang w:val="en-US"/>
        </w:rPr>
        <w:t xml:space="preserve">=.027, </w:t>
      </w:r>
      <w:r w:rsidRPr="00E60CDA">
        <w:rPr>
          <w:rFonts w:asciiTheme="majorHAnsi" w:hAnsiTheme="majorHAnsi" w:cstheme="majorHAnsi"/>
          <w:bCs/>
          <w:i/>
          <w:iCs/>
          <w:sz w:val="24"/>
          <w:szCs w:val="24"/>
          <w:lang w:val="en-US"/>
        </w:rPr>
        <w:t>p</w:t>
      </w:r>
      <w:r w:rsidRPr="00E60CDA">
        <w:rPr>
          <w:rFonts w:asciiTheme="majorHAnsi" w:hAnsiTheme="majorHAnsi" w:cstheme="majorHAnsi"/>
          <w:bCs/>
          <w:sz w:val="24"/>
          <w:szCs w:val="24"/>
          <w:lang w:val="en-US"/>
        </w:rPr>
        <w:t>=.004).</w:t>
      </w:r>
    </w:p>
    <w:p w14:paraId="2F96C8A1" w14:textId="7FD26141" w:rsidR="0012434F" w:rsidRDefault="00A54064" w:rsidP="001266B1">
      <w:pPr>
        <w:spacing w:line="480" w:lineRule="auto"/>
        <w:rPr>
          <w:rFonts w:asciiTheme="majorHAnsi" w:hAnsiTheme="majorHAnsi" w:cstheme="majorHAnsi"/>
          <w:bCs/>
          <w:sz w:val="24"/>
          <w:szCs w:val="24"/>
          <w:lang w:val="en-US"/>
        </w:rPr>
      </w:pPr>
      <w:r>
        <w:rPr>
          <w:rFonts w:asciiTheme="majorHAnsi" w:hAnsiTheme="majorHAnsi" w:cstheme="majorHAnsi"/>
          <w:b/>
          <w:sz w:val="24"/>
          <w:szCs w:val="24"/>
          <w:lang w:val="en-US"/>
        </w:rPr>
        <w:t xml:space="preserve">  </w:t>
      </w:r>
      <w:r>
        <w:rPr>
          <w:rFonts w:asciiTheme="majorHAnsi" w:hAnsiTheme="majorHAnsi" w:cstheme="majorHAnsi"/>
          <w:b/>
          <w:sz w:val="24"/>
          <w:szCs w:val="24"/>
          <w:lang w:val="en-US"/>
        </w:rPr>
        <w:tab/>
      </w:r>
      <w:r>
        <w:rPr>
          <w:rFonts w:asciiTheme="majorHAnsi" w:hAnsiTheme="majorHAnsi" w:cstheme="majorHAnsi"/>
          <w:b/>
          <w:sz w:val="24"/>
          <w:szCs w:val="24"/>
          <w:lang w:val="en-US"/>
        </w:rPr>
        <w:tab/>
      </w:r>
      <w:r>
        <w:rPr>
          <w:rFonts w:asciiTheme="majorHAnsi" w:hAnsiTheme="majorHAnsi" w:cstheme="majorHAnsi"/>
          <w:b/>
          <w:sz w:val="24"/>
          <w:szCs w:val="24"/>
          <w:lang w:val="en-US"/>
        </w:rPr>
        <w:tab/>
      </w:r>
      <w:r>
        <w:rPr>
          <w:rFonts w:asciiTheme="majorHAnsi" w:hAnsiTheme="majorHAnsi" w:cstheme="majorHAnsi"/>
          <w:b/>
          <w:sz w:val="24"/>
          <w:szCs w:val="24"/>
          <w:lang w:val="en-US"/>
        </w:rPr>
        <w:tab/>
      </w:r>
      <w:r>
        <w:rPr>
          <w:rFonts w:asciiTheme="majorHAnsi" w:hAnsiTheme="majorHAnsi" w:cstheme="majorHAnsi"/>
          <w:b/>
          <w:sz w:val="24"/>
          <w:szCs w:val="24"/>
          <w:lang w:val="en-US"/>
        </w:rPr>
        <w:tab/>
      </w:r>
      <w:r w:rsidR="0020002B" w:rsidRPr="00E60CDA">
        <w:rPr>
          <w:rFonts w:asciiTheme="majorHAnsi" w:hAnsiTheme="majorHAnsi" w:cstheme="majorHAnsi"/>
          <w:b/>
          <w:sz w:val="24"/>
          <w:szCs w:val="24"/>
          <w:lang w:val="en-US"/>
        </w:rPr>
        <w:t>Discussion</w:t>
      </w:r>
      <w:r w:rsidR="0020002B" w:rsidRPr="00E60CDA">
        <w:rPr>
          <w:rFonts w:asciiTheme="majorHAnsi" w:hAnsiTheme="majorHAnsi" w:cstheme="majorHAnsi"/>
          <w:b/>
          <w:sz w:val="24"/>
          <w:szCs w:val="24"/>
          <w:lang w:val="en-US"/>
        </w:rPr>
        <w:br/>
      </w:r>
      <w:r w:rsidR="0020002B" w:rsidRPr="00E60CDA">
        <w:rPr>
          <w:rFonts w:asciiTheme="majorHAnsi" w:hAnsiTheme="majorHAnsi" w:cstheme="majorHAnsi"/>
          <w:bCs/>
          <w:sz w:val="24"/>
          <w:szCs w:val="24"/>
          <w:lang w:val="en-US"/>
        </w:rPr>
        <w:t xml:space="preserve">In line with the diathesis-stress or gene-environment (G x E) interaction theories, </w:t>
      </w:r>
      <w:r w:rsidR="0020002B">
        <w:rPr>
          <w:rFonts w:asciiTheme="majorHAnsi" w:hAnsiTheme="majorHAnsi" w:cstheme="majorHAnsi"/>
          <w:bCs/>
          <w:sz w:val="24"/>
          <w:szCs w:val="24"/>
          <w:lang w:val="en-US"/>
        </w:rPr>
        <w:t>we</w:t>
      </w:r>
      <w:r w:rsidR="0020002B" w:rsidRPr="00E60CDA">
        <w:rPr>
          <w:rFonts w:asciiTheme="majorHAnsi" w:hAnsiTheme="majorHAnsi" w:cstheme="majorHAnsi"/>
          <w:bCs/>
          <w:sz w:val="24"/>
          <w:szCs w:val="24"/>
          <w:lang w:val="en-US"/>
        </w:rPr>
        <w:t xml:space="preserve"> hypothesized that genetic risk interact with experienced life stressors thereby propelling individuals into the development of lowered self-control. In this research, we aimed to test this hypothesis. We used data of large set of genotyped adults of the Netherlands Twin Register (</w:t>
      </w:r>
      <w:r w:rsidR="0020002B" w:rsidRPr="00E60CDA">
        <w:rPr>
          <w:rFonts w:asciiTheme="majorHAnsi" w:hAnsiTheme="majorHAnsi" w:cstheme="majorHAnsi"/>
          <w:bCs/>
          <w:i/>
          <w:iCs/>
          <w:sz w:val="24"/>
          <w:szCs w:val="24"/>
          <w:lang w:val="en-US"/>
        </w:rPr>
        <w:t>N</w:t>
      </w:r>
      <w:r w:rsidR="0020002B" w:rsidRPr="00E60CDA">
        <w:rPr>
          <w:rFonts w:asciiTheme="majorHAnsi" w:hAnsiTheme="majorHAnsi" w:cstheme="majorHAnsi"/>
          <w:bCs/>
          <w:sz w:val="24"/>
          <w:szCs w:val="24"/>
          <w:lang w:val="en-US"/>
        </w:rPr>
        <w:t xml:space="preserve">=5,839), including polygenic scores based on an ADHD GWAS (Demontis et al., 2019), self-reports on self-control, and self-reported experienced life stressors in the past </w:t>
      </w:r>
      <w:r w:rsidR="0020002B" w:rsidRPr="00E60CDA">
        <w:rPr>
          <w:rFonts w:asciiTheme="majorHAnsi" w:hAnsiTheme="majorHAnsi" w:cstheme="majorHAnsi"/>
          <w:bCs/>
          <w:sz w:val="24"/>
          <w:szCs w:val="24"/>
          <w:lang w:val="en-US"/>
        </w:rPr>
        <w:lastRenderedPageBreak/>
        <w:t>year and over the lifespan. While we found small main effects of life stressors and polygenic scores on low self-control</w:t>
      </w:r>
      <w:r w:rsidR="0020002B">
        <w:rPr>
          <w:rFonts w:asciiTheme="majorHAnsi" w:hAnsiTheme="majorHAnsi" w:cstheme="majorHAnsi"/>
          <w:bCs/>
          <w:sz w:val="24"/>
          <w:szCs w:val="24"/>
          <w:lang w:val="en-US"/>
        </w:rPr>
        <w:t>,</w:t>
      </w:r>
      <w:r w:rsidR="0020002B" w:rsidRPr="00E60CDA">
        <w:rPr>
          <w:rFonts w:asciiTheme="majorHAnsi" w:hAnsiTheme="majorHAnsi" w:cstheme="majorHAnsi"/>
          <w:bCs/>
          <w:sz w:val="24"/>
          <w:szCs w:val="24"/>
          <w:lang w:val="en-US"/>
        </w:rPr>
        <w:t xml:space="preserve"> respectively, we did not find evidence for an interaction effect between genetic risk (polygenic score) and life stressors (in the last year nor in the lifespan) in the prediction of low self-control. </w:t>
      </w:r>
      <w:r w:rsidR="0020002B" w:rsidRPr="00E60CDA">
        <w:rPr>
          <w:rFonts w:asciiTheme="majorHAnsi" w:hAnsiTheme="majorHAnsi" w:cstheme="majorHAnsi"/>
          <w:bCs/>
          <w:sz w:val="24"/>
          <w:szCs w:val="24"/>
          <w:lang w:val="en-US"/>
        </w:rPr>
        <w:br/>
        <w:t xml:space="preserve"> </w:t>
      </w:r>
      <w:r w:rsidR="0020002B" w:rsidRPr="00E60CDA">
        <w:rPr>
          <w:rFonts w:asciiTheme="majorHAnsi" w:hAnsiTheme="majorHAnsi" w:cstheme="majorHAnsi"/>
          <w:bCs/>
          <w:sz w:val="24"/>
          <w:szCs w:val="24"/>
          <w:lang w:val="en-US"/>
        </w:rPr>
        <w:tab/>
        <w:t xml:space="preserve">The findings are interesting in a number of ways. </w:t>
      </w:r>
      <w:r w:rsidR="0020002B">
        <w:rPr>
          <w:rFonts w:asciiTheme="majorHAnsi" w:hAnsiTheme="majorHAnsi" w:cstheme="majorHAnsi"/>
          <w:bCs/>
          <w:sz w:val="24"/>
          <w:szCs w:val="24"/>
          <w:lang w:val="en-US"/>
        </w:rPr>
        <w:t>First, we found main effects of both genetic and environmental effects on self-control. Specifically, the latter is in line with the increasing line of research postulating that contextual stressors explain individual differences in self-control (Willems, 2019b). Second</w:t>
      </w:r>
      <w:r w:rsidR="0020002B" w:rsidRPr="00E60CDA">
        <w:rPr>
          <w:rFonts w:asciiTheme="majorHAnsi" w:hAnsiTheme="majorHAnsi" w:cstheme="majorHAnsi"/>
          <w:bCs/>
          <w:sz w:val="24"/>
          <w:szCs w:val="24"/>
          <w:lang w:val="en-US"/>
        </w:rPr>
        <w:t>,</w:t>
      </w:r>
      <w:r w:rsidR="0020002B">
        <w:rPr>
          <w:rFonts w:asciiTheme="majorHAnsi" w:hAnsiTheme="majorHAnsi" w:cstheme="majorHAnsi"/>
          <w:bCs/>
          <w:sz w:val="24"/>
          <w:szCs w:val="24"/>
          <w:lang w:val="en-US"/>
        </w:rPr>
        <w:t xml:space="preserve"> </w:t>
      </w:r>
      <w:r w:rsidR="0020002B" w:rsidRPr="00E60CDA">
        <w:rPr>
          <w:rFonts w:asciiTheme="majorHAnsi" w:hAnsiTheme="majorHAnsi" w:cstheme="majorHAnsi"/>
          <w:bCs/>
          <w:sz w:val="24"/>
          <w:szCs w:val="24"/>
          <w:lang w:val="en-US"/>
        </w:rPr>
        <w:t>the hypothesis that genetic risk interacts with stressful environments is theoretically appealing as it provides a clear framework how “nature” and “nurture” collaboratively influence individual differences within the population. However, our results</w:t>
      </w:r>
      <w:r w:rsidR="0020002B">
        <w:rPr>
          <w:rFonts w:asciiTheme="majorHAnsi" w:hAnsiTheme="majorHAnsi" w:cstheme="majorHAnsi"/>
          <w:bCs/>
          <w:sz w:val="24"/>
          <w:szCs w:val="24"/>
          <w:lang w:val="en-US"/>
        </w:rPr>
        <w:t>,</w:t>
      </w:r>
      <w:r w:rsidR="0020002B" w:rsidRPr="00E60CDA">
        <w:rPr>
          <w:rFonts w:asciiTheme="majorHAnsi" w:hAnsiTheme="majorHAnsi" w:cstheme="majorHAnsi"/>
          <w:bCs/>
          <w:sz w:val="24"/>
          <w:szCs w:val="24"/>
          <w:lang w:val="en-US"/>
        </w:rPr>
        <w:t xml:space="preserve"> and </w:t>
      </w:r>
      <w:r w:rsidR="0020002B">
        <w:rPr>
          <w:rFonts w:asciiTheme="majorHAnsi" w:hAnsiTheme="majorHAnsi" w:cstheme="majorHAnsi"/>
          <w:bCs/>
          <w:sz w:val="24"/>
          <w:szCs w:val="24"/>
          <w:lang w:val="en-US"/>
        </w:rPr>
        <w:t>those</w:t>
      </w:r>
      <w:r w:rsidR="0020002B" w:rsidRPr="00E60CDA">
        <w:rPr>
          <w:rFonts w:asciiTheme="majorHAnsi" w:hAnsiTheme="majorHAnsi" w:cstheme="majorHAnsi"/>
          <w:bCs/>
          <w:sz w:val="24"/>
          <w:szCs w:val="24"/>
          <w:lang w:val="en-US"/>
        </w:rPr>
        <w:t xml:space="preserve"> of others </w:t>
      </w:r>
      <w:r w:rsidR="0020002B" w:rsidRPr="00E60CDA">
        <w:rPr>
          <w:rFonts w:asciiTheme="majorHAnsi" w:hAnsiTheme="majorHAnsi" w:cstheme="majorHAnsi"/>
          <w:bCs/>
          <w:sz w:val="24"/>
          <w:szCs w:val="24"/>
          <w:lang w:val="en-US"/>
        </w:rPr>
        <w:fldChar w:fldCharType="begin" w:fldLock="1"/>
      </w:r>
      <w:r w:rsidR="0020002B" w:rsidRPr="00E60CDA">
        <w:rPr>
          <w:rFonts w:asciiTheme="majorHAnsi" w:hAnsiTheme="majorHAnsi" w:cstheme="majorHAnsi"/>
          <w:bCs/>
          <w:sz w:val="24"/>
          <w:szCs w:val="24"/>
          <w:lang w:val="en-US"/>
        </w:rPr>
        <w:instrText xml:space="preserve">ADDIN CSL_CITATION {"citationItems":[{"id":"ITEM-1","itemData":{"DOI":"10.1016/J.SEMCDB.2017.10.016","ISSN":"1084-9521","abstract":"Empirical studies suggest that psychiatric disorders result from a complex interplay between genetic and environmental factors. Most evidence for such gene-environment interaction (GxE) is based on single candidate gene studies conducted from a Diathesis-Stress perspective. Recognizing the short-comings of candidate gene studies, GxE research has begun to focus on genome-wide and polygenic approaches as well as drawing on different theoretical concepts underlying GxE, such as Differential Susceptibility. After reviewing evidence from candidate GxE studies and presenting alternative theoretical frameworks underpinning GxE research, more recent approaches and findings from whole genome approaches are presented. Finally, we suggest how future GxE studies may unpick the complex interplay between genes and environments in psychiatric disorders.","author":[{"dropping-particle":"","family":"Assary","given":"Elham","non-dropping-particle":"","parse-names":false,"suffix":""},{"dropping-particle":"","family":"Vincent","given":"John Paul","non-dropping-particle":"","parse-names":false,"suffix":""},{"dropping-particle":"","family":"Keers","given":"Robert","non-dropping-particle":"","parse-names":false,"suffix":""},{"dropping-particle":"","family":"Pluess","given":"Michael","non-dropping-particle":"","parse-names":false,"suffix":""}],"container-title":"Seminars in Cell &amp; Developmental Biology","id":"ITEM-1","issued":{"date-parts":[["2018","5","1"]]},"page":"133-143","publisher":"Academic Press","title":"Gene-environment interaction and psychiatric disorders: Review and future directions","type":"article-journal","volume":"77"},"uris":["http://www.mendeley.com/documents/?uuid=e45ae36c-3e47-3d77-bd37-a764ece96990"]},{"id":"ITEM-2","itemData":{"DOI":"10.1016/j.biopsych.2017.09.009","ISSN":"1873-2402","PMID":"29129318","abstract":"BACKGROUND The heterogeneity of genetic effects on major depressive disorder (MDD) may be partly attributable to moderation of genetic effects by environment, such as exposure to childhood trauma (CT). Indeed, previous findings in two independent cohorts showed evidence for interaction between polygenic risk scores (PRSs) and CT, albeit in opposing directions. This study aims to meta-analyze MDD-PRS × CT interaction results across these two and other cohorts, while applying more accurate PRSs based on a larger discovery sample. METHODS Data were combined from 3024 MDD cases and 2741 control subjects from nine cohorts contributing to the MDD Working Group of the Psychiatric Genomics Consortium. MDD-PRS were based on a discovery sample of </w:instrText>
      </w:r>
      <w:r w:rsidR="0020002B" w:rsidRPr="00E60CDA">
        <w:rPr>
          <w:rFonts w:ascii="Cambria Math" w:hAnsi="Cambria Math" w:cs="Cambria Math"/>
          <w:bCs/>
          <w:sz w:val="24"/>
          <w:szCs w:val="24"/>
          <w:lang w:val="en-US"/>
        </w:rPr>
        <w:instrText>∼</w:instrText>
      </w:r>
      <w:r w:rsidR="0020002B" w:rsidRPr="00E60CDA">
        <w:rPr>
          <w:rFonts w:asciiTheme="majorHAnsi" w:hAnsiTheme="majorHAnsi" w:cstheme="majorHAnsi"/>
          <w:bCs/>
          <w:sz w:val="24"/>
          <w:szCs w:val="24"/>
          <w:lang w:val="en-US"/>
        </w:rPr>
        <w:instrText>110,000 independent individuals. CT was assessed as exposure to sexual or physical abuse during childhood. In a subset of 1957 cases and 2002 control subjects, a more detailed five-domain measure additionally included emotional abuse, physical neglect, and emotional neglect. RESULTS MDD was associated with the MDD-PRS (odds ratio [OR] = 1.24, p = 3.6 × 10-5, R2 = 1.18%) and with CT (OR = 2.63, p = 3.5 × 10-18 and OR = 2.62, p = 1.4 ×10-5 for the two- and five-domain measures, respectively). No interaction was found between MDD-PRS and the two-domain and five-domain CT measure (OR = 1.00, p = .89 and OR = 1.05, p = .66). CONCLUSIONS No meta-analytic evidence for interaction between MDD-PRS and CT was found. This suggests that the previously reported interaction effects, although both statistically significant, can best be interpreted as chance findings. Further research is required, but this study suggests that the genetic heterogeneity of MDD is not attributable to genome-wide moderation of genetic effects by CT.","author":[{"dropping-particle":"","family":"Peyrot","given":"Wouter J","non-dropping-particle":"","parse-names":false,"suffix":""},{"dropping-particle":"","family":"Auwera","given":"Sandra","non-dropping-particle":"Van der","parse-names":false,"suffix":""},{"dropping-particle":"","family":"Milaneschi","given":"Yuri","non-dropping-particle":"","parse-names":false,"suffix":""},{"dropping-particle":"V","family":"Dolan","given":"Conor","non-dropping-particle":"","parse-names":false,"suffix":""},{"dropping-particle":"","family":"Madden","given":"Pamela A F","non-dropping-particle":"","parse-names":false,"suffix":""},{"dropping-particle":"","family":"Sullivan","given":"Patrick F","non-dropping-particle":"","parse-names":false,"suffix":""},{"dropping-particle":"","family":"Strohmaier","given":"Jana","non-dropping-particle":"","parse-names":false,"suffix":""},{"dropping-particle":"","family":"Ripke","given":"Stephan","non-dropping-particle":"","parse-names":false,"suffix":""},{"dropping-particle":"","family":"Rietschel","given":"Marcella","non-dropping-particle":"","parse-names":false,"suffix":""},{"dropping-particle":"","family":"Nivard","given":"Michel G","non-dropping-particle":"","parse-names":false,"suffix":""},{"dropping-particle":"","family":"Mullins","given":"Niamh","non-dropping-particle":"","parse-names":false,"suffix":""},{"dropping-particle":"","family":"Montgomery","given":"Grant W","non-dropping-particle":"","parse-names":false,"suffix":""},{"dropping-particle":"","family":"Henders","given":"Anjali K","non-dropping-particle":"","parse-names":false,"suffix":""},{"dropping-particle":"","family":"Heat","given":"Andrew C","non-dropping-particle":"","parse-names":false,"suffix":""},{"dropping-particle":"","family":"Fisher","given":"Helen L","non-dropping-particle":"","parse-names":false,"suffix":""},{"dropping-particle":"","family":"Dunn","given":"Erin C","non-dropping-particle":"","parse-names":false,"suffix":""},{"dropping-particle":"","family":"Byrne","given":"Enda M","non-dropping-particle":"","parse-names":false,"suffix":""},{"dropping-particle":"","family":"Air","given":"Tracy A","non-dropping-particle":"","parse-names":false,"suffix":""},{"dropping-particle":"","family":"Major Depressive Disorder Working Group of the Psychiatric Genomics Consortium","given":"Naomi R.","non-dropping-particle":"","parse-names":false,"suffix":""},{"dropping-particle":"","family":"Baune","given":"Bernhard T","non-dropping-particle":"","parse-names":false,"suffix":""},{"dropping-particle":"","family":"Breen","given":"Gerome","non-dropping-particle":"","parse-names":false,"suffix":""},{"dropping-particle":"","family":"Levinson","given":"Douglas F","non-dropping-particle":"","parse-names":false,"suffix":""},{"dropping-particle":"","family":"Lewis","given":"Cathryn M","non-dropping-particle":"","parse-names":false,"suffix":""},{"dropping-particle":"","family":"Martin","given":"Nick G","non-dropping-particle":"","parse-names":false,"suffix":""},{"dropping-particle":"","family":"Nelson","given":"Elliot N","non-dropping-particle":"","parse-names":false,"suffix":""},{"dropping-particle":"","family":"Boomsma","given":"Dorret I","non-dropping-particle":"","parse-names":false,"suffix":""},{"dropping-particle":"","family":"Grabe","given":"Hans J","non-dropping-particle":"","parse-names":false,"suffix":""},{"dropping-particle":"","family":"Wray","given":"Naomi R","non-dropping-particle":"","parse-names":false,"suffix":""},{"dropping-particle":"","family":"Penninx","given":"Brenda W J H","non-dropping-particle":"","parse-names":false,"suffix":""},{"dropping-particle":"","family":"Bækvad-Hansen","given":"Marie","non-dropping-particle":"","parse-names":false,"suffix":""},{"dropping-particle":"","family":"Beekman","given":"Aartjan T.F.","non-dropping-particle":"","parse-names":false,"suffix":""},{"dropping-particle":"","family":"Bigdeli","given":"Tim B.","non-dropping-particle":"","parse-names":false,"suffix":""},{"dropping-particle":"","family":"Binder","given":"Elisabeth B.","non-dropping-particle":"","parse-names":false,"suffix":""},{"dropping-particle":"","family":"Blackwood","given":"Douglas H.R.","non-dropping-particle":"","parse-names":false,"suffix":""},{"dropping-particle":"","family":"Bryois","given":"Julien","non-dropping-particle":"","parse-names":false,"suffix":""},{"dropping-particle":"","family":"Buttenschøn","given":"Henriette N.","non-dropping-particle":"","parse-names":false,"suffix":""},{"dropping-particle":"","family":"Bybjerg-Grauholm","given":"Jonas","non-dropping-particle":"","parse-names":false,"suffix":""},{"dropping-particle":"","family":"Cai","given":"Na","non-dropping-particle":"","parse-names":false,"suffix":""},{"dropping-particle":"","family":"Castelao","given":"Enrique","non-dropping-particle":"","parse-names":false,"suffix":""},{"dropping-particle":"","family":"Christensen","given":"Jane Hvarregaard","non-dropping-particle":"","parse-names":false,"suffix":""},{"dropping-particle":"","family":"Clarke","given":"Toni-Kim","non-dropping-particle":"","parse-names":false,"suffix":""},{"dropping-particle":"","family":"Coleman","given":"Jonathan R.I.","non-dropping-particle":"","parse-names":false,"suffix":""},{"dropping-particle":"","family":"Colodro-Conde","given":"Lucía","non-dropping-particle":"","parse-names":false,"suffix":""},{"dropping-particle":"","family":"Couvy-Duchesne","given":"Baptiste","non-dropping-particle":"","parse-names":false,"suffix":""},{"dropping-particle":"","family":"Craddock","given":"Nick","non-dropping-particle":"","parse-names":false,"suffix":""},{"dropping-particle":"","family":"Crawford","given":"Gregory E.","non-dropping-particle":"","parse-names":false,"suffix":""},{"dropping-particle":"","family":"Davies","given":"Gail","non-dropping-particle":"","parse-names":false,"suffix":""},{"dropping-particle":"","family":"Deary","given":"Ian J.","non-dropping-particle":"","parse-names":false,"suffix":""},{"dropping-particle":"","family":"Degenhardt","given":"Franziska","non-dropping-particle":"","parse-names":false,"suffix":""},{"dropping-particle":"","family":"Derks","given":"Eske M.","non-dropping-particle":"","parse-names":false,"suffix":""},{"dropping-particle":"","family":"Direk","given":"Nese","non-dropping-particle":"","parse-names":false,"suffix":""},{"dropping-particle":"V.","family":"Dolan","given":"Conor","non-dropping-particle":"","parse-names":false,"suffix":""},{"dropping-particle":"","family":"Dunn","given":"Erin C.","non-dropping-particle":"","parse-names":false,"suffix":""},{"dropping-particle":"","family":"Eley","given":"Thalia C.","non-dropping-particle":"","parse-names":false,"suffix":""},{"dropping-particle":"","family":"Escott-Price","given":"Valentina","non-dropping-particle":"","parse-names":false,"suffix":""},{"dropping-particle":"","family":"Farnush","given":"","non-dropping-particle":"","parse-names":false,"suffix":""},{"dropping-particle":"","family":"Kiadeh","given":"Farhadi Hassan","non-dropping-particle":"","parse-names":false,"suffix":""},{"dropping-particle":"","family":"Finucane","given":"Hilary K.","non-dropping-particle":"","parse-names":false,"suffix":""},{"dropping-particle":"","family":"Forstner","given":"Andreas J.","non-dropping-particle":"","parse-names":false,"suffix":""},{"dropping-particle":"","family":"Frank","given":"Josef","non-dropping-particle":"","parse-names":false,"suffix":""},{"dropping-particle":"","family":"Gaspar","given":"Héléna A.","non-dropping-particle":"","parse-names":false,"suffix":""},{"dropping-particle":"","family":"Gill","given":"Michael","non-dropping-particle":"","parse-names":false,"suffix":""},{"dropping-particle":"","family":"Goes","given":"Fernando S.","non-dropping-particle":"","parse-names":false,"suffix":""},{"dropping-particle":"","family":"Gordon","given":"Scott D.","non-dropping-particle":"","parse-names":false,"suffix":""},{"dropping-particle":"","family":"Grove","given":"Jakob","non-dropping-particle":"","parse-names":false,"suffix":""},{"dropping-particle":"","family":"Hall","given":"Lynsey S.","non-dropping-particle":"","parse-names":false,"suffix":""},{"dropping-particle":"","family":"Hansen","given":"Christine Søholm","non-dropping-particle":"","parse-names":false,"suffix":""},{"dropping-particle":"","family":"Hansen","given":"Thomas F.","non-dropping-particle":"","parse-names":false,"suffix":""},{"dropping-particle":"","family":"Herms","given":"Stefan","non-dropping-particle":"","parse-names":false,"suffix":""},{"dropping-particle":"","family":"Hicki","given":"Ian B.","non-dropping-particle":"","parse-names":false,"suffix":""},{"dropping-particle":"","family":"Hoffmann","given":"Per","non-dropping-particle":"","parse-names":false,"suffix":""},{"dropping-particle":"","family":"Homuth","given":"Georg","non-dropping-particle":"","parse-names":false,"suffix":""},{"dropping-particle":"","family":"Horn","given":"Carsten","non-dropping-particle":"","parse-names":false,"suffix":""},{"dropping-particle":"","family":"Hottenga","given":"Jouke-Jan","non-dropping-particle":"","parse-names":false,"suffix":""},{"dropping-particle":"","family":"Hougaard","given":"David M.","non-dropping-particle":"","parse-names":false,"suffix":""},{"dropping-particle":"","family":"Ising","given":"Marcus","non-dropping-particle":"","parse-names":false,"suffix":""},{"dropping-particle":"","family":"Jansen","given":"Rick","non-dropping-particle":"","parse-names":false,"suffix":""},{"dropping-particle":"","family":"Jorgenson","given":"Eric","non-dropping-particle":"","parse-names":false,"suffix":""},{"dropping-particle":"","family":"Knowles","given":"James A.","non-dropping-particle":"","parse-names":false,"suffix":""},{"dropping-particle":"","family":"Kohane","given":"Isaac S.","non-dropping-particle":"","parse-names":false,"suffix":""},{"dropping-particle":"","family":"Kraft","given":"Julia","non-dropping-particle":"","parse-names":false,"suffix":""},{"dropping-particle":"","family":"Kretzschmar","given":"Warren W.","non-dropping-particle":"","parse-names":false,"suffix":""},{"dropping-particle":"","family":"Krogh","given":"Jesper","non-dropping-particle":"","parse-names":false,"suffix":""},{"dropping-particle":"","family":"Kutalik","given":"Zoltán","non-dropping-particle":"","parse-names":false,"suffix":""},{"dropping-particle":"","family":"Li","given":"Yihan","non-dropping-particle":"","parse-names":false,"suffix":""},{"dropping-particle":"","family":"Lind","given":"Penelope A.","non-dropping-particle":"","parse-names":false,"suffix":""},{"dropping-particle":"","family":"MacIntyre","given":"Donald J.","non-dropping-particle":"","parse-names":false,"suffix":""},{"dropping-particle":"","family":"MacKinnon","given":"Dean F.","non-dropping-particle":"","parse-names":false,"suffix":""},{"dropping-particle":"","family":"Maier","given":"Robert M.","non-dropping-particle":"","parse-names":false,"suffix":""},{"dropping-particle":"","family":"Maier","given":"Wolfgang","non-dropping-particle":"","parse-names":false,"suffix":""},{"dropping-particle":"","family":"Marchini","given":"Jonathan","non-dropping-particle":"","parse-names":false,"suffix":""},{"dropping-particle":"","family":"Mbarek","given":"Hamdi","non-dropping-particle":"","parse-names":false,"suffix":""},{"dropping-particle":"","family":"McGrath","given":"Patrick","non-dropping-particle":"","parse-names":false,"suffix":""},{"dropping-particle":"","family":"McGuffin","given":"Peter","non-dropping-particle":"","parse-names":false,"suffix":""},{"dropping-particle":"","family":"Medland","given":"Sarah E.","non-dropping-particle":"","parse-names":false,"suffix":""},{"dropping-particle":"","family":"Mehta","given":"Divya","non-dropping-particle":"","parse-names":false,"suffix":""},{"dropping-particle":"","family":"Middeldorp","given":"Christel M.","non-dropping-particle":"","parse-names":false,"suffix":""},{"dropping-particle":"","family":"Mihailov","given":"Evelin","non-dropping-particle":"","parse-names":false,"suffix":""},{"dropping-particle":"","family":"Milaneschi","given":"Yuri","non-dropping-particle":"","parse-names":false,"suffix":""},{"dropping-particle":"","family":"Milani","given":"Lili","non-dropping-particle":"","parse-names":false,"suffix":""},{"dropping-particle":"","family":"Mondimore","given":"Francis M.","non-dropping-particle":"","parse-names":false,"suffix":""},{"dropping-particle":"","family":"Montgomery","given":"Grant W.","non-dropping-particle":"","parse-names":false,"suffix":""},{"dropping-particle":"","family":"Mostafavi","given":"Sara","non-dropping-particle":"","parse-names":false,"suffix":""},{"dropping-particle":"","family":"Mullins","given":"Niamh","non-dropping-particle":"","parse-names":false,"suffix":""},{"dropping-particle":"","family":"Nauck","given":"Matthias","non-dropping-particle":"","parse-names":false,"suffix":""},{"dropping-particle":"","family":"Ng","given":"Bernard","non-dropping-particle":"","parse-names":false,"suffix":""},{"dropping-particle":"","family":"Nivard","given":"Michel G.","non-dropping-particle":"","parse-names":false,"suffix":""},{"dropping-particle":"","family":"Nyholt","given":"Dale R.","non-dropping-particle":"","parse-names":false,"suffix":""},{"dropping-particle":"","family":"O’Reilly","given":"Paul F.","non-dropping-particle":"","parse-names":false,"suffix":""},{"dropping-particle":"","family":"Oskarsson","given":"Hogni","non-dropping-particle":"","parse-names":false,"suffix":""},{"dropping-particle":"","family":"Owen","given":"Michael J.","non-dropping-particle":"","parse-names":false,"suffix":""},{"dropping-particle":"","family":"Painter","given":"Jodie N.","non-dropping-particle":"","parse-names":false,"suffix":""},{"dropping-particle":"","family":"Pedersen","given":"Carsten Bøcker","non-dropping-particle":"","parse-names":false,"suffix":""},{"dropping-particle":"","family":"Pedersen","given":"Marianne Giørtz","non-dropping-particle":"","parse-names":false,"suffix":""},{"dropping-particle":"","family":"Peterson","given":"Roseann E.","non-dropping-particle":"","parse-names":false,"suffix":""},{"dropping-particle":"","family":"Pettersson","given":"Erik","non-dropping-particle":"","parse-names":false,"suffix":""},{"dropping-particle":"","family":"Peyrot","given":"Wouter J.","non-dropping-particle":"","parse-names":false,"suffix":""},{"dropping-particle":"","family":"Pistis","given":"Giorgio","non-dropping-particle":"","parse-names":false,"suffix":""},{"dropping-particle":"","family":"Posthuma","given":"Danielle","non-dropping-particle":"","parse-names":false,"suffix":""},{"dropping-particle":"","family":"Quiroz","given":"Jorge A.","non-dropping-particle":"","parse-names":false,"suffix":""},{"dropping-particle":"","family":"Qvist","given":"Per","non-dropping-particle":"","parse-names":false,"suffix":""},{"dropping-particle":"","family":"Rice","given":"John P.","non-dropping-particle":"","parse-names":false,"suffix":""},{"dropping-particle":"","family":"Riley","given":"Brien P.","non-dropping-particle":"","parse-names":false,"suffix":""},{"dropping-particle":"","family":"Rivera","given":"Margarita","non-dropping-particle":"","parse-names":false,"suffix":""},{"dropping-particle":"","family":"Mirza","given":"Saira Saeed","non-dropping-particle":"","parse-names":false,"suffix":""},{"dropping-particle":"","family":"Schoevers","given":"Robert","non-dropping-particle":"","parse-names":false,"suffix":""},{"dropping-particle":"","family":"Schulte","given":"Eva C.","non-dropping-particle":"","parse-names":false,"suffix":""},{"dropping-particle":"","family":"Shen","given":"Ling","non-dropping-particle":"","parse-names":false,"suffix":""},{"dropping-particle":"","family":"Shi","given":"Jianxin","non-dropping-particle":"","parse-names":false,"suffix":""},{"dropping-particle":"","family":"Shyn","given":"Stanley I.","non-dropping-particle":"","parse-names":false,"suffix":""},{"dropping-particle":"","family":"Sigurdsson","given":"Engilbert","non-dropping-particle":"","parse-names":false,"suffix":""},{"dropping-particle":"","family":"Sinnamon","given":"Grant C.B.","non-dropping-particle":"","parse-names":false,"suffix":""},{"dropping-particle":"","family":"Smit","given":"Johannes H.","non-dropping-particle":"","parse-names":false,"suffix":""},{"dropping-particle":"","family":"Smith","given":"Daniel J.","non-dropping-particle":"","parse-names":false,"suffix":""},{"dropping-particle":"","family":"Stefansson","given":"Hreinn","non-dropping-particle":"","parse-names":false,"suffix":""},{"dropping-particle":"","family":"Steinberg","given":"Stacy","non-dropping-particle":"","parse-names":false,"suffix":""},{"dropping-particle":"","family":"Streit","given":"Fabian","non-dropping-particle":"","parse-names":false,"suffix":""},{"dropping-particle":"","family":"Strohmaier","given":"Jana","non-dropping-particle":"","parse-names":false,"suffix":""},{"dropping-particle":"","family":"Tansey","given":"Katherine E.","non-dropping-particle":"","parse-names":false,"suffix":""},{"dropping-particle":"","family":"Teismann","given":"Henning","non-dropping-particle":"","parse-names":false,"suffix":""},{"dropping-particle":"","family":"Teumer","given":"Alexander","non-dropping-particle":"","parse-names":false,"suffix":""},{"dropping-particle":"","family":"Thompson","given":"Wesley","non-dropping-particle":"","parse-names":false,"suffix":""},{"dropping-particle":"","family":"Thomson","given":"Pippa A.","non-dropping-particle":"","parse-names":false,"suffix":""},{"dropping-particle":"","family":"Thorgeirsson","given":"Thorgeir E.","non-dropping-particle":"","parse-names":false,"suffix":""},{"dropping-particle":"","family":"Traylor","given":"Matthew","non-dropping-particle":"","parse-names":false,"suffix":""},{"dropping-particle":"","family":"Treutlein","given":"Jens","non-dropping-particle":"","parse-names":false,"suffix":""},{"dropping-particle":"","family":"Trubetskoy","given":"Vassily","non-dropping-particle":"","parse-names":false,"suffix":""},{"dropping-particle":"","family":"Uitterlinden","given":"André G.","non-dropping-particle":"","parse-names":false,"suffix":""},{"dropping-particle":"","family":"Umbricht","given":"Daniel","non-dropping-particle":"","parse-names":false,"suffix":""},{"dropping-particle":"Van der","family":"Auwera","given":"Sandra","non-dropping-particle":"","parse-names":false,"suffix":""},{"dropping-particle":"van","family":"Hemert","given":"Albert M.","non-dropping-particle":"","parse-names":false,"suffix":""},{"dropping-particle":"","family":"Viktorin","given":"Alexander","non-dropping-particle":"","parse-names":false,"suffix":""},{"dropping-particle":"","family":"Visscher","given":"Peter M.","non-dropping-particle":"","parse-names":false,"suffix":""},{"dropping-particle":"","family":"Wang","given":"Yunpeng","non-dropping-particle":"","parse-names":false,"suffix":""},{"dropping-particle":"","family":"Webb","given":"Bradley T.","non-dropping-particle":"","parse-names":false,"suffix":""},{"dropping-particle":"","family":"Weinsheimer","given":"Shantel Marie","non-dropping-particle":"","parse-names":false,"suffix":""},{"dropping-particle":"","family":"Wellmann","given":"Jürgen","non-dropping-particle":"","parse-names":false,"suffix":""},{"dropping-particle":"","family":"Willemsen","given":"Gonneke","non-dropping-particle":"","parse-names":false,"suffix":""},{"dropping-particle":"","family":"Witt","given":"Stephanie H.","non-dropping-particle":"","parse-names":false,"suffix":""},{"dropping-particle":"","family":"Wu","given":"Yang","non-dropping-particle":"","parse-names":false,"suffix":""},{"dropping-particle":"","family":"Xi","given":"Hualin S.","non-dropping-particle":"","parse-names":false,"suffix":""},{"dropping-particle":"","family":"Yang","given":"Jian","non-dropping-particle":"","parse-names":false,"suffix":""},{"dropping-particle":"","family":"Zhang","given":"Futao","non-dropping-particle":"","parse-names":false,"suffix":""},{"dropping-particle":"","family":"Arolt","given":"Volker","non-dropping-particle":"","parse-names":false,"suffix":""},{"dropping-particle":"","family":"Baune","given":"Bernhard T.","non-dropping-particle":"","parse-names":false,"suffix":""},{"dropping-particle":"","family":"Berger","given":"Klaus","non-dropping-particle":"","parse-names":false,"suffix":""},{"dropping-particle":"","family":"Boomsma","given":"Dorret I.","non-dropping-particle":"","parse-names":false,"suffix":""},{"dropping-particle":"","family":"Cichon","given":"Sven","non-dropping-particle":"","parse-names":false,"suffix":""},{"dropping-particle":"","family":"Dannlowski","given":"Udo","non-dropping-particle":"","parse-names":false,"suffix":""},{"dropping-particle":"de","family":"Geus","given":"E.J.C.","non-dropping-particle":"","parse-names":false,"suffix":""},{"dropping-particle":"","family":"DePaulo","given":"J. Raymond","non-dropping-particle":"","parse-names":false,"suffix":""},{"dropping-particle":"","family":"Domenici","given":"Enrico","non-dropping-particle":"","parse-names":false,"suffix":""},{"dropping-particle":"","family":"Domschke","given":"Katharina","non-dropping-particle":"","parse-names":false,"suffix":""},{"dropping-particle":"","family":"Esko","given":"Tõnu","non-dropping-particle":"","parse-names":false,"suffix":""},{"dropping-particle":"","family":"Grabe","given":"Hans J.","non-dropping-particle":"","parse-names":false,"suffix":""},{"dropping-particle":"","family":"Hamilton","given":"Steven P.","non-dropping-particle":"","parse-names":false,"suffix":""},{"dropping-particle":"","family":"Hayward","given":"Caroline","non-dropping-particle":"","parse-names":false,"suffix":""},{"dropping-particle":"","family":"Heath","given":"Andrew C.","non-dropping-particle":"","parse-names":false,"suffix":""},{"dropping-particle":"","family":"Kendler","given":"Kenneth S.","non-dropping-particle":"","parse-names":false,"suffix":""},{"dropping-particle":"","family":"Kloiber","given":"Stefan","non-dropping-particle":"","parse-names":false,"suffix":""},{"dropping-particle":"","family":"Lewis","given":"Glyn","non-dropping-particle":"","parse-names":false,"suffix":""},{"dropping-particle":"","family":"Li","given":"Qingqin S.","non-dropping-particle":"","parse-names":false,"suffix":""},{"dropping-particle":"","family":"Lucae","given":"Susanne","non-dropping-particle":"","parse-names":false,"suffix":""},{"dropping-particle":"","family":"Madden","given":"Pamela A.F.","non-dropping-particle":"","parse-names":false,"suffix":""},{"dropping-particle":"","family":"Magnusson","given":"Patrik K.","non-dropping-particle":"","parse-names":false,"suffix":""},{"dropping-particle":"","family":"Martin","given":"Nicholas G.","non-dropping-particle":"","parse-names":false,"suffix":""},{"dropping-particle":"","family":"McIntosh","given":"Andrew M.","non-dropping-particle":"","parse-names":false,"suffix":""},{"dropping-particle":"","family":"Metspalu","given":"Andres","non-dropping-particle":"","parse-names":false,"suffix":""},{"dropping-particle":"","family":"Mors","given":"Ole","non-dropping-particle":"","parse-names":false,"suffix":""},{"dropping-particle":"","family":"Mortensen","given":"Preben Bo","non-dropping-particle":"","parse-names":false,"suffix":""},{"dropping-particle":"","family":"Müller-Myhsok","given":"Bertram","non-dropping-particle":"","parse-names":false,"suffix":""},{"dropping-particle":"","family":"Nordentoft","given":"Merete","non-dropping-particle":"","parse-names":false,"suffix":""},{"dropping-particle":"","family":"Nöthen","given":"Markus M.","non-dropping-particle":"","parse-names":false,"suffix":""},{"dropping-particle":"","family":"O'Donovan","given":"Michael C.","non-dropping-particle":"","parse-names":false,"suffix":""},{"dropping-particle":"","family":"Paciga","given":"Sara A.","non-dropping-particle":"","parse-names":false,"suffix":""},{"dropping-particle":"","family":"Pedersen","given":"Nancy L.","non-dropping-particle":"","parse-names":false,"suffix":""},{"dropping-particle":"","family":"Penninx","given":"Brenda W.J.H.","non-dropping-particle":"","parse-names":false,"suffix":""},{"dropping-particle":"","family":"Perlis","given":"Roy H.","non-dropping-particle":"","parse-names":false,"suffix":""},{"dropping-particle":"","family":"Porteous","given":"David J.","non-dropping-particle":"","parse-names":false,"suffix":""},{"dropping-particle":"","family":"Potash","given":"James B.","non-dropping-particle":"","parse-names":false,"suffix":""},{"dropping-particle":"","family":"Preisig","given":"Martin","non-dropping-particle":"","parse-names":false,"suffix":""},{"dropping-particle":"","family":"Rietschel","given":"Marcella","non-dropping-particle":"","parse-names":false,"suffix":""},{"dropping-particle":"","family":"Schaefer","given":"Catherine","non-dropping-particle":"","parse-names":false,"suffix":""},{"dropping-particle":"","family":"Schulze","given":"Thomas G.","non-dropping-particle":"","parse-names":false,"suffix":""},{"dropping-particle":"","family":"Smoller","given":"Jordan W.","non-dropping-particle":"","parse-names":false,"suffix":""},{"dropping-particle":"","family":"Stefansson","given":"Kari","non-dropping-particle":"","parse-names":false,"suffix":""},{"dropping-particle":"","family":"Tiemeier","given":"Henning","non-dropping-particle":"","parse-names":false,"suffix":""},{"dropping-particle":"","family":"Uher","given":"Rudolf","non-dropping-particle":"","parse-names":false,"suffix":""},{"dropping-particle":"","family":"Völzke","given":"Henry","non-dropping-particle":"","parse-names":false,"suffix":""},{"dropping-particle":"","family":"Weissman","given":"Myrna M.","non-dropping-particle":"","parse-names":false,"suffix":""},{"dropping-particle":"","family":"Werge","given":"Thomas","non-dropping-particle":"","parse-names":false,"suffix":""},{"dropping-particle":"","family":"Lewis","given":"Cathryn M.","non-dropping-particle":"","parse-names":false,"suffix":""},{"dropping-particle":"","family":"Levinson","given":"Douglas F.","non-dropping-particle":"","parse-names":false,"suffix":""},{"dropping-particle":"","family":"Breen","given":"Gerome","non-dropping-particle":"","parse-names":false,"suffix":""},{"dropping-particle":"","family":"Børglum","given":"Anders D.","non-dropping-particle":"","parse-names":false,"suffix":""},{"dropping-particle":"","family":"Sullivan","given":"Patrick F.","non-dropping-particle":"","parse-names":false,"suffix":""},{"dropping-particle":"","family":"Baune","given":"Bernhard T.","non-dropping-particle":"","parse-names":false,"suffix":""},{"dropping-particle":"","family":"Breen","given":"Gerome","non-dropping-particle":"","parse-names":false,"suffix":""},{"dropping-particle":"","family":"Levinson","given":"Douglas F.","non-dropping-particle":"","parse-names":false,"suffix":""},{"dropping-particle":"","family":"Lewis","given":"Cathryn M.","non-dropping-particle":"","parse-names":false,"suffix":""},{"dropping-particle":"","family":"Martin","given":"Nick G.","non-dropping-particle":"","parse-names":false,"suffix":""},{"dropping-particle":"","family":"Nelson","given":"Elliot N.","non-dropping-particle":"","parse-names":false,"suffix":""},{"dropping-particle":"","family":"Boomsma","given":"Dorret I.","non-dropping-particle":"","parse-names":false,"suffix":""},{"dropping-particle":"","family":"Grabe","given":"Hans J.","non-dropping-particle":"","parse-names":false,"suffix":""},{"dropping-particle":"","family":"Wray","given":"Naomi R.","non-dropping-particle":"","parse-names":false,"suffix":""},{"dropping-particle":"","family":"Penninx","given":"Brenda W.J.H.","non-dropping-particle":"","parse-names":false,"suffix":""}],"container-title":"Biological psychiatry","id":"ITEM-2","issue":"2","issued":{"date-parts":[["2018","7","15"]]},"page":"138-147","publisher":"Elsevier","title":"Does Childhood Trauma Moderate Polygenic Risk for Depression? A Meta-analysis of 5765 Subjects From the Psychiatric Genomics Consortium.","type":"article-journal","volume":"84"},"uris":["http://www.mendeley.com/documents/?uuid=5c1a8e1e-f985-309f-a988-b732976701f3"]},{"id":"ITEM-3","itemData":{"DOI":"10.1016/J.BIOPSYCH.2013.09.006","ISSN":"0006-3223","abstract":"Candidate gene × environment (G × E) interaction research tests the hypothesis that the effects of some environmental variable (e.g., childhood maltreatment) on some outcome measure (e.g., depression) depend on a particular genetic polymorphism. Because this research is inherently nonexperimental, investigators have been rightly concerned that detected interactions could be driven by confounders (e.g., ethnicity, gender, age, socioeconomic status) rather than by the specified genetic or environmental variables per se. In an attempt to eliminate such alternative explanations for detected G × E interactions, investigators routinely enter the potential confounders as covariates in general linear models. However, this practice does not control for the effects these variables might have on the G × E interaction. Rather, to properly control for confounders, researchers need to enter the covariate × environment and the covariate × gene interaction terms in the same model that tests the G × E term. In this manuscript, I demonstrate this point analytically and show that the practice of improperly controlling for covariates is the norm in the G × E interaction literature to date. Thus, many alternative explanations for G × E findings that investigators had thought were eliminated have not been.","author":[{"dropping-particle":"","family":"Keller","given":"Matthew C.","non-dropping-particle":"","parse-names":false,"suffix":""}],"container-title":"Biological Psychiatry","id":"ITEM-3","issue":"1","issued":{"date-parts":[["2014","1","1"]]},"page":"18-24","publisher":"Elsevier","title":"Gene × Environment Interaction Studies Have Not Properly Controlled for Potential Confounders: The Problem and the (Simple) Solution","type":"article-journal","volume":"75"},"uris":["http://www.mendeley.com/documents/?uuid=3585cfd6-e3c3-3c4d-8fef-e4af95f66216"]}],"mendeley":{"formattedCitation":"(Assary, Vincent, Keers, &amp; Pluess, 2018; Keller, 2014; Peyrot et al., 2018)","plainTextFormattedCitation":"(Assary, Vincent, Keers, &amp; Pluess, 2018; Keller, 2014; Peyrot et al., 2018)","previouslyFormattedCitation":"(Assary, Vincent, Keers, &amp; Pluess, 2018; Keller, 2014; Peyrot et al., 2018)"},"properties":{"noteIndex":0},"schema":"https://github.com/citation-style-language/schema/raw/master/csl-citation.json"}</w:instrText>
      </w:r>
      <w:r w:rsidR="0020002B" w:rsidRPr="00E60CDA">
        <w:rPr>
          <w:rFonts w:asciiTheme="majorHAnsi" w:hAnsiTheme="majorHAnsi" w:cstheme="majorHAnsi"/>
          <w:bCs/>
          <w:sz w:val="24"/>
          <w:szCs w:val="24"/>
          <w:lang w:val="en-US"/>
        </w:rPr>
        <w:fldChar w:fldCharType="separate"/>
      </w:r>
      <w:r w:rsidR="0020002B" w:rsidRPr="00E60CDA">
        <w:rPr>
          <w:rFonts w:asciiTheme="majorHAnsi" w:hAnsiTheme="majorHAnsi" w:cstheme="majorHAnsi"/>
          <w:bCs/>
          <w:noProof/>
          <w:sz w:val="24"/>
          <w:szCs w:val="24"/>
          <w:lang w:val="en-US"/>
        </w:rPr>
        <w:t>(Assary, Vincent, Keers, &amp; Pluess, 2018; Keller, 2014; Peyrot et al., 2018)</w:t>
      </w:r>
      <w:r w:rsidR="0020002B" w:rsidRPr="00E60CDA">
        <w:rPr>
          <w:rFonts w:asciiTheme="majorHAnsi" w:hAnsiTheme="majorHAnsi" w:cstheme="majorHAnsi"/>
          <w:bCs/>
          <w:sz w:val="24"/>
          <w:szCs w:val="24"/>
          <w:lang w:val="en-US"/>
        </w:rPr>
        <w:fldChar w:fldCharType="end"/>
      </w:r>
      <w:r w:rsidR="0020002B" w:rsidRPr="00E60CDA">
        <w:rPr>
          <w:rFonts w:asciiTheme="majorHAnsi" w:hAnsiTheme="majorHAnsi" w:cstheme="majorHAnsi"/>
          <w:bCs/>
          <w:sz w:val="24"/>
          <w:szCs w:val="24"/>
          <w:lang w:val="en-US"/>
        </w:rPr>
        <w:t>, highlight that finding empirical evidence for this hypothesis is difficult, and we need to critically think how we can methodolo</w:t>
      </w:r>
      <w:r w:rsidR="0020002B">
        <w:rPr>
          <w:rFonts w:asciiTheme="majorHAnsi" w:hAnsiTheme="majorHAnsi" w:cstheme="majorHAnsi"/>
          <w:bCs/>
          <w:sz w:val="24"/>
          <w:szCs w:val="24"/>
          <w:lang w:val="en-US"/>
        </w:rPr>
        <w:t xml:space="preserve">gically capture this complexity. </w:t>
      </w:r>
      <w:r w:rsidR="0020002B" w:rsidRPr="00E60CDA">
        <w:rPr>
          <w:rFonts w:asciiTheme="majorHAnsi" w:hAnsiTheme="majorHAnsi" w:cstheme="majorHAnsi"/>
          <w:bCs/>
          <w:sz w:val="24"/>
          <w:szCs w:val="24"/>
          <w:lang w:val="en-US"/>
        </w:rPr>
        <w:t xml:space="preserve">Second, a non-significant finding does not necessarily equal evidence for the non-existence of an effect, and replication of our study is recommended </w:t>
      </w:r>
      <w:r w:rsidR="0020002B" w:rsidRPr="00E60CDA">
        <w:rPr>
          <w:rFonts w:asciiTheme="majorHAnsi" w:hAnsiTheme="majorHAnsi" w:cstheme="majorHAnsi"/>
          <w:bCs/>
          <w:sz w:val="24"/>
          <w:szCs w:val="24"/>
          <w:lang w:val="en-US"/>
        </w:rPr>
        <w:fldChar w:fldCharType="begin" w:fldLock="1"/>
      </w:r>
      <w:r w:rsidR="0020002B" w:rsidRPr="00E60CDA">
        <w:rPr>
          <w:rFonts w:asciiTheme="majorHAnsi" w:hAnsiTheme="majorHAnsi" w:cstheme="majorHAnsi"/>
          <w:bCs/>
          <w:sz w:val="24"/>
          <w:szCs w:val="24"/>
          <w:lang w:val="en-US"/>
        </w:rPr>
        <w:instrText>ADDIN CSL_CITATION {"citationItems":[{"id":"ITEM-1","itemData":{"DOI":"10.1146/annurev-psych-122216-011845","ISSN":"0066-4308","abstract":"Psychology advances knowledge by testing statistical hypotheses using empirical observations and data. The expectation is that most statistically significant findings can be replicated in new data ...","author":[{"dropping-particle":"","family":"Shrout","given":"Patrick E.","non-dropping-particle":"","parse-names":false,"suffix":""},{"dropping-particle":"","family":"Rodgers","given":"Joseph L.","non-dropping-particle":"","parse-names":false,"suffix":""}],"container-title":"Annual Review of Psychology","id":"ITEM-1","issue":"1","issued":{"date-parts":[["2018","1","4"]]},"page":"487-510","publisher":" Annual Reviews ","title":"Psychology, Science, and Knowledge Construction: Broadening Perspectives from the Replication Crisis","type":"article-journal","volume":"69"},"uris":["http://www.mendeley.com/documents/?uuid=b31ab643-e964-350f-ad9a-e142d042f499"]}],"mendeley":{"formattedCitation":"(Shrout &amp; Rodgers, 2018)","plainTextFormattedCitation":"(Shrout &amp; Rodgers, 2018)","previouslyFormattedCitation":"(Shrout &amp; Rodgers, 2018)"},"properties":{"noteIndex":0},"schema":"https://github.com/citation-style-language/schema/raw/master/csl-citation.json"}</w:instrText>
      </w:r>
      <w:r w:rsidR="0020002B" w:rsidRPr="00E60CDA">
        <w:rPr>
          <w:rFonts w:asciiTheme="majorHAnsi" w:hAnsiTheme="majorHAnsi" w:cstheme="majorHAnsi"/>
          <w:bCs/>
          <w:sz w:val="24"/>
          <w:szCs w:val="24"/>
          <w:lang w:val="en-US"/>
        </w:rPr>
        <w:fldChar w:fldCharType="separate"/>
      </w:r>
      <w:r w:rsidR="0020002B" w:rsidRPr="00E60CDA">
        <w:rPr>
          <w:rFonts w:asciiTheme="majorHAnsi" w:hAnsiTheme="majorHAnsi" w:cstheme="majorHAnsi"/>
          <w:bCs/>
          <w:noProof/>
          <w:sz w:val="24"/>
          <w:szCs w:val="24"/>
          <w:lang w:val="en-US"/>
        </w:rPr>
        <w:t>(Shrout &amp; Rodgers, 2018)</w:t>
      </w:r>
      <w:r w:rsidR="0020002B" w:rsidRPr="00E60CDA">
        <w:rPr>
          <w:rFonts w:asciiTheme="majorHAnsi" w:hAnsiTheme="majorHAnsi" w:cstheme="majorHAnsi"/>
          <w:bCs/>
          <w:sz w:val="24"/>
          <w:szCs w:val="24"/>
          <w:lang w:val="en-US"/>
        </w:rPr>
        <w:fldChar w:fldCharType="end"/>
      </w:r>
      <w:r w:rsidR="0020002B" w:rsidRPr="00E60CDA">
        <w:rPr>
          <w:rFonts w:asciiTheme="majorHAnsi" w:hAnsiTheme="majorHAnsi" w:cstheme="majorHAnsi"/>
          <w:bCs/>
          <w:sz w:val="24"/>
          <w:szCs w:val="24"/>
          <w:lang w:val="en-US"/>
        </w:rPr>
        <w:t xml:space="preserve">. A great lesson we have learned from the candidate gene studies is that replication is key, and that publishing significant and non-significant results are necessary to paint a full picture the way in which G x E explain individual differences in the population (Yong, 2019). </w:t>
      </w:r>
      <w:r w:rsidR="0020002B" w:rsidRPr="00E60CDA">
        <w:rPr>
          <w:rFonts w:asciiTheme="majorHAnsi" w:hAnsiTheme="majorHAnsi" w:cstheme="majorHAnsi"/>
          <w:bCs/>
          <w:sz w:val="24"/>
          <w:szCs w:val="24"/>
          <w:lang w:val="en-US"/>
        </w:rPr>
        <w:br/>
        <w:t xml:space="preserve"> </w:t>
      </w:r>
      <w:r w:rsidR="0020002B" w:rsidRPr="00E60CDA">
        <w:rPr>
          <w:rFonts w:asciiTheme="majorHAnsi" w:hAnsiTheme="majorHAnsi" w:cstheme="majorHAnsi"/>
          <w:bCs/>
          <w:sz w:val="24"/>
          <w:szCs w:val="24"/>
          <w:lang w:val="en-US"/>
        </w:rPr>
        <w:tab/>
        <w:t xml:space="preserve">Third, an alternative hypothesis is that we should focus on gene-environment correlation rather than gene-environment interaction, this as life events can be explained by familial factors (Middeldorp, Cath, Vink, &amp; Boomsma, 2005). Gene-environment correlation reflects the correlation between a person’s genotype and the environment he/she grows up in (passive rGE, or a correlation between a person’s genotype and the environment he/she selects or elicits </w:t>
      </w:r>
      <w:r w:rsidR="0020002B" w:rsidRPr="00E60CDA">
        <w:rPr>
          <w:rFonts w:asciiTheme="majorHAnsi" w:hAnsiTheme="majorHAnsi" w:cstheme="majorHAnsi"/>
          <w:bCs/>
          <w:sz w:val="24"/>
          <w:szCs w:val="24"/>
          <w:lang w:val="en-US"/>
        </w:rPr>
        <w:fldChar w:fldCharType="begin" w:fldLock="1"/>
      </w:r>
      <w:r w:rsidR="0020002B" w:rsidRPr="00E60CDA">
        <w:rPr>
          <w:rFonts w:asciiTheme="majorHAnsi" w:hAnsiTheme="majorHAnsi" w:cstheme="majorHAnsi"/>
          <w:bCs/>
          <w:sz w:val="24"/>
          <w:szCs w:val="24"/>
          <w:lang w:val="en-US"/>
        </w:rPr>
        <w:instrText>ADDIN CSL_CITATION {"citationItems":[{"id":"ITEM-1","itemData":{"DOI":"10.1176/ajp.143.3.279","ISSN":"0002-953X","PMID":"3953861","abstract":"The authors present three major models for the joint effect of genes and environment on liability to psychiatric illness: additive effects of genotype and environment, genetic control of sensitivity to the environment, and genetic control of exposure to the environment. Each model is illustrated by several examples, including a quantitative one. The authors attempt to demonstrate that genes and the environment can interact in several interesting and potentially subtle ways, that these interactions can be expressed in simple models from which clear empirical predictions can be generated, and that elucidation of the etiology of psychiatric disorders will require the consideration of both genetic and environmental risk factors.","author":[{"dropping-particle":"","family":"Kendler","given":"K S","non-dropping-particle":"","parse-names":false,"suffix":""},{"dropping-particle":"","family":"Eaves","given":"L J","non-dropping-particle":"","parse-names":false,"suffix":""}],"container-title":"American Journal of Psychiatry","id":"ITEM-1","issue":"3","issued":{"date-parts":[["1986","3"]]},"page":"279-289","title":"Models for the joint effect of genotype and environment on liability to psychiatric illness","type":"article-journal","volume":"143"},"uris":["http://www.mendeley.com/documents/?uuid=5b3faa31-39c0-3bce-8e73-9c77a60f97d5"]},{"id":"ITEM-2","itemData":{"ISSN":"0033-2909","PMID":"557211","author":[{"dropping-particle":"","family":"Plomin","given":"R","non-dropping-particle":"","parse-names":false,"suffix":""},{"dropping-particle":"","family":"DeFries","given":"J C","non-dropping-particle":"","parse-names":false,"suffix":""},{"dropping-particle":"","family":"Loehlin","given":"J C","non-dropping-particle":"","parse-names":false,"suffix":""}],"container-title":"Psychological bulletin","id":"ITEM-2","issue":"2","issued":{"date-parts":[["1977","3"]]},"page":"309-22","title":"Genotype-environment interaction and correlation in the analysis of human behavior.","type":"article-journal","volume":"84"},"uris":["http://www.mendeley.com/documents/?uuid=da28ea81-d1b6-313d-90e7-501034e329f6"]}],"mendeley":{"formattedCitation":"(Kendler &amp; Eaves, 1986; Plomin et al., 1977)","plainTextFormattedCitation":"(Kendler &amp; Eaves, 1986; Plomin et al., 1977)","previouslyFormattedCitation":"(Kendler &amp; Eaves, 1986; Plomin, DeFries, &amp; Loehlin, 1977)"},"properties":{"noteIndex":0},"schema":"https://github.com/citation-style-language/schema/raw/master/csl-citation.json"}</w:instrText>
      </w:r>
      <w:r w:rsidR="0020002B" w:rsidRPr="00E60CDA">
        <w:rPr>
          <w:rFonts w:asciiTheme="majorHAnsi" w:hAnsiTheme="majorHAnsi" w:cstheme="majorHAnsi"/>
          <w:bCs/>
          <w:sz w:val="24"/>
          <w:szCs w:val="24"/>
          <w:lang w:val="en-US"/>
        </w:rPr>
        <w:fldChar w:fldCharType="separate"/>
      </w:r>
      <w:r w:rsidR="0020002B" w:rsidRPr="00E60CDA">
        <w:rPr>
          <w:rFonts w:asciiTheme="majorHAnsi" w:hAnsiTheme="majorHAnsi" w:cstheme="majorHAnsi"/>
          <w:bCs/>
          <w:noProof/>
          <w:sz w:val="24"/>
          <w:szCs w:val="24"/>
          <w:lang w:val="en-US"/>
        </w:rPr>
        <w:t>(evocative or active rGE, Kendler &amp; Eaves, 1986; Plomin et al., 1977)</w:t>
      </w:r>
      <w:r w:rsidR="0020002B" w:rsidRPr="00E60CDA">
        <w:rPr>
          <w:rFonts w:asciiTheme="majorHAnsi" w:hAnsiTheme="majorHAnsi" w:cstheme="majorHAnsi"/>
          <w:bCs/>
          <w:sz w:val="24"/>
          <w:szCs w:val="24"/>
          <w:lang w:val="en-US"/>
        </w:rPr>
        <w:fldChar w:fldCharType="end"/>
      </w:r>
      <w:r w:rsidR="0020002B" w:rsidRPr="00E60CDA">
        <w:rPr>
          <w:rFonts w:asciiTheme="majorHAnsi" w:hAnsiTheme="majorHAnsi" w:cstheme="majorHAnsi"/>
          <w:bCs/>
          <w:sz w:val="24"/>
          <w:szCs w:val="24"/>
          <w:lang w:val="en-US"/>
        </w:rPr>
        <w:t xml:space="preserve">. For </w:t>
      </w:r>
      <w:r w:rsidR="0020002B" w:rsidRPr="00E60CDA">
        <w:rPr>
          <w:rFonts w:asciiTheme="majorHAnsi" w:hAnsiTheme="majorHAnsi" w:cstheme="majorHAnsi"/>
          <w:bCs/>
          <w:sz w:val="24"/>
          <w:szCs w:val="24"/>
          <w:lang w:val="en-US"/>
        </w:rPr>
        <w:lastRenderedPageBreak/>
        <w:t xml:space="preserve">future research it would be promising to use twin- and adoption designs to investigate the way in which gene-environment correlations explain self-control differences in the population (Distel et al., 2011; Middeldorp, Cath, Beem, Willemsen, &amp; Boomsma, 2008). </w:t>
      </w:r>
      <w:bookmarkStart w:id="0" w:name="_Hlk13062081"/>
      <w:r w:rsidR="00DC40C4">
        <w:rPr>
          <w:rFonts w:asciiTheme="majorHAnsi" w:hAnsiTheme="majorHAnsi" w:cstheme="majorHAnsi"/>
          <w:bCs/>
          <w:sz w:val="24"/>
          <w:szCs w:val="24"/>
          <w:lang w:val="en-US"/>
        </w:rPr>
        <w:t xml:space="preserve">Importantly, </w:t>
      </w:r>
      <w:r w:rsidR="00DC40C4" w:rsidRPr="00DC40C4">
        <w:rPr>
          <w:rFonts w:asciiTheme="majorHAnsi" w:hAnsiTheme="majorHAnsi" w:cstheme="majorHAnsi"/>
          <w:bCs/>
          <w:sz w:val="24"/>
          <w:szCs w:val="24"/>
          <w:lang w:val="en-US"/>
        </w:rPr>
        <w:t>In case we did find a significant gene x environment interaction, we should have interpreted the results with caution due to the possible confounding effects of gene environment correlation</w:t>
      </w:r>
      <w:r w:rsidR="00DC40C4">
        <w:rPr>
          <w:rFonts w:asciiTheme="majorHAnsi" w:hAnsiTheme="majorHAnsi" w:cstheme="majorHAnsi"/>
          <w:bCs/>
          <w:sz w:val="24"/>
          <w:szCs w:val="24"/>
          <w:lang w:val="en-US"/>
        </w:rPr>
        <w:t xml:space="preserve"> (</w:t>
      </w:r>
      <w:r w:rsidR="00DC40C4" w:rsidRPr="00E60CDA">
        <w:rPr>
          <w:rFonts w:asciiTheme="majorHAnsi" w:hAnsiTheme="majorHAnsi" w:cstheme="majorHAnsi"/>
          <w:bCs/>
          <w:noProof/>
          <w:sz w:val="24"/>
          <w:szCs w:val="24"/>
          <w:lang w:val="en-US"/>
        </w:rPr>
        <w:t>Kendler &amp; Eaves, 1986</w:t>
      </w:r>
      <w:r w:rsidR="00DC40C4">
        <w:rPr>
          <w:rFonts w:asciiTheme="majorHAnsi" w:hAnsiTheme="majorHAnsi" w:cstheme="majorHAnsi"/>
          <w:bCs/>
          <w:noProof/>
          <w:sz w:val="24"/>
          <w:szCs w:val="24"/>
          <w:lang w:val="en-US"/>
        </w:rPr>
        <w:t>)</w:t>
      </w:r>
      <w:r w:rsidR="00DC40C4" w:rsidRPr="00DC40C4">
        <w:rPr>
          <w:rFonts w:asciiTheme="majorHAnsi" w:hAnsiTheme="majorHAnsi" w:cstheme="majorHAnsi"/>
          <w:bCs/>
          <w:sz w:val="24"/>
          <w:szCs w:val="24"/>
          <w:lang w:val="en-US"/>
        </w:rPr>
        <w:t>.</w:t>
      </w:r>
      <w:r w:rsidR="00DC40C4">
        <w:rPr>
          <w:lang w:val="en-US"/>
        </w:rPr>
        <w:t xml:space="preserve"> </w:t>
      </w:r>
      <w:r w:rsidR="0020002B" w:rsidRPr="00E60CDA">
        <w:rPr>
          <w:rFonts w:asciiTheme="majorHAnsi" w:hAnsiTheme="majorHAnsi" w:cstheme="majorHAnsi"/>
          <w:bCs/>
          <w:sz w:val="24"/>
          <w:szCs w:val="24"/>
          <w:lang w:val="en-US"/>
        </w:rPr>
        <w:br/>
      </w:r>
      <w:bookmarkEnd w:id="0"/>
      <w:r w:rsidR="0020002B" w:rsidRPr="00E60CDA">
        <w:rPr>
          <w:rFonts w:asciiTheme="majorHAnsi" w:hAnsiTheme="majorHAnsi" w:cstheme="majorHAnsi"/>
          <w:bCs/>
          <w:sz w:val="24"/>
          <w:szCs w:val="24"/>
          <w:lang w:val="en-US"/>
        </w:rPr>
        <w:t xml:space="preserve"> </w:t>
      </w:r>
      <w:r w:rsidR="0020002B" w:rsidRPr="00E60CDA">
        <w:rPr>
          <w:rFonts w:asciiTheme="majorHAnsi" w:hAnsiTheme="majorHAnsi" w:cstheme="majorHAnsi"/>
          <w:bCs/>
          <w:sz w:val="24"/>
          <w:szCs w:val="24"/>
          <w:lang w:val="en-US"/>
        </w:rPr>
        <w:tab/>
        <w:t xml:space="preserve">The results of the current study should be interpreted with some limitations in mind. As there is no GWAS on self-control, we used the GWAS of ADHD (Demontis et al., 2019) thereby not fully capturing the broader dimensions of the self-controlling capacities as revealed in the small effect size of the main effect. Self-control is a heterogeneous construct, both theoretically </w:t>
      </w:r>
      <w:r w:rsidR="0020002B" w:rsidRPr="00E60CDA">
        <w:rPr>
          <w:rFonts w:asciiTheme="majorHAnsi" w:hAnsiTheme="majorHAnsi" w:cstheme="majorHAnsi"/>
          <w:bCs/>
          <w:sz w:val="24"/>
          <w:szCs w:val="24"/>
        </w:rPr>
        <w:fldChar w:fldCharType="begin" w:fldLock="1"/>
      </w:r>
      <w:r w:rsidR="0020002B" w:rsidRPr="00E60CDA">
        <w:rPr>
          <w:rFonts w:asciiTheme="majorHAnsi" w:hAnsiTheme="majorHAnsi" w:cstheme="majorHAnsi"/>
          <w:bCs/>
          <w:sz w:val="24"/>
          <w:szCs w:val="24"/>
          <w:lang w:val="en-US"/>
        </w:rPr>
        <w:instrText>ADDIN CSL_CITATION {"citationItems":[{"id":"ITEM-1","itemData":{"DOI":"10.1111/jcpp.12675","ISSN":"00219630","author":[{"dropping-particle":"","family":"Nigg","given":"Joel T.","non-dropping-particle":"","parse-names":false,"suffix":""}],"container-title":"Journal of Child Psychology and Psychiatry","id":"ITEM-1","issue":"4","issued":{"date-parts":[["2017","4","1"]]},"page":"361-383","title":"Annual Research Review: On the relations among self-regulation, self-control, executive functioning, effortful control, cognitive control, impulsivity, risk-taking, and inhibition for developmental psychopathology","type":"article-journal","volume":"58"},"uris":["http://www.mendeley.com/documents/?uuid=cd32e248-90e9-3284-b676-639d2085f3ba"]}],"mendeley":{"formattedCitation":"(Nigg, 2017)","plainTextFormattedCitation":"(Nigg, 2017)","previouslyFormattedCitation":"(Nigg, 2017)"},"properties":{"noteIndex":0},"schema":"https://github.com/citation-style-language/schema/raw/master/csl-citation.json"}</w:instrText>
      </w:r>
      <w:r w:rsidR="0020002B" w:rsidRPr="00E60CDA">
        <w:rPr>
          <w:rFonts w:asciiTheme="majorHAnsi" w:hAnsiTheme="majorHAnsi" w:cstheme="majorHAnsi"/>
          <w:bCs/>
          <w:sz w:val="24"/>
          <w:szCs w:val="24"/>
        </w:rPr>
        <w:fldChar w:fldCharType="separate"/>
      </w:r>
      <w:r w:rsidR="0020002B" w:rsidRPr="00E60CDA">
        <w:rPr>
          <w:rFonts w:asciiTheme="majorHAnsi" w:hAnsiTheme="majorHAnsi" w:cstheme="majorHAnsi"/>
          <w:bCs/>
          <w:noProof/>
          <w:sz w:val="24"/>
          <w:szCs w:val="24"/>
          <w:lang w:val="en-US"/>
        </w:rPr>
        <w:t>(Nigg, 2017)</w:t>
      </w:r>
      <w:r w:rsidR="0020002B" w:rsidRPr="00E60CDA">
        <w:rPr>
          <w:rFonts w:asciiTheme="majorHAnsi" w:hAnsiTheme="majorHAnsi" w:cstheme="majorHAnsi"/>
          <w:bCs/>
          <w:sz w:val="24"/>
          <w:szCs w:val="24"/>
        </w:rPr>
        <w:fldChar w:fldCharType="end"/>
      </w:r>
      <w:r w:rsidR="0020002B" w:rsidRPr="00E60CDA">
        <w:rPr>
          <w:rFonts w:asciiTheme="majorHAnsi" w:hAnsiTheme="majorHAnsi" w:cstheme="majorHAnsi"/>
          <w:bCs/>
          <w:sz w:val="24"/>
          <w:szCs w:val="24"/>
          <w:lang w:val="en-US"/>
        </w:rPr>
        <w:t xml:space="preserve"> and empirically (Duckworth &amp; Kern, 2011), and in the future we need to think how to best genetically capture self-control. A promising development in the field is Genomic Structural Equation Modeling </w:t>
      </w:r>
      <w:r w:rsidR="0020002B" w:rsidRPr="00E60CDA">
        <w:rPr>
          <w:rFonts w:asciiTheme="majorHAnsi" w:hAnsiTheme="majorHAnsi" w:cstheme="majorHAnsi"/>
          <w:bCs/>
          <w:sz w:val="24"/>
          <w:szCs w:val="24"/>
        </w:rPr>
        <w:fldChar w:fldCharType="begin" w:fldLock="1"/>
      </w:r>
      <w:r w:rsidR="0020002B" w:rsidRPr="00E60CDA">
        <w:rPr>
          <w:rFonts w:asciiTheme="majorHAnsi" w:hAnsiTheme="majorHAnsi" w:cstheme="majorHAnsi"/>
          <w:bCs/>
          <w:sz w:val="24"/>
          <w:szCs w:val="24"/>
          <w:lang w:val="en-US"/>
        </w:rPr>
        <w:instrText>ADDIN CSL_CITATION {"citationItems":[{"id":"ITEM-1","itemData":{"DOI":"10.1038/s41562-019-0566-x","ISSN":"2397-3374","abstract":"Genetic correlations estimated from genome-wide association studies (GWASs) reveal pervasive pleiotropy across a wide variety of phenotypes. We introduce genomic structural equation modelling (genomic SEM): a multivariate method for analysing the joint genetic architecture of complex traits. Genomic SEM synthesizes genetic correlations and single-nucleotide polymorphism heritabilities inferred from GWAS summary statistics of individual traits from samples with varying and unknown degrees of overlap. Genomic SEM can be used to model multivariate genetic associations among phenotypes, identify variants with effects on general dimensions of cross-trait liability, calculate more predictive polygenic scores and identify loci that cause divergence between traits. We demonstrate several applications of genomic SEM, including a joint analysis of summary statistics from five psychiatric traits. We identify 27 independent single-nucleotide polymorphisms not previously identified in the contributing univariate GWASs. Polygenic scores from genomic SEM consistently outperform those from univariate GWASs. Genomic SEM is flexible and open ended, and allows for continuous innovation in multivariate genetic analysis.","author":[{"dropping-particle":"","family":"Grotzinger","given":"Andrew D.","non-dropping-particle":"","parse-names":false,"suffix":""},{"dropping-particle":"","family":"Rhemtulla","given":"Mijke","non-dropping-particle":"","parse-names":false,"suffix":""},{"dropping-particle":"","family":"Vlaming","given":"Ronald","non-dropping-particle":"de","parse-names":false,"suffix":""},{"dropping-particle":"","family":"Ritchie","given":"Stuart J.","non-dropping-particle":"","parse-names":false,"suffix":""},{"dropping-particle":"","family":"Mallard","given":"Travis T.","non-dropping-particle":"","parse-names":false,"suffix":""},{"dropping-particle":"","family":"Hill","given":"W. David","non-dropping-particle":"","parse-names":false,"suffix":""},{"dropping-particle":"","family":"Ip","given":"Hill F.","non-dropping-particle":"","parse-names":false,"suffix":""},{"dropping-particle":"","family":"Marioni","given":"Riccardo E.","non-dropping-particle":"","parse-names":false,"suffix":""},{"dropping-particle":"","family":"McIntosh","given":"Andrew M.","non-dropping-particle":"","parse-names":false,"suffix":""},{"dropping-particle":"","family":"Deary","given":"Ian J.","non-dropping-particle":"","parse-names":false,"suffix":""},{"dropping-particle":"","family":"Koellinger","given":"Philipp D.","non-dropping-particle":"","parse-names":false,"suffix":""},{"dropping-particle":"","family":"Harden","given":"K. Paige","non-dropping-particle":"","parse-names":false,"suffix":""},{"dropping-particle":"","family":"Nivard","given":"Michel G.","non-dropping-particle":"","parse-names":false,"suffix":""},{"dropping-particle":"","family":"Tucker-Drob","given":"Elliot M.","non-dropping-particle":"","parse-names":false,"suffix":""}],"container-title":"Nature Human Behaviour","id":"ITEM-1","issue":"5","issued":{"date-parts":[["2019","5","8"]]},"page":"513-525","publisher":"Nature Publishing Group","title":"Genomic structural equation modelling provides insights into the multivariate genetic architecture of complex traits","type":"article-journal","volume":"3"},"uris":["http://www.mendeley.com/documents/?uuid=17959430-97b0-39f4-ad6e-817e11bdfd13"]}],"mendeley":{"formattedCitation":"(Grotzinger et al., 2019)","plainTextFormattedCitation":"(Grotzinger et al., 2019)","previouslyFormattedCitation":"(Grotzinger et al., 2019)"},"properties":{"noteIndex":0},"schema":"https://github.com/citation-style-language/schema/raw/master/csl-citation.json"}</w:instrText>
      </w:r>
      <w:r w:rsidR="0020002B" w:rsidRPr="00E60CDA">
        <w:rPr>
          <w:rFonts w:asciiTheme="majorHAnsi" w:hAnsiTheme="majorHAnsi" w:cstheme="majorHAnsi"/>
          <w:bCs/>
          <w:sz w:val="24"/>
          <w:szCs w:val="24"/>
        </w:rPr>
        <w:fldChar w:fldCharType="separate"/>
      </w:r>
      <w:r w:rsidR="0020002B" w:rsidRPr="00E60CDA">
        <w:rPr>
          <w:rFonts w:asciiTheme="majorHAnsi" w:hAnsiTheme="majorHAnsi" w:cstheme="majorHAnsi"/>
          <w:bCs/>
          <w:noProof/>
          <w:sz w:val="24"/>
          <w:szCs w:val="24"/>
          <w:lang w:val="en-US"/>
        </w:rPr>
        <w:t>(Grotzinger et al., 2019)</w:t>
      </w:r>
      <w:r w:rsidR="0020002B" w:rsidRPr="00E60CDA">
        <w:rPr>
          <w:rFonts w:asciiTheme="majorHAnsi" w:hAnsiTheme="majorHAnsi" w:cstheme="majorHAnsi"/>
          <w:bCs/>
          <w:sz w:val="24"/>
          <w:szCs w:val="24"/>
        </w:rPr>
        <w:fldChar w:fldCharType="end"/>
      </w:r>
      <w:r w:rsidR="0020002B" w:rsidRPr="00E60CDA">
        <w:rPr>
          <w:rFonts w:asciiTheme="majorHAnsi" w:hAnsiTheme="majorHAnsi" w:cstheme="majorHAnsi"/>
          <w:bCs/>
          <w:sz w:val="24"/>
          <w:szCs w:val="24"/>
          <w:lang w:val="en-US"/>
        </w:rPr>
        <w:t xml:space="preserve">, using publicly available GWAS data to model multivariate genetic associations among phenotypes. One way forward would be to test whether this method can reliably create polygenic scores self-control, using correlations between different related traits (e.g. ADHD, conscientiousness, executive functioning) to generate a more </w:t>
      </w:r>
      <w:r w:rsidR="0020002B">
        <w:rPr>
          <w:rFonts w:asciiTheme="majorHAnsi" w:hAnsiTheme="majorHAnsi" w:cstheme="majorHAnsi"/>
          <w:bCs/>
          <w:sz w:val="24"/>
          <w:szCs w:val="24"/>
          <w:lang w:val="en-US"/>
        </w:rPr>
        <w:t>accurate</w:t>
      </w:r>
      <w:r w:rsidR="0020002B" w:rsidRPr="00E60CDA">
        <w:rPr>
          <w:rFonts w:asciiTheme="majorHAnsi" w:hAnsiTheme="majorHAnsi" w:cstheme="majorHAnsi"/>
          <w:bCs/>
          <w:sz w:val="24"/>
          <w:szCs w:val="24"/>
          <w:lang w:val="en-US"/>
        </w:rPr>
        <w:t xml:space="preserve"> polygenic score. </w:t>
      </w:r>
      <w:r w:rsidR="0020002B">
        <w:rPr>
          <w:rFonts w:asciiTheme="majorHAnsi" w:hAnsiTheme="majorHAnsi" w:cstheme="majorHAnsi"/>
          <w:bCs/>
          <w:sz w:val="24"/>
          <w:szCs w:val="24"/>
          <w:lang w:val="en-US"/>
        </w:rPr>
        <w:t>Additionally, life events only included negative life events (e.g., theft, illness, financial strain etc.) and not positive life events (e.g., marriage, birth of a child) which can also impact people’s self-control levels (Bleidorn, 2015; Pronk et al., 2019). Future research taking more fine-grained life events in</w:t>
      </w:r>
      <w:r w:rsidR="00DC40C4">
        <w:rPr>
          <w:rFonts w:asciiTheme="majorHAnsi" w:hAnsiTheme="majorHAnsi" w:cstheme="majorHAnsi"/>
          <w:bCs/>
          <w:sz w:val="24"/>
          <w:szCs w:val="24"/>
          <w:lang w:val="en-US"/>
        </w:rPr>
        <w:t xml:space="preserve">to account could be promising. </w:t>
      </w:r>
      <w:r w:rsidR="0020002B" w:rsidRPr="00E60CDA">
        <w:rPr>
          <w:rFonts w:asciiTheme="majorHAnsi" w:hAnsiTheme="majorHAnsi" w:cstheme="majorHAnsi"/>
          <w:bCs/>
          <w:sz w:val="24"/>
          <w:szCs w:val="24"/>
          <w:lang w:val="en-US"/>
        </w:rPr>
        <w:t>Moreover, while we included adults in this study</w:t>
      </w:r>
      <w:r w:rsidR="00DC40C4">
        <w:rPr>
          <w:rFonts w:asciiTheme="majorHAnsi" w:hAnsiTheme="majorHAnsi" w:cstheme="majorHAnsi"/>
          <w:bCs/>
          <w:sz w:val="24"/>
          <w:szCs w:val="24"/>
          <w:lang w:val="en-US"/>
        </w:rPr>
        <w:t>,</w:t>
      </w:r>
      <w:r w:rsidR="0020002B" w:rsidRPr="00E60CDA">
        <w:rPr>
          <w:rFonts w:asciiTheme="majorHAnsi" w:hAnsiTheme="majorHAnsi" w:cstheme="majorHAnsi"/>
          <w:bCs/>
          <w:sz w:val="24"/>
          <w:szCs w:val="24"/>
          <w:lang w:val="en-US"/>
        </w:rPr>
        <w:t xml:space="preserve"> it would be interesting to apply similar analyses in childhood to generate insights in the ways in which gene-environment interplay play </w:t>
      </w:r>
      <w:r w:rsidR="0020002B">
        <w:rPr>
          <w:rFonts w:asciiTheme="majorHAnsi" w:hAnsiTheme="majorHAnsi" w:cstheme="majorHAnsi"/>
          <w:bCs/>
          <w:sz w:val="24"/>
          <w:szCs w:val="24"/>
          <w:lang w:val="en-US"/>
        </w:rPr>
        <w:t>are comparable in adults and children.</w:t>
      </w:r>
      <w:r w:rsidR="00DC40C4">
        <w:rPr>
          <w:rFonts w:asciiTheme="majorHAnsi" w:hAnsiTheme="majorHAnsi" w:cstheme="majorHAnsi"/>
          <w:bCs/>
          <w:sz w:val="24"/>
          <w:szCs w:val="24"/>
          <w:lang w:val="en-US"/>
        </w:rPr>
        <w:t xml:space="preserve"> </w:t>
      </w:r>
      <w:r w:rsidR="0020002B">
        <w:rPr>
          <w:rFonts w:asciiTheme="majorHAnsi" w:hAnsiTheme="majorHAnsi" w:cstheme="majorHAnsi"/>
          <w:bCs/>
          <w:sz w:val="24"/>
          <w:szCs w:val="24"/>
          <w:lang w:val="en-US"/>
        </w:rPr>
        <w:br/>
      </w:r>
      <w:r w:rsidR="0020002B" w:rsidRPr="00E60CDA">
        <w:rPr>
          <w:rFonts w:asciiTheme="majorHAnsi" w:hAnsiTheme="majorHAnsi" w:cstheme="majorHAnsi"/>
          <w:bCs/>
          <w:sz w:val="24"/>
          <w:szCs w:val="24"/>
          <w:lang w:val="en-US"/>
        </w:rPr>
        <w:t xml:space="preserve"> </w:t>
      </w:r>
      <w:r w:rsidR="0020002B" w:rsidRPr="00E60CDA">
        <w:rPr>
          <w:rFonts w:asciiTheme="majorHAnsi" w:hAnsiTheme="majorHAnsi" w:cstheme="majorHAnsi"/>
          <w:bCs/>
          <w:sz w:val="24"/>
          <w:szCs w:val="24"/>
          <w:lang w:val="en-US"/>
        </w:rPr>
        <w:tab/>
        <w:t xml:space="preserve">In sum, we tested the hypothesis that genetic risk interacts with life stressors in </w:t>
      </w:r>
      <w:r w:rsidR="0020002B" w:rsidRPr="00E60CDA">
        <w:rPr>
          <w:rFonts w:asciiTheme="majorHAnsi" w:hAnsiTheme="majorHAnsi" w:cstheme="majorHAnsi"/>
          <w:bCs/>
          <w:sz w:val="24"/>
          <w:szCs w:val="24"/>
          <w:lang w:val="en-US"/>
        </w:rPr>
        <w:lastRenderedPageBreak/>
        <w:t xml:space="preserve">explaining individual differences in </w:t>
      </w:r>
      <w:r w:rsidR="0020002B">
        <w:rPr>
          <w:rFonts w:asciiTheme="majorHAnsi" w:hAnsiTheme="majorHAnsi" w:cstheme="majorHAnsi"/>
          <w:bCs/>
          <w:sz w:val="24"/>
          <w:szCs w:val="24"/>
          <w:lang w:val="en-US"/>
        </w:rPr>
        <w:t xml:space="preserve">low </w:t>
      </w:r>
      <w:r w:rsidR="0020002B" w:rsidRPr="00E60CDA">
        <w:rPr>
          <w:rFonts w:asciiTheme="majorHAnsi" w:hAnsiTheme="majorHAnsi" w:cstheme="majorHAnsi"/>
          <w:bCs/>
          <w:sz w:val="24"/>
          <w:szCs w:val="24"/>
          <w:lang w:val="en-US"/>
        </w:rPr>
        <w:t xml:space="preserve">self-control in the population. We did not find evidence to support this hypothesis. We hope this article will stimulate future research on this important topic integrating influences of both “nature” and “nurture”, an area we expect to further </w:t>
      </w:r>
      <w:r w:rsidR="0020002B">
        <w:rPr>
          <w:rFonts w:asciiTheme="majorHAnsi" w:hAnsiTheme="majorHAnsi" w:cstheme="majorHAnsi"/>
          <w:bCs/>
          <w:sz w:val="24"/>
          <w:szCs w:val="24"/>
          <w:lang w:val="en-US"/>
        </w:rPr>
        <w:t>develop</w:t>
      </w:r>
      <w:r w:rsidR="0020002B" w:rsidRPr="00E60CDA">
        <w:rPr>
          <w:rFonts w:asciiTheme="majorHAnsi" w:hAnsiTheme="majorHAnsi" w:cstheme="majorHAnsi"/>
          <w:bCs/>
          <w:sz w:val="24"/>
          <w:szCs w:val="24"/>
          <w:lang w:val="en-US"/>
        </w:rPr>
        <w:t xml:space="preserve"> in the years to come. </w:t>
      </w:r>
      <w:r w:rsidR="0020002B" w:rsidRPr="00E60CDA">
        <w:rPr>
          <w:rFonts w:asciiTheme="majorHAnsi" w:hAnsiTheme="majorHAnsi" w:cstheme="majorHAnsi"/>
          <w:bCs/>
          <w:sz w:val="24"/>
          <w:szCs w:val="24"/>
          <w:lang w:val="en-US"/>
        </w:rPr>
        <w:br/>
      </w:r>
      <w:r w:rsidR="001266B1" w:rsidRPr="00E60CDA">
        <w:rPr>
          <w:rFonts w:asciiTheme="majorHAnsi" w:hAnsiTheme="majorHAnsi" w:cstheme="majorHAnsi"/>
          <w:b/>
          <w:bCs/>
          <w:sz w:val="24"/>
          <w:szCs w:val="24"/>
          <w:lang w:val="en-US"/>
        </w:rPr>
        <w:t>Acknowledgements</w:t>
      </w:r>
      <w:r w:rsidR="001266B1" w:rsidRPr="00E60CDA">
        <w:rPr>
          <w:rFonts w:asciiTheme="majorHAnsi" w:hAnsiTheme="majorHAnsi" w:cstheme="majorHAnsi"/>
          <w:b/>
          <w:bCs/>
          <w:sz w:val="24"/>
          <w:szCs w:val="24"/>
          <w:lang w:val="en-US"/>
        </w:rPr>
        <w:br/>
      </w:r>
      <w:r w:rsidR="001266B1" w:rsidRPr="00E60CDA">
        <w:rPr>
          <w:rFonts w:asciiTheme="majorHAnsi" w:hAnsiTheme="majorHAnsi" w:cstheme="majorHAnsi"/>
          <w:bCs/>
          <w:sz w:val="24"/>
          <w:szCs w:val="24"/>
          <w:lang w:val="en-US"/>
        </w:rPr>
        <w:t>The authors warmly thank all NTR participants who participated in this study. This work was supported by the following grants: the Netherlands Organization for Scientific Research (NWO) research talent grant (406-15-132) and BBMRI –NL: Biobanking and Biomolecular Resources Research Infrastructure (NWO 184-021-007), and the European Union Seventh Framework Program (FP7/2007-2013, Grant No. 602768). MB is supported by an ERC Consolidator grant (771057 WELL-BEING).</w:t>
      </w:r>
      <w:r w:rsidR="001266B1">
        <w:rPr>
          <w:rFonts w:asciiTheme="majorHAnsi" w:hAnsiTheme="majorHAnsi" w:cstheme="majorHAnsi"/>
          <w:bCs/>
          <w:sz w:val="24"/>
          <w:szCs w:val="24"/>
          <w:lang w:val="en-US"/>
        </w:rPr>
        <w:t xml:space="preserve"> </w:t>
      </w:r>
    </w:p>
    <w:p w14:paraId="104B8FFF" w14:textId="32ADEF30" w:rsidR="001266B1" w:rsidRPr="0012434F" w:rsidRDefault="0012434F" w:rsidP="001266B1">
      <w:pPr>
        <w:spacing w:line="480" w:lineRule="auto"/>
        <w:rPr>
          <w:rFonts w:asciiTheme="majorHAnsi" w:hAnsiTheme="majorHAnsi" w:cstheme="majorHAnsi"/>
          <w:b/>
          <w:bCs/>
          <w:sz w:val="24"/>
          <w:szCs w:val="24"/>
          <w:lang w:val="en-US"/>
        </w:rPr>
      </w:pPr>
      <w:r w:rsidRPr="0012434F">
        <w:rPr>
          <w:rFonts w:asciiTheme="majorHAnsi" w:hAnsiTheme="majorHAnsi" w:cstheme="majorHAnsi"/>
          <w:b/>
          <w:bCs/>
          <w:sz w:val="24"/>
          <w:szCs w:val="24"/>
          <w:lang w:val="en-US"/>
        </w:rPr>
        <w:t>Disclosures</w:t>
      </w:r>
      <w:r>
        <w:rPr>
          <w:rFonts w:asciiTheme="majorHAnsi" w:hAnsiTheme="majorHAnsi" w:cstheme="majorHAnsi"/>
          <w:b/>
          <w:bCs/>
          <w:sz w:val="24"/>
          <w:szCs w:val="24"/>
          <w:lang w:val="en-US"/>
        </w:rPr>
        <w:br/>
      </w:r>
      <w:r>
        <w:rPr>
          <w:rFonts w:asciiTheme="majorHAnsi" w:hAnsiTheme="majorHAnsi" w:cstheme="majorHAnsi"/>
          <w:bCs/>
          <w:sz w:val="24"/>
          <w:szCs w:val="24"/>
          <w:lang w:val="en-US"/>
        </w:rPr>
        <w:t>The authors</w:t>
      </w:r>
      <w:r w:rsidR="001266B1">
        <w:rPr>
          <w:rFonts w:asciiTheme="majorHAnsi" w:hAnsiTheme="majorHAnsi" w:cstheme="majorHAnsi"/>
          <w:bCs/>
          <w:sz w:val="24"/>
          <w:szCs w:val="24"/>
          <w:lang w:val="en-US"/>
        </w:rPr>
        <w:t xml:space="preserve"> report no conflict of interest. </w:t>
      </w:r>
    </w:p>
    <w:p w14:paraId="30984A3B" w14:textId="2C4C58CE" w:rsidR="0020002B" w:rsidRPr="0020002B" w:rsidRDefault="00A54064" w:rsidP="0020002B">
      <w:pPr>
        <w:widowControl w:val="0"/>
        <w:autoSpaceDE w:val="0"/>
        <w:autoSpaceDN w:val="0"/>
        <w:adjustRightInd w:val="0"/>
        <w:spacing w:line="480" w:lineRule="auto"/>
        <w:rPr>
          <w:rFonts w:asciiTheme="majorHAnsi" w:hAnsiTheme="majorHAnsi" w:cstheme="majorHAnsi"/>
          <w:bCs/>
          <w:sz w:val="24"/>
          <w:szCs w:val="24"/>
          <w:lang w:val="en-US"/>
        </w:rPr>
      </w:pPr>
      <w:r>
        <w:rPr>
          <w:rFonts w:asciiTheme="majorHAnsi" w:hAnsiTheme="majorHAnsi" w:cstheme="majorHAnsi"/>
          <w:bCs/>
          <w:sz w:val="24"/>
          <w:szCs w:val="24"/>
          <w:lang w:val="en-US"/>
        </w:rPr>
        <w:br w:type="column"/>
      </w:r>
    </w:p>
    <w:p w14:paraId="5D648CD4" w14:textId="77777777" w:rsidR="0020002B" w:rsidRPr="00E60CDA" w:rsidRDefault="0020002B" w:rsidP="0020002B">
      <w:pPr>
        <w:widowControl w:val="0"/>
        <w:autoSpaceDE w:val="0"/>
        <w:autoSpaceDN w:val="0"/>
        <w:adjustRightInd w:val="0"/>
        <w:spacing w:line="480" w:lineRule="auto"/>
        <w:rPr>
          <w:rFonts w:asciiTheme="majorHAnsi" w:hAnsiTheme="majorHAnsi" w:cstheme="majorHAnsi"/>
          <w:b/>
          <w:sz w:val="24"/>
          <w:szCs w:val="24"/>
          <w:lang w:val="en-US"/>
        </w:rPr>
      </w:pPr>
      <w:r w:rsidRPr="00E60CDA">
        <w:rPr>
          <w:rFonts w:asciiTheme="majorHAnsi" w:hAnsiTheme="majorHAnsi" w:cstheme="majorHAnsi"/>
          <w:b/>
          <w:sz w:val="24"/>
          <w:szCs w:val="24"/>
          <w:lang w:val="en-US"/>
        </w:rPr>
        <w:t>References</w:t>
      </w:r>
    </w:p>
    <w:p w14:paraId="757B8138"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b/>
          <w:sz w:val="24"/>
          <w:szCs w:val="24"/>
          <w:lang w:val="en-US"/>
        </w:rPr>
        <w:fldChar w:fldCharType="begin" w:fldLock="1"/>
      </w:r>
      <w:r w:rsidRPr="00E60CDA">
        <w:rPr>
          <w:rFonts w:asciiTheme="majorHAnsi" w:hAnsiTheme="majorHAnsi" w:cstheme="majorHAnsi"/>
          <w:b/>
          <w:sz w:val="24"/>
          <w:szCs w:val="24"/>
          <w:lang w:val="en-US"/>
        </w:rPr>
        <w:instrText xml:space="preserve">ADDIN Mendeley Bibliography CSL_BIBLIOGRAPHY </w:instrText>
      </w:r>
      <w:r w:rsidRPr="00E60CDA">
        <w:rPr>
          <w:rFonts w:asciiTheme="majorHAnsi" w:hAnsiTheme="majorHAnsi" w:cstheme="majorHAnsi"/>
          <w:b/>
          <w:sz w:val="24"/>
          <w:szCs w:val="24"/>
          <w:lang w:val="en-US"/>
        </w:rPr>
        <w:fldChar w:fldCharType="separate"/>
      </w:r>
      <w:r w:rsidRPr="00E60CDA">
        <w:rPr>
          <w:rFonts w:asciiTheme="majorHAnsi" w:hAnsiTheme="majorHAnsi" w:cstheme="majorHAnsi"/>
          <w:noProof/>
          <w:sz w:val="24"/>
          <w:szCs w:val="24"/>
          <w:lang w:val="en-US"/>
        </w:rPr>
        <w:t xml:space="preserve">Abdellaoui, A., Hottenga, J.-J., Knijff, P. de, Nivard, M. G., Xiao, X., Scheet, P., … Boomsma, D. I. (2013). Population structure, migration, and diversifying selection in the Netherlands. </w:t>
      </w:r>
      <w:r w:rsidRPr="00E60CDA">
        <w:rPr>
          <w:rFonts w:asciiTheme="majorHAnsi" w:hAnsiTheme="majorHAnsi" w:cstheme="majorHAnsi"/>
          <w:i/>
          <w:iCs/>
          <w:noProof/>
          <w:sz w:val="24"/>
          <w:szCs w:val="24"/>
          <w:lang w:val="en-US"/>
        </w:rPr>
        <w:t>European Journal of Human Genetics</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21</w:t>
      </w:r>
      <w:r w:rsidRPr="00E60CDA">
        <w:rPr>
          <w:rFonts w:asciiTheme="majorHAnsi" w:hAnsiTheme="majorHAnsi" w:cstheme="majorHAnsi"/>
          <w:noProof/>
          <w:sz w:val="24"/>
          <w:szCs w:val="24"/>
          <w:lang w:val="en-US"/>
        </w:rPr>
        <w:t xml:space="preserve">(11), 1277–1285. </w:t>
      </w:r>
    </w:p>
    <w:p w14:paraId="1E194A3D"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Abdellaoui, A., Nivard, M. G., Hottenga, J.-J., Fedko, I., Verweij, K. J. H., Baselmans, B. M. L., … Cacioppo, J. T. (2018). Predicting loneliness with polygenic scores of social, psychological and psychiatric traits. </w:t>
      </w:r>
      <w:r w:rsidRPr="00E60CDA">
        <w:rPr>
          <w:rFonts w:asciiTheme="majorHAnsi" w:hAnsiTheme="majorHAnsi" w:cstheme="majorHAnsi"/>
          <w:i/>
          <w:iCs/>
          <w:noProof/>
          <w:sz w:val="24"/>
          <w:szCs w:val="24"/>
          <w:lang w:val="en-US"/>
        </w:rPr>
        <w:t>Genes, Brain and Behavior</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17</w:t>
      </w:r>
      <w:r w:rsidRPr="00E60CDA">
        <w:rPr>
          <w:rFonts w:asciiTheme="majorHAnsi" w:hAnsiTheme="majorHAnsi" w:cstheme="majorHAnsi"/>
          <w:noProof/>
          <w:sz w:val="24"/>
          <w:szCs w:val="24"/>
          <w:lang w:val="en-US"/>
        </w:rPr>
        <w:t xml:space="preserve">(6), e12472. </w:t>
      </w:r>
    </w:p>
    <w:p w14:paraId="4B41DA9B"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Abdellaoui, A., Nivard, M. G., Hottenga, J. J., Fedko, I., Verweij, K. J. H., Baselmans, B. M. L., … Cacioppo, J. T. (2018). Predicting loneliness with polygenic scores of social, psychological and psychiatric traits. </w:t>
      </w:r>
      <w:r w:rsidRPr="00E60CDA">
        <w:rPr>
          <w:rFonts w:asciiTheme="majorHAnsi" w:hAnsiTheme="majorHAnsi" w:cstheme="majorHAnsi"/>
          <w:i/>
          <w:iCs/>
          <w:noProof/>
          <w:sz w:val="24"/>
          <w:szCs w:val="24"/>
          <w:lang w:val="en-US"/>
        </w:rPr>
        <w:t>Genes, Brain and Behavior</w:t>
      </w:r>
      <w:r w:rsidRPr="00E60CDA">
        <w:rPr>
          <w:rFonts w:asciiTheme="majorHAnsi" w:hAnsiTheme="majorHAnsi" w:cstheme="majorHAnsi"/>
          <w:noProof/>
          <w:sz w:val="24"/>
          <w:szCs w:val="24"/>
          <w:lang w:val="en-US"/>
        </w:rPr>
        <w:t xml:space="preserve">, </w:t>
      </w:r>
      <w:r w:rsidRPr="00E60CDA">
        <w:rPr>
          <w:rFonts w:asciiTheme="majorHAnsi" w:hAnsiTheme="majorHAnsi" w:cstheme="majorHAnsi"/>
          <w:sz w:val="24"/>
          <w:szCs w:val="24"/>
          <w:shd w:val="clear" w:color="auto" w:fill="FFFFFF"/>
          <w:lang w:val="en-US"/>
        </w:rPr>
        <w:t>e12472.</w:t>
      </w:r>
    </w:p>
    <w:p w14:paraId="386C3AFC"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Assary, E., Vincent, J. P., Keers, R., &amp; Pluess, M. (2018). Gene-environment interaction and psychiatric disorders: Review and future directions. </w:t>
      </w:r>
      <w:r w:rsidRPr="00E60CDA">
        <w:rPr>
          <w:rFonts w:asciiTheme="majorHAnsi" w:hAnsiTheme="majorHAnsi" w:cstheme="majorHAnsi"/>
          <w:i/>
          <w:iCs/>
          <w:noProof/>
          <w:sz w:val="24"/>
          <w:szCs w:val="24"/>
          <w:lang w:val="en-US"/>
        </w:rPr>
        <w:t>Seminars in Cell &amp; Developmental Biology</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77</w:t>
      </w:r>
      <w:r w:rsidRPr="00E60CDA">
        <w:rPr>
          <w:rFonts w:asciiTheme="majorHAnsi" w:hAnsiTheme="majorHAnsi" w:cstheme="majorHAnsi"/>
          <w:noProof/>
          <w:sz w:val="24"/>
          <w:szCs w:val="24"/>
          <w:lang w:val="en-US"/>
        </w:rPr>
        <w:t xml:space="preserve">, 133–143. </w:t>
      </w:r>
    </w:p>
    <w:p w14:paraId="2B1FA4BF"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Beaver, K. M., DeLisi, M., Vaughn, M. G., &amp; Wright, J. P. (2010). The intersection of genes and neuropsychological deficits in the prediction of adolescent delinquency and low self-control. </w:t>
      </w:r>
      <w:r w:rsidRPr="00E60CDA">
        <w:rPr>
          <w:rFonts w:asciiTheme="majorHAnsi" w:hAnsiTheme="majorHAnsi" w:cstheme="majorHAnsi"/>
          <w:i/>
          <w:iCs/>
          <w:noProof/>
          <w:sz w:val="24"/>
          <w:szCs w:val="24"/>
          <w:lang w:val="en-US"/>
        </w:rPr>
        <w:t>International Journal of Offender Therapy and Comparative Criminology,</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54</w:t>
      </w:r>
      <w:r w:rsidRPr="00E60CDA">
        <w:rPr>
          <w:rFonts w:asciiTheme="majorHAnsi" w:hAnsiTheme="majorHAnsi" w:cstheme="majorHAnsi"/>
          <w:noProof/>
          <w:sz w:val="24"/>
          <w:szCs w:val="24"/>
          <w:lang w:val="en-US"/>
        </w:rPr>
        <w:t xml:space="preserve">(1), 22–42. </w:t>
      </w:r>
    </w:p>
    <w:p w14:paraId="78000CFF" w14:textId="77777777" w:rsidR="0020002B" w:rsidRDefault="0020002B" w:rsidP="0020002B">
      <w:pPr>
        <w:widowControl w:val="0"/>
        <w:autoSpaceDE w:val="0"/>
        <w:autoSpaceDN w:val="0"/>
        <w:adjustRightInd w:val="0"/>
        <w:spacing w:line="480" w:lineRule="auto"/>
        <w:ind w:left="480" w:hanging="480"/>
        <w:rPr>
          <w:rFonts w:asciiTheme="majorHAnsi" w:hAnsiTheme="majorHAnsi" w:cstheme="majorHAnsi"/>
          <w:sz w:val="24"/>
          <w:szCs w:val="24"/>
          <w:shd w:val="clear" w:color="auto" w:fill="FFFFFF"/>
          <w:lang w:val="en-US"/>
        </w:rPr>
      </w:pPr>
      <w:r w:rsidRPr="00E60CDA">
        <w:rPr>
          <w:rFonts w:asciiTheme="majorHAnsi" w:hAnsiTheme="majorHAnsi" w:cstheme="majorHAnsi"/>
          <w:sz w:val="24"/>
          <w:szCs w:val="24"/>
          <w:shd w:val="clear" w:color="auto" w:fill="FFFFFF"/>
          <w:lang w:val="en-US"/>
        </w:rPr>
        <w:t>Belsky, J., &amp; Beaver, K. M. (2011). Cumulative‐genetic plasticity, parenting and adolescent self‐regulation. </w:t>
      </w:r>
      <w:r w:rsidRPr="00E60CDA">
        <w:rPr>
          <w:rFonts w:asciiTheme="majorHAnsi" w:hAnsiTheme="majorHAnsi" w:cstheme="majorHAnsi"/>
          <w:i/>
          <w:iCs/>
          <w:sz w:val="24"/>
          <w:szCs w:val="24"/>
          <w:shd w:val="clear" w:color="auto" w:fill="FFFFFF"/>
          <w:lang w:val="en-US"/>
        </w:rPr>
        <w:t>Journal of Child Psychology and Psychiatry</w:t>
      </w:r>
      <w:r w:rsidRPr="00E60CDA">
        <w:rPr>
          <w:rFonts w:asciiTheme="majorHAnsi" w:hAnsiTheme="majorHAnsi" w:cstheme="majorHAnsi"/>
          <w:sz w:val="24"/>
          <w:szCs w:val="24"/>
          <w:shd w:val="clear" w:color="auto" w:fill="FFFFFF"/>
          <w:lang w:val="en-US"/>
        </w:rPr>
        <w:t>, </w:t>
      </w:r>
      <w:r w:rsidRPr="00E60CDA">
        <w:rPr>
          <w:rFonts w:asciiTheme="majorHAnsi" w:hAnsiTheme="majorHAnsi" w:cstheme="majorHAnsi"/>
          <w:i/>
          <w:iCs/>
          <w:sz w:val="24"/>
          <w:szCs w:val="24"/>
          <w:shd w:val="clear" w:color="auto" w:fill="FFFFFF"/>
          <w:lang w:val="en-US"/>
        </w:rPr>
        <w:t>52</w:t>
      </w:r>
      <w:r w:rsidRPr="00E60CDA">
        <w:rPr>
          <w:rFonts w:asciiTheme="majorHAnsi" w:hAnsiTheme="majorHAnsi" w:cstheme="majorHAnsi"/>
          <w:sz w:val="24"/>
          <w:szCs w:val="24"/>
          <w:shd w:val="clear" w:color="auto" w:fill="FFFFFF"/>
          <w:lang w:val="en-US"/>
        </w:rPr>
        <w:t>(5), 619-626.</w:t>
      </w:r>
    </w:p>
    <w:p w14:paraId="34FF9C22" w14:textId="77777777" w:rsidR="0020002B" w:rsidRPr="00B457A2" w:rsidRDefault="0020002B" w:rsidP="0020002B">
      <w:pPr>
        <w:widowControl w:val="0"/>
        <w:autoSpaceDE w:val="0"/>
        <w:autoSpaceDN w:val="0"/>
        <w:adjustRightInd w:val="0"/>
        <w:spacing w:line="480" w:lineRule="auto"/>
        <w:ind w:left="480" w:hanging="480"/>
        <w:rPr>
          <w:rFonts w:asciiTheme="majorHAnsi" w:hAnsiTheme="majorHAnsi" w:cstheme="majorHAnsi"/>
          <w:sz w:val="24"/>
          <w:szCs w:val="24"/>
          <w:shd w:val="clear" w:color="auto" w:fill="FFFFFF"/>
          <w:lang w:val="en-US"/>
        </w:rPr>
      </w:pPr>
      <w:r w:rsidRPr="00B457A2">
        <w:rPr>
          <w:rFonts w:asciiTheme="majorHAnsi" w:hAnsiTheme="majorHAnsi" w:cstheme="majorHAnsi"/>
          <w:sz w:val="24"/>
          <w:szCs w:val="24"/>
          <w:shd w:val="clear" w:color="auto" w:fill="FFFFFF"/>
          <w:lang w:val="en-US"/>
        </w:rPr>
        <w:t xml:space="preserve">Bleidorn, W. (2015). What accounts for personality maturation in early adulthood? Current </w:t>
      </w:r>
      <w:r w:rsidRPr="00B457A2">
        <w:rPr>
          <w:rFonts w:asciiTheme="majorHAnsi" w:hAnsiTheme="majorHAnsi" w:cstheme="majorHAnsi"/>
          <w:i/>
          <w:sz w:val="24"/>
          <w:szCs w:val="24"/>
          <w:shd w:val="clear" w:color="auto" w:fill="FFFFFF"/>
          <w:lang w:val="en-US"/>
        </w:rPr>
        <w:t>Directions in Psychological Science, 24</w:t>
      </w:r>
      <w:r w:rsidRPr="00B457A2">
        <w:rPr>
          <w:rFonts w:asciiTheme="majorHAnsi" w:hAnsiTheme="majorHAnsi" w:cstheme="majorHAnsi"/>
          <w:sz w:val="24"/>
          <w:szCs w:val="24"/>
          <w:shd w:val="clear" w:color="auto" w:fill="FFFFFF"/>
          <w:lang w:val="en-US"/>
        </w:rPr>
        <w:t>(3), 245-252.</w:t>
      </w:r>
    </w:p>
    <w:p w14:paraId="4D1583D1"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lastRenderedPageBreak/>
        <w:t xml:space="preserve">Boisvert, D., Wells, J., Armstrong, T. A., &amp; Lewis, R. H. (2018). Serotonin and self-control: A genetically moderated stress sensitization effect. </w:t>
      </w:r>
      <w:r w:rsidRPr="00E60CDA">
        <w:rPr>
          <w:rFonts w:asciiTheme="majorHAnsi" w:hAnsiTheme="majorHAnsi" w:cstheme="majorHAnsi"/>
          <w:i/>
          <w:iCs/>
          <w:noProof/>
          <w:sz w:val="24"/>
          <w:szCs w:val="24"/>
          <w:lang w:val="en-US"/>
        </w:rPr>
        <w:t>Journal of Criminal Justice, 56</w:t>
      </w:r>
      <w:r w:rsidRPr="00E60CDA">
        <w:rPr>
          <w:rFonts w:asciiTheme="majorHAnsi" w:hAnsiTheme="majorHAnsi" w:cstheme="majorHAnsi"/>
          <w:noProof/>
          <w:sz w:val="24"/>
          <w:szCs w:val="24"/>
          <w:lang w:val="en-US"/>
        </w:rPr>
        <w:t>(SI), 98–106.</w:t>
      </w:r>
    </w:p>
    <w:p w14:paraId="4D6EBCFF"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Cecil, C. A. M., Barker, E. D., Jaffee, S. R., &amp; Viding, E. (2012). Association between maladaptive parenting and child self-control over time: Cross-lagged study using a monozygotic twin difference design. </w:t>
      </w:r>
      <w:r w:rsidRPr="00E60CDA">
        <w:rPr>
          <w:rFonts w:asciiTheme="majorHAnsi" w:hAnsiTheme="majorHAnsi" w:cstheme="majorHAnsi"/>
          <w:i/>
          <w:iCs/>
          <w:noProof/>
          <w:sz w:val="24"/>
          <w:szCs w:val="24"/>
          <w:lang w:val="en-US"/>
        </w:rPr>
        <w:t>British Journal of Psychiatry</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201</w:t>
      </w:r>
      <w:r w:rsidRPr="00E60CDA">
        <w:rPr>
          <w:rFonts w:asciiTheme="majorHAnsi" w:hAnsiTheme="majorHAnsi" w:cstheme="majorHAnsi"/>
          <w:noProof/>
          <w:sz w:val="24"/>
          <w:szCs w:val="24"/>
          <w:lang w:val="en-US"/>
        </w:rPr>
        <w:t xml:space="preserve">(4), 291–297. </w:t>
      </w:r>
    </w:p>
    <w:p w14:paraId="2C5554D6"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Colodro-Conde, L., Couvy-Duchesne, B., Zhu, G., Coventry, W. L., Byrne, E. M., Gordon, S., … Martin, N. G. (2018). A direct test of the diathesis–stress model for depression. </w:t>
      </w:r>
      <w:r w:rsidRPr="00E60CDA">
        <w:rPr>
          <w:rFonts w:asciiTheme="majorHAnsi" w:hAnsiTheme="majorHAnsi" w:cstheme="majorHAnsi"/>
          <w:i/>
          <w:iCs/>
          <w:noProof/>
          <w:sz w:val="24"/>
          <w:szCs w:val="24"/>
          <w:lang w:val="en-US"/>
        </w:rPr>
        <w:t>Molecular Psychiatry</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23</w:t>
      </w:r>
      <w:r w:rsidRPr="00E60CDA">
        <w:rPr>
          <w:rFonts w:asciiTheme="majorHAnsi" w:hAnsiTheme="majorHAnsi" w:cstheme="majorHAnsi"/>
          <w:noProof/>
          <w:sz w:val="24"/>
          <w:szCs w:val="24"/>
          <w:lang w:val="en-US"/>
        </w:rPr>
        <w:t xml:space="preserve">(7), 1590–1596. </w:t>
      </w:r>
    </w:p>
    <w:p w14:paraId="60A4532F"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Consortium, T. 1000 G. P. (2015). A global reference for human genetic variation. </w:t>
      </w:r>
      <w:r w:rsidRPr="00E60CDA">
        <w:rPr>
          <w:rFonts w:asciiTheme="majorHAnsi" w:hAnsiTheme="majorHAnsi" w:cstheme="majorHAnsi"/>
          <w:i/>
          <w:iCs/>
          <w:noProof/>
          <w:sz w:val="24"/>
          <w:szCs w:val="24"/>
          <w:lang w:val="en-US"/>
        </w:rPr>
        <w:t>Nature</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526</w:t>
      </w:r>
      <w:r w:rsidRPr="00E60CDA">
        <w:rPr>
          <w:rFonts w:asciiTheme="majorHAnsi" w:hAnsiTheme="majorHAnsi" w:cstheme="majorHAnsi"/>
          <w:noProof/>
          <w:sz w:val="24"/>
          <w:szCs w:val="24"/>
          <w:lang w:val="en-US"/>
        </w:rPr>
        <w:t xml:space="preserve">(7571), 68–74. </w:t>
      </w:r>
    </w:p>
    <w:p w14:paraId="1B1809D1"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rPr>
      </w:pPr>
      <w:r w:rsidRPr="00E60CDA">
        <w:rPr>
          <w:rFonts w:asciiTheme="majorHAnsi" w:hAnsiTheme="majorHAnsi" w:cstheme="majorHAnsi"/>
          <w:noProof/>
          <w:sz w:val="24"/>
          <w:szCs w:val="24"/>
          <w:lang w:val="en-US"/>
        </w:rPr>
        <w:t xml:space="preserve">Davies, P. T., &amp; Cummings, E. M. (1994). Marital conflict and child adjustment: An emotional security hypothesis. </w:t>
      </w:r>
      <w:r w:rsidRPr="00E60CDA">
        <w:rPr>
          <w:rFonts w:asciiTheme="majorHAnsi" w:hAnsiTheme="majorHAnsi" w:cstheme="majorHAnsi"/>
          <w:i/>
          <w:iCs/>
          <w:noProof/>
          <w:sz w:val="24"/>
          <w:szCs w:val="24"/>
        </w:rPr>
        <w:t>Psychological Bulletin</w:t>
      </w:r>
      <w:r w:rsidRPr="00E60CDA">
        <w:rPr>
          <w:rFonts w:asciiTheme="majorHAnsi" w:hAnsiTheme="majorHAnsi" w:cstheme="majorHAnsi"/>
          <w:noProof/>
          <w:sz w:val="24"/>
          <w:szCs w:val="24"/>
        </w:rPr>
        <w:t xml:space="preserve">, </w:t>
      </w:r>
      <w:r w:rsidRPr="00E60CDA">
        <w:rPr>
          <w:rFonts w:asciiTheme="majorHAnsi" w:hAnsiTheme="majorHAnsi" w:cstheme="majorHAnsi"/>
          <w:i/>
          <w:iCs/>
          <w:noProof/>
          <w:sz w:val="24"/>
          <w:szCs w:val="24"/>
        </w:rPr>
        <w:t>116</w:t>
      </w:r>
      <w:r w:rsidRPr="00E60CDA">
        <w:rPr>
          <w:rFonts w:asciiTheme="majorHAnsi" w:hAnsiTheme="majorHAnsi" w:cstheme="majorHAnsi"/>
          <w:noProof/>
          <w:sz w:val="24"/>
          <w:szCs w:val="24"/>
        </w:rPr>
        <w:t xml:space="preserve">(3), 387–411. </w:t>
      </w:r>
    </w:p>
    <w:p w14:paraId="043D654E"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rPr>
      </w:pPr>
      <w:r w:rsidRPr="00E60CDA">
        <w:rPr>
          <w:rFonts w:asciiTheme="majorHAnsi" w:hAnsiTheme="majorHAnsi" w:cstheme="majorHAnsi"/>
          <w:noProof/>
          <w:sz w:val="24"/>
          <w:szCs w:val="24"/>
        </w:rPr>
        <w:t xml:space="preserve">de Ridder, D. T. D., Lensvelt-Mulders, G., Finkenauer, C., Stok, F. M., &amp; Baumeister, R. F. (2012). </w:t>
      </w:r>
      <w:r w:rsidRPr="00E60CDA">
        <w:rPr>
          <w:rFonts w:asciiTheme="majorHAnsi" w:hAnsiTheme="majorHAnsi" w:cstheme="majorHAnsi"/>
          <w:noProof/>
          <w:sz w:val="24"/>
          <w:szCs w:val="24"/>
          <w:lang w:val="en-US"/>
        </w:rPr>
        <w:t xml:space="preserve">Taking stock of self-control: A meta-analysis of how trait self-control relates to a wide range of behaviors. </w:t>
      </w:r>
      <w:r w:rsidRPr="00E60CDA">
        <w:rPr>
          <w:rFonts w:asciiTheme="majorHAnsi" w:hAnsiTheme="majorHAnsi" w:cstheme="majorHAnsi"/>
          <w:i/>
          <w:iCs/>
          <w:noProof/>
          <w:sz w:val="24"/>
          <w:szCs w:val="24"/>
        </w:rPr>
        <w:t>Personality and Social Psychology Review</w:t>
      </w:r>
      <w:r w:rsidRPr="00E60CDA">
        <w:rPr>
          <w:rFonts w:asciiTheme="majorHAnsi" w:hAnsiTheme="majorHAnsi" w:cstheme="majorHAnsi"/>
          <w:noProof/>
          <w:sz w:val="24"/>
          <w:szCs w:val="24"/>
        </w:rPr>
        <w:t xml:space="preserve">, </w:t>
      </w:r>
      <w:r w:rsidRPr="00E60CDA">
        <w:rPr>
          <w:rFonts w:asciiTheme="majorHAnsi" w:hAnsiTheme="majorHAnsi" w:cstheme="majorHAnsi"/>
          <w:i/>
          <w:iCs/>
          <w:noProof/>
          <w:sz w:val="24"/>
          <w:szCs w:val="24"/>
        </w:rPr>
        <w:t>16</w:t>
      </w:r>
      <w:r w:rsidRPr="00E60CDA">
        <w:rPr>
          <w:rFonts w:asciiTheme="majorHAnsi" w:hAnsiTheme="majorHAnsi" w:cstheme="majorHAnsi"/>
          <w:noProof/>
          <w:sz w:val="24"/>
          <w:szCs w:val="24"/>
        </w:rPr>
        <w:t xml:space="preserve">(1), 76–99. </w:t>
      </w:r>
    </w:p>
    <w:p w14:paraId="426414A9"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rPr>
        <w:t xml:space="preserve">Deelen, P., Menelaou, A., van Leeuwen, E. M., Kanterakis, A., van Dijk, F., Medina-Gomez, C., … </w:t>
      </w:r>
      <w:r w:rsidRPr="00E60CDA">
        <w:rPr>
          <w:rFonts w:asciiTheme="majorHAnsi" w:hAnsiTheme="majorHAnsi" w:cstheme="majorHAnsi"/>
          <w:noProof/>
          <w:sz w:val="24"/>
          <w:szCs w:val="24"/>
          <w:lang w:val="en-US"/>
        </w:rPr>
        <w:t xml:space="preserve">Swertz, M. A. (2014). Improved imputation quality of low-frequency and rare variants in European samples using the ‘Genome of The Netherlands.’ </w:t>
      </w:r>
      <w:r w:rsidRPr="00E60CDA">
        <w:rPr>
          <w:rFonts w:asciiTheme="majorHAnsi" w:hAnsiTheme="majorHAnsi" w:cstheme="majorHAnsi"/>
          <w:i/>
          <w:iCs/>
          <w:noProof/>
          <w:sz w:val="24"/>
          <w:szCs w:val="24"/>
          <w:lang w:val="en-US"/>
        </w:rPr>
        <w:t>European Journal of Human Genetics</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22</w:t>
      </w:r>
      <w:r w:rsidRPr="00E60CDA">
        <w:rPr>
          <w:rFonts w:asciiTheme="majorHAnsi" w:hAnsiTheme="majorHAnsi" w:cstheme="majorHAnsi"/>
          <w:noProof/>
          <w:sz w:val="24"/>
          <w:szCs w:val="24"/>
          <w:lang w:val="en-US"/>
        </w:rPr>
        <w:t xml:space="preserve">(11), 1321–1326. </w:t>
      </w:r>
    </w:p>
    <w:p w14:paraId="1479817F"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Demontis, D., Walters, R. K., Martin, J., Mattheisen, M., Als, T. D., Agerbo, E., … Neale, B. M. (2019). Discovery of the first genome-wide significant risk loci for attention </w:t>
      </w:r>
      <w:r w:rsidRPr="00E60CDA">
        <w:rPr>
          <w:rFonts w:asciiTheme="majorHAnsi" w:hAnsiTheme="majorHAnsi" w:cstheme="majorHAnsi"/>
          <w:noProof/>
          <w:sz w:val="24"/>
          <w:szCs w:val="24"/>
          <w:lang w:val="en-US"/>
        </w:rPr>
        <w:lastRenderedPageBreak/>
        <w:t xml:space="preserve">deficit/hyperactivity disorder. </w:t>
      </w:r>
      <w:r w:rsidRPr="00E60CDA">
        <w:rPr>
          <w:rFonts w:asciiTheme="majorHAnsi" w:hAnsiTheme="majorHAnsi" w:cstheme="majorHAnsi"/>
          <w:i/>
          <w:iCs/>
          <w:noProof/>
          <w:sz w:val="24"/>
          <w:szCs w:val="24"/>
          <w:lang w:val="en-US"/>
        </w:rPr>
        <w:t>Nature Genetics</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51</w:t>
      </w:r>
      <w:r w:rsidRPr="00E60CDA">
        <w:rPr>
          <w:rFonts w:asciiTheme="majorHAnsi" w:hAnsiTheme="majorHAnsi" w:cstheme="majorHAnsi"/>
          <w:noProof/>
          <w:sz w:val="24"/>
          <w:szCs w:val="24"/>
          <w:lang w:val="en-US"/>
        </w:rPr>
        <w:t xml:space="preserve">(1), 63–75. </w:t>
      </w:r>
    </w:p>
    <w:p w14:paraId="1469A068"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Dick, D. M., Agrawal, A., Keller, M. C., Adkins, A., Aliev, F., Monroe, S., … Sher, K. J. (2015). Candidate gene–environment interaction research. </w:t>
      </w:r>
      <w:r w:rsidRPr="00E60CDA">
        <w:rPr>
          <w:rFonts w:asciiTheme="majorHAnsi" w:hAnsiTheme="majorHAnsi" w:cstheme="majorHAnsi"/>
          <w:i/>
          <w:iCs/>
          <w:noProof/>
          <w:sz w:val="24"/>
          <w:szCs w:val="24"/>
          <w:lang w:val="en-US"/>
        </w:rPr>
        <w:t>Perspectives on Psychological Science</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10</w:t>
      </w:r>
      <w:r w:rsidRPr="00E60CDA">
        <w:rPr>
          <w:rFonts w:asciiTheme="majorHAnsi" w:hAnsiTheme="majorHAnsi" w:cstheme="majorHAnsi"/>
          <w:noProof/>
          <w:sz w:val="24"/>
          <w:szCs w:val="24"/>
          <w:lang w:val="en-US"/>
        </w:rPr>
        <w:t xml:space="preserve">(1), 37–59. </w:t>
      </w:r>
    </w:p>
    <w:p w14:paraId="333B8342"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sz w:val="24"/>
          <w:szCs w:val="24"/>
          <w:shd w:val="clear" w:color="auto" w:fill="FFFFFF"/>
          <w:lang w:val="en-US"/>
        </w:rPr>
        <w:t>Distel, M. A., Middeldorp, C. M., Trull, T. J., Derom, C. A., Willemsen, G., &amp; Boomsma, D. I. (2011). Life events and borderline personality features: the influence of gene–environment interaction and gene–environment correlation. </w:t>
      </w:r>
      <w:r w:rsidRPr="00EA2AF0">
        <w:rPr>
          <w:rFonts w:asciiTheme="majorHAnsi" w:hAnsiTheme="majorHAnsi" w:cstheme="majorHAnsi"/>
          <w:i/>
          <w:iCs/>
          <w:sz w:val="24"/>
          <w:szCs w:val="24"/>
          <w:shd w:val="clear" w:color="auto" w:fill="FFFFFF"/>
          <w:lang w:val="en-US"/>
        </w:rPr>
        <w:t>Psychological medicine</w:t>
      </w:r>
      <w:r w:rsidRPr="00EA2AF0">
        <w:rPr>
          <w:rFonts w:asciiTheme="majorHAnsi" w:hAnsiTheme="majorHAnsi" w:cstheme="majorHAnsi"/>
          <w:sz w:val="24"/>
          <w:szCs w:val="24"/>
          <w:shd w:val="clear" w:color="auto" w:fill="FFFFFF"/>
          <w:lang w:val="en-US"/>
        </w:rPr>
        <w:t>, </w:t>
      </w:r>
      <w:r w:rsidRPr="00EA2AF0">
        <w:rPr>
          <w:rFonts w:asciiTheme="majorHAnsi" w:hAnsiTheme="majorHAnsi" w:cstheme="majorHAnsi"/>
          <w:i/>
          <w:iCs/>
          <w:sz w:val="24"/>
          <w:szCs w:val="24"/>
          <w:shd w:val="clear" w:color="auto" w:fill="FFFFFF"/>
          <w:lang w:val="en-US"/>
        </w:rPr>
        <w:t>41</w:t>
      </w:r>
      <w:r w:rsidRPr="00EA2AF0">
        <w:rPr>
          <w:rFonts w:asciiTheme="majorHAnsi" w:hAnsiTheme="majorHAnsi" w:cstheme="majorHAnsi"/>
          <w:sz w:val="24"/>
          <w:szCs w:val="24"/>
          <w:shd w:val="clear" w:color="auto" w:fill="FFFFFF"/>
          <w:lang w:val="en-US"/>
        </w:rPr>
        <w:t>(4), 849-860.</w:t>
      </w:r>
    </w:p>
    <w:p w14:paraId="0D274DC7"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Duckworth, A. L. (2011). The significance of self-control. </w:t>
      </w:r>
      <w:r w:rsidRPr="00E60CDA">
        <w:rPr>
          <w:rFonts w:asciiTheme="majorHAnsi" w:hAnsiTheme="majorHAnsi" w:cstheme="majorHAnsi"/>
          <w:i/>
          <w:iCs/>
          <w:noProof/>
          <w:sz w:val="24"/>
          <w:szCs w:val="24"/>
          <w:lang w:val="en-US"/>
        </w:rPr>
        <w:t>Proceedings of the National Academy of Sciences of the United States of America</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108</w:t>
      </w:r>
      <w:r w:rsidRPr="00E60CDA">
        <w:rPr>
          <w:rFonts w:asciiTheme="majorHAnsi" w:hAnsiTheme="majorHAnsi" w:cstheme="majorHAnsi"/>
          <w:noProof/>
          <w:sz w:val="24"/>
          <w:szCs w:val="24"/>
          <w:lang w:val="en-US"/>
        </w:rPr>
        <w:t xml:space="preserve">(7), 2639–2640. </w:t>
      </w:r>
    </w:p>
    <w:p w14:paraId="37DF73C1"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Duckworth, A. L., Kim, B., &amp; Tsukayama, E. (2012). Life stress impairs self-control in early adolescence. </w:t>
      </w:r>
      <w:r w:rsidRPr="00E60CDA">
        <w:rPr>
          <w:rFonts w:asciiTheme="majorHAnsi" w:hAnsiTheme="majorHAnsi" w:cstheme="majorHAnsi"/>
          <w:i/>
          <w:iCs/>
          <w:noProof/>
          <w:sz w:val="24"/>
          <w:szCs w:val="24"/>
          <w:lang w:val="en-US"/>
        </w:rPr>
        <w:t>Frontiers in Psychology</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3</w:t>
      </w:r>
      <w:r w:rsidRPr="00E60CDA">
        <w:rPr>
          <w:rFonts w:asciiTheme="majorHAnsi" w:hAnsiTheme="majorHAnsi" w:cstheme="majorHAnsi"/>
          <w:noProof/>
          <w:sz w:val="24"/>
          <w:szCs w:val="24"/>
          <w:lang w:val="en-US"/>
        </w:rPr>
        <w:t>, 608</w:t>
      </w:r>
    </w:p>
    <w:p w14:paraId="12689041"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sz w:val="24"/>
          <w:szCs w:val="24"/>
          <w:shd w:val="clear" w:color="auto" w:fill="FFFFFF"/>
          <w:lang w:val="en-US"/>
        </w:rPr>
        <w:t>Duckworth, A. L., &amp; Kern, M. L. (2011). A meta-analysis of the convergent validity of self-control measures. </w:t>
      </w:r>
      <w:r w:rsidRPr="00E60CDA">
        <w:rPr>
          <w:rFonts w:asciiTheme="majorHAnsi" w:hAnsiTheme="majorHAnsi" w:cstheme="majorHAnsi"/>
          <w:i/>
          <w:iCs/>
          <w:sz w:val="24"/>
          <w:szCs w:val="24"/>
          <w:shd w:val="clear" w:color="auto" w:fill="FFFFFF"/>
          <w:lang w:val="en-US"/>
        </w:rPr>
        <w:t>Journal of Research in Personality</w:t>
      </w:r>
      <w:r w:rsidRPr="00E60CDA">
        <w:rPr>
          <w:rFonts w:asciiTheme="majorHAnsi" w:hAnsiTheme="majorHAnsi" w:cstheme="majorHAnsi"/>
          <w:sz w:val="24"/>
          <w:szCs w:val="24"/>
          <w:shd w:val="clear" w:color="auto" w:fill="FFFFFF"/>
          <w:lang w:val="en-US"/>
        </w:rPr>
        <w:t>, </w:t>
      </w:r>
      <w:r w:rsidRPr="00E60CDA">
        <w:rPr>
          <w:rFonts w:asciiTheme="majorHAnsi" w:hAnsiTheme="majorHAnsi" w:cstheme="majorHAnsi"/>
          <w:i/>
          <w:iCs/>
          <w:sz w:val="24"/>
          <w:szCs w:val="24"/>
          <w:shd w:val="clear" w:color="auto" w:fill="FFFFFF"/>
          <w:lang w:val="en-US"/>
        </w:rPr>
        <w:t>45</w:t>
      </w:r>
      <w:r w:rsidRPr="00E60CDA">
        <w:rPr>
          <w:rFonts w:asciiTheme="majorHAnsi" w:hAnsiTheme="majorHAnsi" w:cstheme="majorHAnsi"/>
          <w:sz w:val="24"/>
          <w:szCs w:val="24"/>
          <w:shd w:val="clear" w:color="auto" w:fill="FFFFFF"/>
          <w:lang w:val="en-US"/>
        </w:rPr>
        <w:t>(3), 259-268.</w:t>
      </w:r>
    </w:p>
    <w:p w14:paraId="5072B89F"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Dudbridge, F. (2013). Power and predictive accuracy of polygenic risk scores. </w:t>
      </w:r>
      <w:r w:rsidRPr="00E60CDA">
        <w:rPr>
          <w:rFonts w:asciiTheme="majorHAnsi" w:hAnsiTheme="majorHAnsi" w:cstheme="majorHAnsi"/>
          <w:i/>
          <w:iCs/>
          <w:noProof/>
          <w:sz w:val="24"/>
          <w:szCs w:val="24"/>
          <w:lang w:val="en-US"/>
        </w:rPr>
        <w:t>PLoS Genetics</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9</w:t>
      </w:r>
      <w:r w:rsidRPr="00E60CDA">
        <w:rPr>
          <w:rFonts w:asciiTheme="majorHAnsi" w:hAnsiTheme="majorHAnsi" w:cstheme="majorHAnsi"/>
          <w:noProof/>
          <w:sz w:val="24"/>
          <w:szCs w:val="24"/>
          <w:lang w:val="en-US"/>
        </w:rPr>
        <w:t xml:space="preserve">(3), e1003348. </w:t>
      </w:r>
    </w:p>
    <w:p w14:paraId="5C218FA4"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sz w:val="24"/>
          <w:szCs w:val="24"/>
          <w:shd w:val="clear" w:color="auto" w:fill="FFFFFF"/>
          <w:lang w:val="en-US"/>
        </w:rPr>
        <w:t>Duncan, L. E., &amp; Keller, M. C. (2011). A critical review of the first 10 years of candidate gene-by-environment interaction research in psychiatry. </w:t>
      </w:r>
      <w:r w:rsidRPr="00E60CDA">
        <w:rPr>
          <w:rFonts w:asciiTheme="majorHAnsi" w:hAnsiTheme="majorHAnsi" w:cstheme="majorHAnsi"/>
          <w:i/>
          <w:iCs/>
          <w:sz w:val="24"/>
          <w:szCs w:val="24"/>
          <w:shd w:val="clear" w:color="auto" w:fill="FFFFFF"/>
          <w:lang w:val="en-US"/>
        </w:rPr>
        <w:t>American Journal of Psychiatry</w:t>
      </w:r>
      <w:r w:rsidRPr="00E60CDA">
        <w:rPr>
          <w:rFonts w:asciiTheme="majorHAnsi" w:hAnsiTheme="majorHAnsi" w:cstheme="majorHAnsi"/>
          <w:sz w:val="24"/>
          <w:szCs w:val="24"/>
          <w:shd w:val="clear" w:color="auto" w:fill="FFFFFF"/>
          <w:lang w:val="en-US"/>
        </w:rPr>
        <w:t>, </w:t>
      </w:r>
      <w:r w:rsidRPr="00E60CDA">
        <w:rPr>
          <w:rFonts w:asciiTheme="majorHAnsi" w:hAnsiTheme="majorHAnsi" w:cstheme="majorHAnsi"/>
          <w:i/>
          <w:iCs/>
          <w:sz w:val="24"/>
          <w:szCs w:val="24"/>
          <w:shd w:val="clear" w:color="auto" w:fill="FFFFFF"/>
          <w:lang w:val="en-US"/>
        </w:rPr>
        <w:t>168</w:t>
      </w:r>
      <w:r w:rsidRPr="00E60CDA">
        <w:rPr>
          <w:rFonts w:asciiTheme="majorHAnsi" w:hAnsiTheme="majorHAnsi" w:cstheme="majorHAnsi"/>
          <w:sz w:val="24"/>
          <w:szCs w:val="24"/>
          <w:shd w:val="clear" w:color="auto" w:fill="FFFFFF"/>
          <w:lang w:val="en-US"/>
        </w:rPr>
        <w:t>(10), 1041-1049.</w:t>
      </w:r>
    </w:p>
    <w:p w14:paraId="0E90654A"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Ellis, B. J., Bianchi, J., Griskevicius, V., &amp; Frankenhuis, W. E. (2017). Beyond risk and protective factors: An adaptation-based approach to resilience. </w:t>
      </w:r>
      <w:r w:rsidRPr="00E60CDA">
        <w:rPr>
          <w:rFonts w:asciiTheme="majorHAnsi" w:hAnsiTheme="majorHAnsi" w:cstheme="majorHAnsi"/>
          <w:i/>
          <w:iCs/>
          <w:noProof/>
          <w:sz w:val="24"/>
          <w:szCs w:val="24"/>
          <w:lang w:val="en-US"/>
        </w:rPr>
        <w:t>Perspectives on Psychological Science</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12</w:t>
      </w:r>
      <w:r w:rsidRPr="00E60CDA">
        <w:rPr>
          <w:rFonts w:asciiTheme="majorHAnsi" w:hAnsiTheme="majorHAnsi" w:cstheme="majorHAnsi"/>
          <w:noProof/>
          <w:sz w:val="24"/>
          <w:szCs w:val="24"/>
          <w:lang w:val="en-US"/>
        </w:rPr>
        <w:t>(4), 561–587.</w:t>
      </w:r>
    </w:p>
    <w:p w14:paraId="548A9223"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lastRenderedPageBreak/>
        <w:t xml:space="preserve">Fedko, I. O., Hottenga, J.-J., Medina-Gomez, C., Pappa, I., van Beijsterveldt, C. E. M., Ehli, E. A., … Boomsma, D. I. (2015). Estimation of genetic relationships between individuals across cohorts and platforms: Application to childhood height. </w:t>
      </w:r>
      <w:r w:rsidRPr="00E60CDA">
        <w:rPr>
          <w:rFonts w:asciiTheme="majorHAnsi" w:hAnsiTheme="majorHAnsi" w:cstheme="majorHAnsi"/>
          <w:i/>
          <w:iCs/>
          <w:noProof/>
          <w:sz w:val="24"/>
          <w:szCs w:val="24"/>
          <w:lang w:val="en-US"/>
        </w:rPr>
        <w:t>Behavior Genetics</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45</w:t>
      </w:r>
      <w:r w:rsidRPr="00E60CDA">
        <w:rPr>
          <w:rFonts w:asciiTheme="majorHAnsi" w:hAnsiTheme="majorHAnsi" w:cstheme="majorHAnsi"/>
          <w:noProof/>
          <w:sz w:val="24"/>
          <w:szCs w:val="24"/>
          <w:lang w:val="en-US"/>
        </w:rPr>
        <w:t xml:space="preserve">(5), 514–528. </w:t>
      </w:r>
    </w:p>
    <w:p w14:paraId="631522C7"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Finkenauer, C., Buyukcan-Tetik, A., Baumeister, R. F., Schoemaker, K., Bartels, M., &amp; Vohs, K. D. (2015). Out of control: Identifying the role of self-control strength in family violence. </w:t>
      </w:r>
      <w:r w:rsidRPr="00E60CDA">
        <w:rPr>
          <w:rFonts w:asciiTheme="majorHAnsi" w:hAnsiTheme="majorHAnsi" w:cstheme="majorHAnsi"/>
          <w:i/>
          <w:iCs/>
          <w:noProof/>
          <w:sz w:val="24"/>
          <w:szCs w:val="24"/>
          <w:lang w:val="en-US"/>
        </w:rPr>
        <w:t>Current Directions in Psychological Science</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24</w:t>
      </w:r>
      <w:r w:rsidRPr="00E60CDA">
        <w:rPr>
          <w:rFonts w:asciiTheme="majorHAnsi" w:hAnsiTheme="majorHAnsi" w:cstheme="majorHAnsi"/>
          <w:noProof/>
          <w:sz w:val="24"/>
          <w:szCs w:val="24"/>
          <w:lang w:val="en-US"/>
        </w:rPr>
        <w:t xml:space="preserve">(4), 261–266. </w:t>
      </w:r>
    </w:p>
    <w:p w14:paraId="3CE412DF"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Grotzinger, A. D., Rhemtulla, M., de Vlaming, R., Ritchie, S. J., Mallard, T. T., Hill, W. D., … Tucker-Drob, E. M. (2019). Genomic structural equation modelling provides insights into the multivariate genetic architecture of complex traits. </w:t>
      </w:r>
      <w:r w:rsidRPr="00E60CDA">
        <w:rPr>
          <w:rFonts w:asciiTheme="majorHAnsi" w:hAnsiTheme="majorHAnsi" w:cstheme="majorHAnsi"/>
          <w:i/>
          <w:iCs/>
          <w:noProof/>
          <w:sz w:val="24"/>
          <w:szCs w:val="24"/>
          <w:lang w:val="en-US"/>
        </w:rPr>
        <w:t>Nature Human Behaviour</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3</w:t>
      </w:r>
      <w:r w:rsidRPr="00E60CDA">
        <w:rPr>
          <w:rFonts w:asciiTheme="majorHAnsi" w:hAnsiTheme="majorHAnsi" w:cstheme="majorHAnsi"/>
          <w:noProof/>
          <w:sz w:val="24"/>
          <w:szCs w:val="24"/>
          <w:lang w:val="en-US"/>
        </w:rPr>
        <w:t>(5), 513–525.</w:t>
      </w:r>
    </w:p>
    <w:p w14:paraId="14B4C20A"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Harold, G. T., Leve, L. D., &amp; Sellers, R. (2017). How can genetically informed research help inform the next generation of interparental and parenting interventions? </w:t>
      </w:r>
      <w:r w:rsidRPr="00E60CDA">
        <w:rPr>
          <w:rFonts w:asciiTheme="majorHAnsi" w:hAnsiTheme="majorHAnsi" w:cstheme="majorHAnsi"/>
          <w:i/>
          <w:iCs/>
          <w:noProof/>
          <w:sz w:val="24"/>
          <w:szCs w:val="24"/>
          <w:lang w:val="en-US"/>
        </w:rPr>
        <w:t>Child Development</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88</w:t>
      </w:r>
      <w:r w:rsidRPr="00E60CDA">
        <w:rPr>
          <w:rFonts w:asciiTheme="majorHAnsi" w:hAnsiTheme="majorHAnsi" w:cstheme="majorHAnsi"/>
          <w:noProof/>
          <w:sz w:val="24"/>
          <w:szCs w:val="24"/>
          <w:lang w:val="en-US"/>
        </w:rPr>
        <w:t xml:space="preserve">(2), 446–458. </w:t>
      </w:r>
    </w:p>
    <w:p w14:paraId="7584C8FB"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Hatzimanolis, A., Avramopoulos, D., Arking, D. E., Moes, A., Bhatnagar, P., Lencz, T., … Stefanis, N. C. (2017). Stress-dependent association between polygenic risk for schizophrenia and schizotypal traits in young army recruits. </w:t>
      </w:r>
      <w:r w:rsidRPr="00E60CDA">
        <w:rPr>
          <w:rFonts w:asciiTheme="majorHAnsi" w:hAnsiTheme="majorHAnsi" w:cstheme="majorHAnsi"/>
          <w:i/>
          <w:iCs/>
          <w:noProof/>
          <w:sz w:val="24"/>
          <w:szCs w:val="24"/>
          <w:lang w:val="en-US"/>
        </w:rPr>
        <w:t>Schizophrenia Bulletin</w:t>
      </w:r>
      <w:r w:rsidRPr="00E60CDA">
        <w:rPr>
          <w:rFonts w:asciiTheme="majorHAnsi" w:hAnsiTheme="majorHAnsi" w:cstheme="majorHAnsi"/>
          <w:noProof/>
          <w:sz w:val="24"/>
          <w:szCs w:val="24"/>
          <w:lang w:val="en-US"/>
        </w:rPr>
        <w:t>, 1–10.</w:t>
      </w:r>
    </w:p>
    <w:p w14:paraId="021F2CBD"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sz w:val="24"/>
          <w:szCs w:val="24"/>
          <w:shd w:val="clear" w:color="auto" w:fill="FFFFFF"/>
          <w:lang w:val="en-US"/>
        </w:rPr>
        <w:t>Hostinar, C. E., Ross, K. M., Chen, E., &amp; Miller, G. E. (2015). Modeling the association between lifecourse socioeconomic disadvantage and systemic inflammation in healthy adults: The role of self-control. </w:t>
      </w:r>
      <w:r w:rsidRPr="00E60CDA">
        <w:rPr>
          <w:rFonts w:asciiTheme="majorHAnsi" w:hAnsiTheme="majorHAnsi" w:cstheme="majorHAnsi"/>
          <w:i/>
          <w:iCs/>
          <w:sz w:val="24"/>
          <w:szCs w:val="24"/>
          <w:shd w:val="clear" w:color="auto" w:fill="FFFFFF"/>
          <w:lang w:val="en-US"/>
        </w:rPr>
        <w:t>Health Psychology</w:t>
      </w:r>
      <w:r w:rsidRPr="00E60CDA">
        <w:rPr>
          <w:rFonts w:asciiTheme="majorHAnsi" w:hAnsiTheme="majorHAnsi" w:cstheme="majorHAnsi"/>
          <w:sz w:val="24"/>
          <w:szCs w:val="24"/>
          <w:shd w:val="clear" w:color="auto" w:fill="FFFFFF"/>
          <w:lang w:val="en-US"/>
        </w:rPr>
        <w:t>, </w:t>
      </w:r>
      <w:r w:rsidRPr="00E60CDA">
        <w:rPr>
          <w:rFonts w:asciiTheme="majorHAnsi" w:hAnsiTheme="majorHAnsi" w:cstheme="majorHAnsi"/>
          <w:i/>
          <w:iCs/>
          <w:sz w:val="24"/>
          <w:szCs w:val="24"/>
          <w:shd w:val="clear" w:color="auto" w:fill="FFFFFF"/>
          <w:lang w:val="en-US"/>
        </w:rPr>
        <w:t>34</w:t>
      </w:r>
      <w:r w:rsidRPr="00E60CDA">
        <w:rPr>
          <w:rFonts w:asciiTheme="majorHAnsi" w:hAnsiTheme="majorHAnsi" w:cstheme="majorHAnsi"/>
          <w:sz w:val="24"/>
          <w:szCs w:val="24"/>
          <w:shd w:val="clear" w:color="auto" w:fill="FFFFFF"/>
          <w:lang w:val="en-US"/>
        </w:rPr>
        <w:t>(6), 580.</w:t>
      </w:r>
    </w:p>
    <w:p w14:paraId="01040357"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Hugh-Jones, D., Verweij, K. J. H., St. Pourcain, B., &amp; Abdellaoui, A. (2016). Assortative mating on educational attainment leads to genetic spousal resemblance for polygenic scores. </w:t>
      </w:r>
      <w:r w:rsidRPr="00E60CDA">
        <w:rPr>
          <w:rFonts w:asciiTheme="majorHAnsi" w:hAnsiTheme="majorHAnsi" w:cstheme="majorHAnsi"/>
          <w:i/>
          <w:iCs/>
          <w:noProof/>
          <w:sz w:val="24"/>
          <w:szCs w:val="24"/>
          <w:lang w:val="en-US"/>
        </w:rPr>
        <w:lastRenderedPageBreak/>
        <w:t>Intelligence</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59</w:t>
      </w:r>
      <w:r w:rsidRPr="00E60CDA">
        <w:rPr>
          <w:rFonts w:asciiTheme="majorHAnsi" w:hAnsiTheme="majorHAnsi" w:cstheme="majorHAnsi"/>
          <w:noProof/>
          <w:sz w:val="24"/>
          <w:szCs w:val="24"/>
          <w:lang w:val="en-US"/>
        </w:rPr>
        <w:t xml:space="preserve">, 103–108. </w:t>
      </w:r>
    </w:p>
    <w:p w14:paraId="1200C853"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Keller, M. C. (2014). Gene × environment interaction studies have not properly controlled for potential confounders: The problem and the (simple) solution. </w:t>
      </w:r>
      <w:r w:rsidRPr="00E60CDA">
        <w:rPr>
          <w:rFonts w:asciiTheme="majorHAnsi" w:hAnsiTheme="majorHAnsi" w:cstheme="majorHAnsi"/>
          <w:i/>
          <w:iCs/>
          <w:noProof/>
          <w:sz w:val="24"/>
          <w:szCs w:val="24"/>
          <w:lang w:val="en-US"/>
        </w:rPr>
        <w:t>Biological Psychiatry</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75</w:t>
      </w:r>
      <w:r w:rsidRPr="00E60CDA">
        <w:rPr>
          <w:rFonts w:asciiTheme="majorHAnsi" w:hAnsiTheme="majorHAnsi" w:cstheme="majorHAnsi"/>
          <w:noProof/>
          <w:sz w:val="24"/>
          <w:szCs w:val="24"/>
          <w:lang w:val="en-US"/>
        </w:rPr>
        <w:t xml:space="preserve">(1), 18–24. </w:t>
      </w:r>
    </w:p>
    <w:p w14:paraId="4311C69A"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Kendler, K. S., &amp; Eaves, L. J. (1986). Models for the joint effect of genotype and environment on liability to psychiatric illness. </w:t>
      </w:r>
      <w:r w:rsidRPr="00E60CDA">
        <w:rPr>
          <w:rFonts w:asciiTheme="majorHAnsi" w:hAnsiTheme="majorHAnsi" w:cstheme="majorHAnsi"/>
          <w:i/>
          <w:iCs/>
          <w:noProof/>
          <w:sz w:val="24"/>
          <w:szCs w:val="24"/>
          <w:lang w:val="en-US"/>
        </w:rPr>
        <w:t>American Journal of Psychiatry</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143</w:t>
      </w:r>
      <w:r w:rsidRPr="00E60CDA">
        <w:rPr>
          <w:rFonts w:asciiTheme="majorHAnsi" w:hAnsiTheme="majorHAnsi" w:cstheme="majorHAnsi"/>
          <w:noProof/>
          <w:sz w:val="24"/>
          <w:szCs w:val="24"/>
          <w:lang w:val="en-US"/>
        </w:rPr>
        <w:t xml:space="preserve">(3), 279–289. </w:t>
      </w:r>
    </w:p>
    <w:p w14:paraId="1BFCE057"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sz w:val="24"/>
          <w:szCs w:val="24"/>
          <w:shd w:val="clear" w:color="auto" w:fill="FFFFFF"/>
          <w:lang w:val="en-US"/>
        </w:rPr>
        <w:t>Kochanska, G., Philibert, R. A., &amp; Barry, R. A. (2009). Interplay of genes and early mother–child relationship in the development of self‐regulation from toddler to preschool age. </w:t>
      </w:r>
      <w:r w:rsidRPr="00E60CDA">
        <w:rPr>
          <w:rFonts w:asciiTheme="majorHAnsi" w:hAnsiTheme="majorHAnsi" w:cstheme="majorHAnsi"/>
          <w:i/>
          <w:iCs/>
          <w:sz w:val="24"/>
          <w:szCs w:val="24"/>
          <w:shd w:val="clear" w:color="auto" w:fill="FFFFFF"/>
          <w:lang w:val="en-US"/>
        </w:rPr>
        <w:t>Journal of Child Psychology and Psychiatry</w:t>
      </w:r>
      <w:r w:rsidRPr="00E60CDA">
        <w:rPr>
          <w:rFonts w:asciiTheme="majorHAnsi" w:hAnsiTheme="majorHAnsi" w:cstheme="majorHAnsi"/>
          <w:sz w:val="24"/>
          <w:szCs w:val="24"/>
          <w:shd w:val="clear" w:color="auto" w:fill="FFFFFF"/>
          <w:lang w:val="en-US"/>
        </w:rPr>
        <w:t>, </w:t>
      </w:r>
      <w:r w:rsidRPr="00E60CDA">
        <w:rPr>
          <w:rFonts w:asciiTheme="majorHAnsi" w:hAnsiTheme="majorHAnsi" w:cstheme="majorHAnsi"/>
          <w:i/>
          <w:iCs/>
          <w:sz w:val="24"/>
          <w:szCs w:val="24"/>
          <w:shd w:val="clear" w:color="auto" w:fill="FFFFFF"/>
          <w:lang w:val="en-US"/>
        </w:rPr>
        <w:t>50</w:t>
      </w:r>
      <w:r w:rsidRPr="00E60CDA">
        <w:rPr>
          <w:rFonts w:asciiTheme="majorHAnsi" w:hAnsiTheme="majorHAnsi" w:cstheme="majorHAnsi"/>
          <w:sz w:val="24"/>
          <w:szCs w:val="24"/>
          <w:shd w:val="clear" w:color="auto" w:fill="FFFFFF"/>
          <w:lang w:val="en-US"/>
        </w:rPr>
        <w:t>(11), 1331-1338.</w:t>
      </w:r>
    </w:p>
    <w:p w14:paraId="4F371FDA"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Liu, E. Y., Li, M., Wang, W., &amp; Li, Y. (2013). MaCH-Admix: Genotype imputation for admixed populations. </w:t>
      </w:r>
      <w:r w:rsidRPr="00E60CDA">
        <w:rPr>
          <w:rFonts w:asciiTheme="majorHAnsi" w:hAnsiTheme="majorHAnsi" w:cstheme="majorHAnsi"/>
          <w:i/>
          <w:iCs/>
          <w:noProof/>
          <w:sz w:val="24"/>
          <w:szCs w:val="24"/>
          <w:lang w:val="en-US"/>
        </w:rPr>
        <w:t>Genetic Epidemiology</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37</w:t>
      </w:r>
      <w:r w:rsidRPr="00E60CDA">
        <w:rPr>
          <w:rFonts w:asciiTheme="majorHAnsi" w:hAnsiTheme="majorHAnsi" w:cstheme="majorHAnsi"/>
          <w:noProof/>
          <w:sz w:val="24"/>
          <w:szCs w:val="24"/>
          <w:lang w:val="en-US"/>
        </w:rPr>
        <w:t>(1), 25–37.</w:t>
      </w:r>
    </w:p>
    <w:p w14:paraId="10CDDB85"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Manichaikul, A., Mychaleckyj, J. C., Rich, S. S., Daly, K., Sale, M., &amp; Chen, W.-M. (2010). Robust relationship inference in genome-wide association studies. </w:t>
      </w:r>
      <w:r w:rsidRPr="00E60CDA">
        <w:rPr>
          <w:rFonts w:asciiTheme="majorHAnsi" w:hAnsiTheme="majorHAnsi" w:cstheme="majorHAnsi"/>
          <w:i/>
          <w:iCs/>
          <w:noProof/>
          <w:sz w:val="24"/>
          <w:szCs w:val="24"/>
          <w:lang w:val="en-US"/>
        </w:rPr>
        <w:t>Bioinformatics</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26</w:t>
      </w:r>
      <w:r w:rsidRPr="00E60CDA">
        <w:rPr>
          <w:rFonts w:asciiTheme="majorHAnsi" w:hAnsiTheme="majorHAnsi" w:cstheme="majorHAnsi"/>
          <w:noProof/>
          <w:sz w:val="24"/>
          <w:szCs w:val="24"/>
          <w:lang w:val="en-US"/>
        </w:rPr>
        <w:t>(22), 2867–2873.</w:t>
      </w:r>
    </w:p>
    <w:p w14:paraId="446B3151" w14:textId="77777777" w:rsidR="0020002B" w:rsidRPr="00EA2AF0" w:rsidRDefault="0020002B" w:rsidP="0020002B">
      <w:pPr>
        <w:widowControl w:val="0"/>
        <w:autoSpaceDE w:val="0"/>
        <w:autoSpaceDN w:val="0"/>
        <w:adjustRightInd w:val="0"/>
        <w:spacing w:line="480" w:lineRule="auto"/>
        <w:ind w:left="480" w:hanging="480"/>
        <w:rPr>
          <w:rFonts w:asciiTheme="majorHAnsi" w:hAnsiTheme="majorHAnsi" w:cstheme="majorHAnsi"/>
          <w:sz w:val="24"/>
          <w:szCs w:val="24"/>
          <w:shd w:val="clear" w:color="auto" w:fill="FFFFFF"/>
          <w:lang w:val="en-US"/>
        </w:rPr>
      </w:pPr>
      <w:r w:rsidRPr="00E60CDA">
        <w:rPr>
          <w:rFonts w:asciiTheme="majorHAnsi" w:hAnsiTheme="majorHAnsi" w:cstheme="majorHAnsi"/>
          <w:sz w:val="24"/>
          <w:szCs w:val="24"/>
          <w:shd w:val="clear" w:color="auto" w:fill="FFFFFF"/>
          <w:lang w:val="en-US"/>
        </w:rPr>
        <w:t>Middeldorp, C. M., Cath, D. C., Beem, A. L., Willemsen, G., &amp; Boomsma, D. I. (2008). Life events, anxious depression and personality: a prospective and genetic study. </w:t>
      </w:r>
      <w:r w:rsidRPr="00EA2AF0">
        <w:rPr>
          <w:rFonts w:asciiTheme="majorHAnsi" w:hAnsiTheme="majorHAnsi" w:cstheme="majorHAnsi"/>
          <w:i/>
          <w:iCs/>
          <w:sz w:val="24"/>
          <w:szCs w:val="24"/>
          <w:shd w:val="clear" w:color="auto" w:fill="FFFFFF"/>
          <w:lang w:val="en-US"/>
        </w:rPr>
        <w:t>Psychological medicine</w:t>
      </w:r>
      <w:r w:rsidRPr="00EA2AF0">
        <w:rPr>
          <w:rFonts w:asciiTheme="majorHAnsi" w:hAnsiTheme="majorHAnsi" w:cstheme="majorHAnsi"/>
          <w:sz w:val="24"/>
          <w:szCs w:val="24"/>
          <w:shd w:val="clear" w:color="auto" w:fill="FFFFFF"/>
          <w:lang w:val="en-US"/>
        </w:rPr>
        <w:t>, </w:t>
      </w:r>
      <w:r w:rsidRPr="00EA2AF0">
        <w:rPr>
          <w:rFonts w:asciiTheme="majorHAnsi" w:hAnsiTheme="majorHAnsi" w:cstheme="majorHAnsi"/>
          <w:i/>
          <w:iCs/>
          <w:sz w:val="24"/>
          <w:szCs w:val="24"/>
          <w:shd w:val="clear" w:color="auto" w:fill="FFFFFF"/>
          <w:lang w:val="en-US"/>
        </w:rPr>
        <w:t>38</w:t>
      </w:r>
      <w:r w:rsidRPr="00EA2AF0">
        <w:rPr>
          <w:rFonts w:asciiTheme="majorHAnsi" w:hAnsiTheme="majorHAnsi" w:cstheme="majorHAnsi"/>
          <w:sz w:val="24"/>
          <w:szCs w:val="24"/>
          <w:shd w:val="clear" w:color="auto" w:fill="FFFFFF"/>
          <w:lang w:val="en-US"/>
        </w:rPr>
        <w:t>(11), 1557-1565.</w:t>
      </w:r>
    </w:p>
    <w:p w14:paraId="5F4FCC83"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sz w:val="24"/>
          <w:szCs w:val="24"/>
          <w:shd w:val="clear" w:color="auto" w:fill="FFFFFF"/>
          <w:lang w:val="en-US"/>
        </w:rPr>
      </w:pPr>
      <w:r w:rsidRPr="00E60CDA">
        <w:rPr>
          <w:rFonts w:asciiTheme="majorHAnsi" w:hAnsiTheme="majorHAnsi" w:cstheme="majorHAnsi"/>
          <w:sz w:val="24"/>
          <w:szCs w:val="24"/>
          <w:shd w:val="clear" w:color="auto" w:fill="FFFFFF"/>
          <w:lang w:val="en-US"/>
        </w:rPr>
        <w:t>Middeldorp, C. M., Cath, D. C., Vink, J. M., &amp; Boomsma, D. I. (2005). Twin and genetic effects on life events. </w:t>
      </w:r>
      <w:r w:rsidRPr="00E60CDA">
        <w:rPr>
          <w:rFonts w:asciiTheme="majorHAnsi" w:hAnsiTheme="majorHAnsi" w:cstheme="majorHAnsi"/>
          <w:i/>
          <w:iCs/>
          <w:sz w:val="24"/>
          <w:szCs w:val="24"/>
          <w:shd w:val="clear" w:color="auto" w:fill="FFFFFF"/>
          <w:lang w:val="en-US"/>
        </w:rPr>
        <w:t>Twin Research and Human Genetics</w:t>
      </w:r>
      <w:r w:rsidRPr="00E60CDA">
        <w:rPr>
          <w:rFonts w:asciiTheme="majorHAnsi" w:hAnsiTheme="majorHAnsi" w:cstheme="majorHAnsi"/>
          <w:sz w:val="24"/>
          <w:szCs w:val="24"/>
          <w:shd w:val="clear" w:color="auto" w:fill="FFFFFF"/>
          <w:lang w:val="en-US"/>
        </w:rPr>
        <w:t>, </w:t>
      </w:r>
      <w:r w:rsidRPr="00E60CDA">
        <w:rPr>
          <w:rFonts w:asciiTheme="majorHAnsi" w:hAnsiTheme="majorHAnsi" w:cstheme="majorHAnsi"/>
          <w:i/>
          <w:iCs/>
          <w:sz w:val="24"/>
          <w:szCs w:val="24"/>
          <w:shd w:val="clear" w:color="auto" w:fill="FFFFFF"/>
          <w:lang w:val="en-US"/>
        </w:rPr>
        <w:t>8</w:t>
      </w:r>
      <w:r w:rsidRPr="00E60CDA">
        <w:rPr>
          <w:rFonts w:asciiTheme="majorHAnsi" w:hAnsiTheme="majorHAnsi" w:cstheme="majorHAnsi"/>
          <w:sz w:val="24"/>
          <w:szCs w:val="24"/>
          <w:shd w:val="clear" w:color="auto" w:fill="FFFFFF"/>
          <w:lang w:val="en-US"/>
        </w:rPr>
        <w:t>(3), 224-231.</w:t>
      </w:r>
    </w:p>
    <w:p w14:paraId="1365A080"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A2AF0">
        <w:rPr>
          <w:rFonts w:asciiTheme="majorHAnsi" w:hAnsiTheme="majorHAnsi" w:cstheme="majorHAnsi"/>
          <w:noProof/>
          <w:sz w:val="24"/>
          <w:szCs w:val="24"/>
          <w:lang w:val="en-US"/>
        </w:rPr>
        <w:t xml:space="preserve">Middeldorp, C. M., de Geus, E. J. C., Willemsen, G., Hottenga, J.-J., Slagboom, P. E., &amp; Boomsma, D. I. (2010). </w:t>
      </w:r>
      <w:r w:rsidRPr="00E60CDA">
        <w:rPr>
          <w:rFonts w:asciiTheme="majorHAnsi" w:hAnsiTheme="majorHAnsi" w:cstheme="majorHAnsi"/>
          <w:noProof/>
          <w:sz w:val="24"/>
          <w:szCs w:val="24"/>
          <w:lang w:val="en-US"/>
        </w:rPr>
        <w:t xml:space="preserve">The serotonin transporter gene length polymorphism (5-HTTLPR) and life events: No evidence for an interaction effect on neuroticism and anxious </w:t>
      </w:r>
      <w:r w:rsidRPr="00E60CDA">
        <w:rPr>
          <w:rFonts w:asciiTheme="majorHAnsi" w:hAnsiTheme="majorHAnsi" w:cstheme="majorHAnsi"/>
          <w:noProof/>
          <w:sz w:val="24"/>
          <w:szCs w:val="24"/>
          <w:lang w:val="en-US"/>
        </w:rPr>
        <w:lastRenderedPageBreak/>
        <w:t xml:space="preserve">depressive symptoms. </w:t>
      </w:r>
      <w:r w:rsidRPr="00E60CDA">
        <w:rPr>
          <w:rFonts w:asciiTheme="majorHAnsi" w:hAnsiTheme="majorHAnsi" w:cstheme="majorHAnsi"/>
          <w:i/>
          <w:iCs/>
          <w:noProof/>
          <w:sz w:val="24"/>
          <w:szCs w:val="24"/>
          <w:lang w:val="en-US"/>
        </w:rPr>
        <w:t>Twin Research and Human Genetics</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13</w:t>
      </w:r>
      <w:r w:rsidRPr="00E60CDA">
        <w:rPr>
          <w:rFonts w:asciiTheme="majorHAnsi" w:hAnsiTheme="majorHAnsi" w:cstheme="majorHAnsi"/>
          <w:noProof/>
          <w:sz w:val="24"/>
          <w:szCs w:val="24"/>
          <w:lang w:val="en-US"/>
        </w:rPr>
        <w:t xml:space="preserve">(6), 544–549. </w:t>
      </w:r>
    </w:p>
    <w:p w14:paraId="3CCAF8FC"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Moffitt, T. E., Arseneault, L., Belsky, D., Dickson, N., Hancox, R. J., Harrington, H., … Caspi, A. (2011). A gradient of childhood self-control predicts health, wealth, and public safety. </w:t>
      </w:r>
      <w:r w:rsidRPr="00E60CDA">
        <w:rPr>
          <w:rFonts w:asciiTheme="majorHAnsi" w:hAnsiTheme="majorHAnsi" w:cstheme="majorHAnsi"/>
          <w:i/>
          <w:iCs/>
          <w:noProof/>
          <w:sz w:val="24"/>
          <w:szCs w:val="24"/>
          <w:lang w:val="en-US"/>
        </w:rPr>
        <w:t>Proceedings of the National Academy of Sciences</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108</w:t>
      </w:r>
      <w:r w:rsidRPr="00E60CDA">
        <w:rPr>
          <w:rFonts w:asciiTheme="majorHAnsi" w:hAnsiTheme="majorHAnsi" w:cstheme="majorHAnsi"/>
          <w:noProof/>
          <w:sz w:val="24"/>
          <w:szCs w:val="24"/>
          <w:lang w:val="en-US"/>
        </w:rPr>
        <w:t xml:space="preserve">(7), 2693–2698. </w:t>
      </w:r>
    </w:p>
    <w:p w14:paraId="51BEB503"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Monroe, S. M., &amp; Simons, A. D. (1991). Diathesis-stress theories in the context of life stress research: implications for the depressive disorders. </w:t>
      </w:r>
      <w:r w:rsidRPr="00E60CDA">
        <w:rPr>
          <w:rFonts w:asciiTheme="majorHAnsi" w:hAnsiTheme="majorHAnsi" w:cstheme="majorHAnsi"/>
          <w:i/>
          <w:iCs/>
          <w:noProof/>
          <w:sz w:val="24"/>
          <w:szCs w:val="24"/>
          <w:lang w:val="en-US"/>
        </w:rPr>
        <w:t>Psychological Bulletin</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110</w:t>
      </w:r>
      <w:r w:rsidRPr="00E60CDA">
        <w:rPr>
          <w:rFonts w:asciiTheme="majorHAnsi" w:hAnsiTheme="majorHAnsi" w:cstheme="majorHAnsi"/>
          <w:noProof/>
          <w:sz w:val="24"/>
          <w:szCs w:val="24"/>
          <w:lang w:val="en-US"/>
        </w:rPr>
        <w:t xml:space="preserve">(3), 406–425. </w:t>
      </w:r>
    </w:p>
    <w:p w14:paraId="1C330949"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Nigg, J. T. (2017). Annual Research Review: On the relations among self-regulation, self-control, executive functioning, effortful control, cognitive control, impulsivity, risk-taking, and inhibition for developmental psychopathology. </w:t>
      </w:r>
      <w:r w:rsidRPr="00E60CDA">
        <w:rPr>
          <w:rFonts w:asciiTheme="majorHAnsi" w:hAnsiTheme="majorHAnsi" w:cstheme="majorHAnsi"/>
          <w:i/>
          <w:iCs/>
          <w:noProof/>
          <w:sz w:val="24"/>
          <w:szCs w:val="24"/>
          <w:lang w:val="en-US"/>
        </w:rPr>
        <w:t>Journal of Child Psychology and Psychiatry</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58</w:t>
      </w:r>
      <w:r w:rsidRPr="00E60CDA">
        <w:rPr>
          <w:rFonts w:asciiTheme="majorHAnsi" w:hAnsiTheme="majorHAnsi" w:cstheme="majorHAnsi"/>
          <w:noProof/>
          <w:sz w:val="24"/>
          <w:szCs w:val="24"/>
          <w:lang w:val="en-US"/>
        </w:rPr>
        <w:t xml:space="preserve">(4), 361–383. </w:t>
      </w:r>
    </w:p>
    <w:p w14:paraId="6CF7FD26"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Peyrot, W. J., Middeldorp, C. M., Jansen, R., Smit, J. H., de Geus, E. J. C., Hottenga, J.-J., … Penninx, B. W. J. H. (2013). Strong effects of environmental factors on prevalence and course of major depressive disorder are not moderated by 5-HTTLPR polymorphisms in a large Dutch sample. </w:t>
      </w:r>
      <w:r w:rsidRPr="00E60CDA">
        <w:rPr>
          <w:rFonts w:asciiTheme="majorHAnsi" w:hAnsiTheme="majorHAnsi" w:cstheme="majorHAnsi"/>
          <w:i/>
          <w:iCs/>
          <w:noProof/>
          <w:sz w:val="24"/>
          <w:szCs w:val="24"/>
          <w:lang w:val="en-US"/>
        </w:rPr>
        <w:t>Journal of Affective Disorders</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146</w:t>
      </w:r>
      <w:r w:rsidRPr="00E60CDA">
        <w:rPr>
          <w:rFonts w:asciiTheme="majorHAnsi" w:hAnsiTheme="majorHAnsi" w:cstheme="majorHAnsi"/>
          <w:noProof/>
          <w:sz w:val="24"/>
          <w:szCs w:val="24"/>
          <w:lang w:val="en-US"/>
        </w:rPr>
        <w:t xml:space="preserve">(1), 91–99. </w:t>
      </w:r>
    </w:p>
    <w:p w14:paraId="00B78D86"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Peyrot, W. J., Milaneschi, Y., Abdellaoui, A., Sullivan, P. F., Hottenga, J. J., Boomsma, D. I., &amp; Penninx, B. W. J. H. (2014). Effect of polygenic risk scores on depression in childhood trauma. </w:t>
      </w:r>
      <w:r w:rsidRPr="00E60CDA">
        <w:rPr>
          <w:rFonts w:asciiTheme="majorHAnsi" w:hAnsiTheme="majorHAnsi" w:cstheme="majorHAnsi"/>
          <w:i/>
          <w:iCs/>
          <w:noProof/>
          <w:sz w:val="24"/>
          <w:szCs w:val="24"/>
          <w:lang w:val="en-US"/>
        </w:rPr>
        <w:t>British Journal of Psychiatry</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205</w:t>
      </w:r>
      <w:r w:rsidRPr="00E60CDA">
        <w:rPr>
          <w:rFonts w:asciiTheme="majorHAnsi" w:hAnsiTheme="majorHAnsi" w:cstheme="majorHAnsi"/>
          <w:noProof/>
          <w:sz w:val="24"/>
          <w:szCs w:val="24"/>
          <w:lang w:val="en-US"/>
        </w:rPr>
        <w:t xml:space="preserve">(02), 113–119. </w:t>
      </w:r>
    </w:p>
    <w:p w14:paraId="1CBD04C1" w14:textId="77777777" w:rsidR="0020002B" w:rsidRPr="00EA2AF0"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Peyrot, W. J., Van der Auwera, S., Milaneschi, Y., Dolan, C. V, Madden, P. A. F., Sullivan, P. F., … Penninx, B. W. J. H. (2017). Does childhood trauma moderate polygenic risk for depression? A Meta-analysis of 5765 subjects from the psychiatric genomics consortium. </w:t>
      </w:r>
      <w:r w:rsidRPr="00EA2AF0">
        <w:rPr>
          <w:rFonts w:asciiTheme="majorHAnsi" w:hAnsiTheme="majorHAnsi" w:cstheme="majorHAnsi"/>
          <w:i/>
          <w:iCs/>
          <w:noProof/>
          <w:sz w:val="24"/>
          <w:szCs w:val="24"/>
          <w:lang w:val="en-US"/>
        </w:rPr>
        <w:t>Biological Psychiatry</w:t>
      </w:r>
      <w:r w:rsidRPr="00EA2AF0">
        <w:rPr>
          <w:rFonts w:asciiTheme="majorHAnsi" w:hAnsiTheme="majorHAnsi" w:cstheme="majorHAnsi"/>
          <w:noProof/>
          <w:sz w:val="24"/>
          <w:szCs w:val="24"/>
          <w:lang w:val="en-US"/>
        </w:rPr>
        <w:t xml:space="preserve">, 1–10. </w:t>
      </w:r>
    </w:p>
    <w:p w14:paraId="1A6C2700"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lastRenderedPageBreak/>
        <w:t xml:space="preserve">Plomin, R., DeFries, J. C., &amp; Loehlin, J. C. (1977). Genotype-environment interaction and correlation in the analysis of human behavior. </w:t>
      </w:r>
      <w:r w:rsidRPr="00E60CDA">
        <w:rPr>
          <w:rFonts w:asciiTheme="majorHAnsi" w:hAnsiTheme="majorHAnsi" w:cstheme="majorHAnsi"/>
          <w:i/>
          <w:iCs/>
          <w:noProof/>
          <w:sz w:val="24"/>
          <w:szCs w:val="24"/>
          <w:lang w:val="en-US"/>
        </w:rPr>
        <w:t>Psychological Bulletin</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84</w:t>
      </w:r>
      <w:r w:rsidRPr="00E60CDA">
        <w:rPr>
          <w:rFonts w:asciiTheme="majorHAnsi" w:hAnsiTheme="majorHAnsi" w:cstheme="majorHAnsi"/>
          <w:noProof/>
          <w:sz w:val="24"/>
          <w:szCs w:val="24"/>
          <w:lang w:val="en-US"/>
        </w:rPr>
        <w:t xml:space="preserve">(2), 309–322. </w:t>
      </w:r>
    </w:p>
    <w:p w14:paraId="4220E389" w14:textId="77777777" w:rsidR="0020002B"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Price, A. L., Patterson, N. J., Plenge, R. M., Weinblatt, M. E., Shadick, N. A., &amp; Reich, D. (2006). Principal components analysis corrects for stratification in genome-wide association studies. </w:t>
      </w:r>
      <w:r w:rsidRPr="00E60CDA">
        <w:rPr>
          <w:rFonts w:asciiTheme="majorHAnsi" w:hAnsiTheme="majorHAnsi" w:cstheme="majorHAnsi"/>
          <w:i/>
          <w:iCs/>
          <w:noProof/>
          <w:sz w:val="24"/>
          <w:szCs w:val="24"/>
          <w:lang w:val="en-US"/>
        </w:rPr>
        <w:t>Nature Genetics</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38</w:t>
      </w:r>
      <w:r w:rsidRPr="00E60CDA">
        <w:rPr>
          <w:rFonts w:asciiTheme="majorHAnsi" w:hAnsiTheme="majorHAnsi" w:cstheme="majorHAnsi"/>
          <w:noProof/>
          <w:sz w:val="24"/>
          <w:szCs w:val="24"/>
          <w:lang w:val="en-US"/>
        </w:rPr>
        <w:t xml:space="preserve">(8), 904–909. </w:t>
      </w:r>
    </w:p>
    <w:p w14:paraId="02C5C744" w14:textId="77777777" w:rsidR="0020002B" w:rsidRPr="00B457A2"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B457A2">
        <w:rPr>
          <w:rFonts w:asciiTheme="majorHAnsi" w:hAnsiTheme="majorHAnsi" w:cstheme="majorHAnsi"/>
          <w:noProof/>
          <w:sz w:val="24"/>
          <w:szCs w:val="24"/>
          <w:lang w:val="en-US"/>
        </w:rPr>
        <w:t>Pronk, T. M., Buyukcan-Tetik, A., Iliás, M. M., &amp; Finkenauer, C. (2019). Marriage as a training ground: Examining change in self-control and forgiveness over the first 4 years of marriage.</w:t>
      </w:r>
      <w:r w:rsidRPr="00B457A2">
        <w:rPr>
          <w:rFonts w:asciiTheme="majorHAnsi" w:hAnsiTheme="majorHAnsi" w:cstheme="majorHAnsi"/>
          <w:i/>
          <w:noProof/>
          <w:sz w:val="24"/>
          <w:szCs w:val="24"/>
          <w:lang w:val="en-US"/>
        </w:rPr>
        <w:t> </w:t>
      </w:r>
      <w:r>
        <w:rPr>
          <w:rFonts w:asciiTheme="majorHAnsi" w:hAnsiTheme="majorHAnsi" w:cstheme="majorHAnsi"/>
          <w:i/>
          <w:noProof/>
          <w:sz w:val="24"/>
          <w:szCs w:val="24"/>
          <w:lang w:val="en-US"/>
        </w:rPr>
        <w:t>Journal of Social and Personal R</w:t>
      </w:r>
      <w:r w:rsidRPr="00B457A2">
        <w:rPr>
          <w:rFonts w:asciiTheme="majorHAnsi" w:hAnsiTheme="majorHAnsi" w:cstheme="majorHAnsi"/>
          <w:i/>
          <w:noProof/>
          <w:sz w:val="24"/>
          <w:szCs w:val="24"/>
          <w:lang w:val="en-US"/>
        </w:rPr>
        <w:t>elationships, 36</w:t>
      </w:r>
      <w:r w:rsidRPr="00B457A2">
        <w:rPr>
          <w:rFonts w:asciiTheme="majorHAnsi" w:hAnsiTheme="majorHAnsi" w:cstheme="majorHAnsi"/>
          <w:noProof/>
          <w:sz w:val="24"/>
          <w:szCs w:val="24"/>
          <w:lang w:val="en-US"/>
        </w:rPr>
        <w:t>(1), 109-130.</w:t>
      </w:r>
    </w:p>
    <w:p w14:paraId="787A383E"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Purcell, S., Neale, B., Todd-Brown, K., Thomas, L., Ferreira, M. A. R., Bender, D., … Sham, P. C. (2007). PLINK: A tool set for whole-genome association and population-based linkage analyses. </w:t>
      </w:r>
      <w:r w:rsidRPr="00E60CDA">
        <w:rPr>
          <w:rFonts w:asciiTheme="majorHAnsi" w:hAnsiTheme="majorHAnsi" w:cstheme="majorHAnsi"/>
          <w:i/>
          <w:iCs/>
          <w:noProof/>
          <w:sz w:val="24"/>
          <w:szCs w:val="24"/>
          <w:lang w:val="en-US"/>
        </w:rPr>
        <w:t>The American Journal of Human Genetics</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81</w:t>
      </w:r>
      <w:r w:rsidRPr="00E60CDA">
        <w:rPr>
          <w:rFonts w:asciiTheme="majorHAnsi" w:hAnsiTheme="majorHAnsi" w:cstheme="majorHAnsi"/>
          <w:noProof/>
          <w:sz w:val="24"/>
          <w:szCs w:val="24"/>
          <w:lang w:val="en-US"/>
        </w:rPr>
        <w:t xml:space="preserve">(3), 559–575. </w:t>
      </w:r>
    </w:p>
    <w:p w14:paraId="03CC99BE"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Rebollo, I., de Moor, M. H. M., Dolan, C. V., &amp; Boomsma, D. I. (2012). Phenotypic factor analysis of family data: Correction of the bias due to dependency. </w:t>
      </w:r>
      <w:r w:rsidRPr="00E60CDA">
        <w:rPr>
          <w:rFonts w:asciiTheme="majorHAnsi" w:hAnsiTheme="majorHAnsi" w:cstheme="majorHAnsi"/>
          <w:i/>
          <w:iCs/>
          <w:noProof/>
          <w:sz w:val="24"/>
          <w:szCs w:val="24"/>
          <w:lang w:val="en-US"/>
        </w:rPr>
        <w:t>Twin Research and Human Genetics</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9</w:t>
      </w:r>
      <w:r w:rsidRPr="00E60CDA">
        <w:rPr>
          <w:rFonts w:asciiTheme="majorHAnsi" w:hAnsiTheme="majorHAnsi" w:cstheme="majorHAnsi"/>
          <w:noProof/>
          <w:sz w:val="24"/>
          <w:szCs w:val="24"/>
          <w:lang w:val="en-US"/>
        </w:rPr>
        <w:t xml:space="preserve">(03), 367–376. </w:t>
      </w:r>
    </w:p>
    <w:p w14:paraId="5B32B1C3"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Shrout, P. E., &amp; Rodgers, J. L. (2018). Psychology, science, and knowledge construction: Broadening perspectives from the replication crisis. </w:t>
      </w:r>
      <w:r w:rsidRPr="00E60CDA">
        <w:rPr>
          <w:rFonts w:asciiTheme="majorHAnsi" w:hAnsiTheme="majorHAnsi" w:cstheme="majorHAnsi"/>
          <w:i/>
          <w:iCs/>
          <w:noProof/>
          <w:sz w:val="24"/>
          <w:szCs w:val="24"/>
          <w:lang w:val="en-US"/>
        </w:rPr>
        <w:t>Annual Review of Psychology</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69</w:t>
      </w:r>
      <w:r w:rsidRPr="00E60CDA">
        <w:rPr>
          <w:rFonts w:asciiTheme="majorHAnsi" w:hAnsiTheme="majorHAnsi" w:cstheme="majorHAnsi"/>
          <w:noProof/>
          <w:sz w:val="24"/>
          <w:szCs w:val="24"/>
          <w:lang w:val="en-US"/>
        </w:rPr>
        <w:t>(1), 487–510.</w:t>
      </w:r>
    </w:p>
    <w:p w14:paraId="42DA7855"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sz w:val="24"/>
          <w:szCs w:val="24"/>
          <w:shd w:val="clear" w:color="auto" w:fill="FFFFFF"/>
          <w:lang w:val="en-US"/>
        </w:rPr>
        <w:t>Turner, M. G., Piquero, A. R., &amp; Pratt, T. C. (2005). The school context as a source of self-control. </w:t>
      </w:r>
      <w:r w:rsidRPr="00E60CDA">
        <w:rPr>
          <w:rFonts w:asciiTheme="majorHAnsi" w:hAnsiTheme="majorHAnsi" w:cstheme="majorHAnsi"/>
          <w:i/>
          <w:iCs/>
          <w:sz w:val="24"/>
          <w:szCs w:val="24"/>
          <w:shd w:val="clear" w:color="auto" w:fill="FFFFFF"/>
          <w:lang w:val="en-US"/>
        </w:rPr>
        <w:t>Journal of Criminal Justice</w:t>
      </w:r>
      <w:r w:rsidRPr="00E60CDA">
        <w:rPr>
          <w:rFonts w:asciiTheme="majorHAnsi" w:hAnsiTheme="majorHAnsi" w:cstheme="majorHAnsi"/>
          <w:sz w:val="24"/>
          <w:szCs w:val="24"/>
          <w:shd w:val="clear" w:color="auto" w:fill="FFFFFF"/>
          <w:lang w:val="en-US"/>
        </w:rPr>
        <w:t>, </w:t>
      </w:r>
      <w:r w:rsidRPr="00E60CDA">
        <w:rPr>
          <w:rFonts w:asciiTheme="majorHAnsi" w:hAnsiTheme="majorHAnsi" w:cstheme="majorHAnsi"/>
          <w:i/>
          <w:iCs/>
          <w:sz w:val="24"/>
          <w:szCs w:val="24"/>
          <w:shd w:val="clear" w:color="auto" w:fill="FFFFFF"/>
          <w:lang w:val="en-US"/>
        </w:rPr>
        <w:t>33</w:t>
      </w:r>
      <w:r w:rsidRPr="00E60CDA">
        <w:rPr>
          <w:rFonts w:asciiTheme="majorHAnsi" w:hAnsiTheme="majorHAnsi" w:cstheme="majorHAnsi"/>
          <w:sz w:val="24"/>
          <w:szCs w:val="24"/>
          <w:shd w:val="clear" w:color="auto" w:fill="FFFFFF"/>
          <w:lang w:val="en-US"/>
        </w:rPr>
        <w:t>(4), 327-339.</w:t>
      </w:r>
    </w:p>
    <w:p w14:paraId="52471D55"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Vazsonyi, A. T., Mikuska, J., &amp; Kelley, E. L. (2017). It’s time: A meta-analysis on the self-control-deviance link. </w:t>
      </w:r>
      <w:r w:rsidRPr="00E60CDA">
        <w:rPr>
          <w:rFonts w:asciiTheme="majorHAnsi" w:hAnsiTheme="majorHAnsi" w:cstheme="majorHAnsi"/>
          <w:i/>
          <w:iCs/>
          <w:noProof/>
          <w:sz w:val="24"/>
          <w:szCs w:val="24"/>
          <w:lang w:val="en-US"/>
        </w:rPr>
        <w:t>Journal of Criminal Justice</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48</w:t>
      </w:r>
      <w:r w:rsidRPr="00E60CDA">
        <w:rPr>
          <w:rFonts w:asciiTheme="majorHAnsi" w:hAnsiTheme="majorHAnsi" w:cstheme="majorHAnsi"/>
          <w:noProof/>
          <w:sz w:val="24"/>
          <w:szCs w:val="24"/>
          <w:lang w:val="en-US"/>
        </w:rPr>
        <w:t xml:space="preserve">, 48–63. </w:t>
      </w:r>
    </w:p>
    <w:p w14:paraId="0D3D3886"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Vilhjálmsson, B. J., Yang, J., Finucane, H. K., Gusev, A., Lindström, S., Ripke, S., … Price, A. L. </w:t>
      </w:r>
      <w:r w:rsidRPr="00E60CDA">
        <w:rPr>
          <w:rFonts w:asciiTheme="majorHAnsi" w:hAnsiTheme="majorHAnsi" w:cstheme="majorHAnsi"/>
          <w:noProof/>
          <w:sz w:val="24"/>
          <w:szCs w:val="24"/>
          <w:lang w:val="en-US"/>
        </w:rPr>
        <w:lastRenderedPageBreak/>
        <w:t xml:space="preserve">(2015). Modeling linkage disequilibrium increases accuracy of polygenic risk scores. </w:t>
      </w:r>
      <w:r w:rsidRPr="00E60CDA">
        <w:rPr>
          <w:rFonts w:asciiTheme="majorHAnsi" w:hAnsiTheme="majorHAnsi" w:cstheme="majorHAnsi"/>
          <w:i/>
          <w:iCs/>
          <w:noProof/>
          <w:sz w:val="24"/>
          <w:szCs w:val="24"/>
          <w:lang w:val="en-US"/>
        </w:rPr>
        <w:t>The American Journal of Human Genetics</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97</w:t>
      </w:r>
      <w:r w:rsidRPr="00E60CDA">
        <w:rPr>
          <w:rFonts w:asciiTheme="majorHAnsi" w:hAnsiTheme="majorHAnsi" w:cstheme="majorHAnsi"/>
          <w:noProof/>
          <w:sz w:val="24"/>
          <w:szCs w:val="24"/>
          <w:lang w:val="en-US"/>
        </w:rPr>
        <w:t xml:space="preserve">(4), 576–592. </w:t>
      </w:r>
    </w:p>
    <w:p w14:paraId="00AE1CB7"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Willems, Y. E., Boesen, N., Li, J., Finkenauer, C., &amp; Bartels, M. (2019a.). The heritability of self-control: A meta-analysis. </w:t>
      </w:r>
      <w:r w:rsidRPr="00E60CDA">
        <w:rPr>
          <w:rFonts w:asciiTheme="majorHAnsi" w:hAnsiTheme="majorHAnsi" w:cstheme="majorHAnsi"/>
          <w:i/>
          <w:iCs/>
          <w:noProof/>
          <w:sz w:val="24"/>
          <w:szCs w:val="24"/>
          <w:lang w:val="en-US"/>
        </w:rPr>
        <w:t>Neuroscience and Biobehavioral Reviews</w:t>
      </w:r>
      <w:r w:rsidRPr="00E60CDA">
        <w:rPr>
          <w:rFonts w:asciiTheme="majorHAnsi" w:hAnsiTheme="majorHAnsi" w:cstheme="majorHAnsi"/>
          <w:noProof/>
          <w:sz w:val="24"/>
          <w:szCs w:val="24"/>
          <w:lang w:val="en-US"/>
        </w:rPr>
        <w:t xml:space="preserve">, 324-344. </w:t>
      </w:r>
    </w:p>
    <w:p w14:paraId="32903627"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rPr>
        <w:t xml:space="preserve">Willems, Y. E., de Zeeuw, E. L., van Beijsterveldt, C. E. M., Boomsma, D. I., Bartels, M., &amp; Finkenauer, C. (2019b.). </w:t>
      </w:r>
      <w:r w:rsidRPr="00E60CDA">
        <w:rPr>
          <w:rFonts w:asciiTheme="majorHAnsi" w:hAnsiTheme="majorHAnsi" w:cstheme="majorHAnsi"/>
          <w:noProof/>
          <w:sz w:val="24"/>
          <w:szCs w:val="24"/>
          <w:lang w:val="en-US"/>
        </w:rPr>
        <w:t xml:space="preserve">Out of control: Examining the association between family conflict and self-control in adolescence in a genetically sensitive design. </w:t>
      </w:r>
      <w:r w:rsidRPr="00E60CDA">
        <w:rPr>
          <w:rFonts w:asciiTheme="majorHAnsi" w:hAnsiTheme="majorHAnsi" w:cstheme="majorHAnsi"/>
          <w:i/>
          <w:iCs/>
          <w:noProof/>
          <w:sz w:val="24"/>
          <w:szCs w:val="24"/>
          <w:lang w:val="en-US"/>
        </w:rPr>
        <w:t>Journal of the American Academy of Child &amp; Adolescent Psychiatry</w:t>
      </w:r>
      <w:r w:rsidRPr="00E60CDA">
        <w:rPr>
          <w:rFonts w:asciiTheme="majorHAnsi" w:hAnsiTheme="majorHAnsi" w:cstheme="majorHAnsi"/>
          <w:noProof/>
          <w:sz w:val="24"/>
          <w:szCs w:val="24"/>
          <w:lang w:val="en-US"/>
        </w:rPr>
        <w:t xml:space="preserve">. </w:t>
      </w:r>
    </w:p>
    <w:p w14:paraId="617A4D4F"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Willems, Y. E., Dolan, C. V, van Beijsterveldt, C. E. M., de Zeeuw, E. L., Boomsma, D. I., Bartels, M., &amp; Finkenauer, C. (2018). Genetic and environmental influences on self-control: Assessing self-control with the ASEBA Self-Control Scale. </w:t>
      </w:r>
      <w:r w:rsidRPr="00E60CDA">
        <w:rPr>
          <w:rFonts w:asciiTheme="majorHAnsi" w:hAnsiTheme="majorHAnsi" w:cstheme="majorHAnsi"/>
          <w:i/>
          <w:iCs/>
          <w:noProof/>
          <w:sz w:val="24"/>
          <w:szCs w:val="24"/>
          <w:lang w:val="en-US"/>
        </w:rPr>
        <w:t>Behavior Genetics</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48</w:t>
      </w:r>
      <w:r w:rsidRPr="00E60CDA">
        <w:rPr>
          <w:rFonts w:asciiTheme="majorHAnsi" w:hAnsiTheme="majorHAnsi" w:cstheme="majorHAnsi"/>
          <w:noProof/>
          <w:sz w:val="24"/>
          <w:szCs w:val="24"/>
          <w:lang w:val="en-US"/>
        </w:rPr>
        <w:t xml:space="preserve">(2), 135–146. </w:t>
      </w:r>
    </w:p>
    <w:p w14:paraId="2BF4BE8F"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Willems, Y. E., Li, J.-B., Hendriks, A. M., Bartels, M., &amp; Finkenauer, C. (2018). The relationship between family violence and self-control in adolescence: A multi-level meta-analysis. </w:t>
      </w:r>
      <w:r w:rsidRPr="00E60CDA">
        <w:rPr>
          <w:rFonts w:asciiTheme="majorHAnsi" w:hAnsiTheme="majorHAnsi" w:cstheme="majorHAnsi"/>
          <w:i/>
          <w:iCs/>
          <w:noProof/>
          <w:sz w:val="24"/>
          <w:szCs w:val="24"/>
          <w:lang w:val="en-US"/>
        </w:rPr>
        <w:t>International Journal of Environmental Research and Public Health</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15</w:t>
      </w:r>
      <w:r w:rsidRPr="00E60CDA">
        <w:rPr>
          <w:rFonts w:asciiTheme="majorHAnsi" w:hAnsiTheme="majorHAnsi" w:cstheme="majorHAnsi"/>
          <w:noProof/>
          <w:sz w:val="24"/>
          <w:szCs w:val="24"/>
          <w:lang w:val="en-US"/>
        </w:rPr>
        <w:t xml:space="preserve">(11). </w:t>
      </w:r>
    </w:p>
    <w:p w14:paraId="673F307D" w14:textId="77777777" w:rsidR="0020002B" w:rsidRPr="00E60CDA" w:rsidRDefault="0020002B" w:rsidP="0020002B">
      <w:pPr>
        <w:widowControl w:val="0"/>
        <w:autoSpaceDE w:val="0"/>
        <w:autoSpaceDN w:val="0"/>
        <w:adjustRightInd w:val="0"/>
        <w:spacing w:line="480" w:lineRule="auto"/>
        <w:ind w:left="480" w:hanging="480"/>
        <w:rPr>
          <w:rFonts w:asciiTheme="majorHAnsi" w:hAnsiTheme="majorHAnsi" w:cstheme="majorHAnsi"/>
          <w:noProof/>
          <w:sz w:val="24"/>
          <w:szCs w:val="24"/>
          <w:lang w:val="en-US"/>
        </w:rPr>
      </w:pPr>
      <w:r w:rsidRPr="00E60CDA">
        <w:rPr>
          <w:rFonts w:asciiTheme="majorHAnsi" w:hAnsiTheme="majorHAnsi" w:cstheme="majorHAnsi"/>
          <w:noProof/>
          <w:sz w:val="24"/>
          <w:szCs w:val="24"/>
          <w:lang w:val="en-US"/>
        </w:rPr>
        <w:t xml:space="preserve">Willemsen, G., Vink, J. M., Abdellaoui, A., den Braber, A., van Beek, J. H. D. a, Draisma, H. H. M., … Boomsma, D. I. (2013). The adult Netherlands twin register: Twenty-five years of survey and biological data collection. </w:t>
      </w:r>
      <w:r w:rsidRPr="00E60CDA">
        <w:rPr>
          <w:rFonts w:asciiTheme="majorHAnsi" w:hAnsiTheme="majorHAnsi" w:cstheme="majorHAnsi"/>
          <w:i/>
          <w:iCs/>
          <w:noProof/>
          <w:sz w:val="24"/>
          <w:szCs w:val="24"/>
          <w:lang w:val="en-US"/>
        </w:rPr>
        <w:t>Twin Research and Human Genetics</w:t>
      </w:r>
      <w:r w:rsidRPr="00E60CDA">
        <w:rPr>
          <w:rFonts w:asciiTheme="majorHAnsi" w:hAnsiTheme="majorHAnsi" w:cstheme="majorHAnsi"/>
          <w:noProof/>
          <w:sz w:val="24"/>
          <w:szCs w:val="24"/>
          <w:lang w:val="en-US"/>
        </w:rPr>
        <w:t xml:space="preserve">, </w:t>
      </w:r>
      <w:r w:rsidRPr="00E60CDA">
        <w:rPr>
          <w:rFonts w:asciiTheme="majorHAnsi" w:hAnsiTheme="majorHAnsi" w:cstheme="majorHAnsi"/>
          <w:i/>
          <w:iCs/>
          <w:noProof/>
          <w:sz w:val="24"/>
          <w:szCs w:val="24"/>
          <w:lang w:val="en-US"/>
        </w:rPr>
        <w:t>16</w:t>
      </w:r>
      <w:r w:rsidRPr="00E60CDA">
        <w:rPr>
          <w:rFonts w:asciiTheme="majorHAnsi" w:hAnsiTheme="majorHAnsi" w:cstheme="majorHAnsi"/>
          <w:noProof/>
          <w:sz w:val="24"/>
          <w:szCs w:val="24"/>
          <w:lang w:val="en-US"/>
        </w:rPr>
        <w:t xml:space="preserve">(1), 271–281. </w:t>
      </w:r>
    </w:p>
    <w:p w14:paraId="5F968FCE" w14:textId="7E34229E" w:rsidR="005546D4" w:rsidRPr="00E60CDA" w:rsidRDefault="0020002B" w:rsidP="0020002B">
      <w:pPr>
        <w:widowControl w:val="0"/>
        <w:autoSpaceDE w:val="0"/>
        <w:autoSpaceDN w:val="0"/>
        <w:adjustRightInd w:val="0"/>
        <w:spacing w:line="480" w:lineRule="auto"/>
        <w:ind w:left="480" w:hanging="480"/>
        <w:rPr>
          <w:rFonts w:asciiTheme="majorHAnsi" w:hAnsiTheme="majorHAnsi" w:cstheme="majorHAnsi"/>
          <w:b/>
          <w:sz w:val="24"/>
          <w:szCs w:val="24"/>
          <w:lang w:val="en-US"/>
        </w:rPr>
      </w:pPr>
      <w:r w:rsidRPr="00E60CDA">
        <w:rPr>
          <w:rFonts w:asciiTheme="majorHAnsi" w:hAnsiTheme="majorHAnsi" w:cstheme="majorHAnsi"/>
          <w:b/>
          <w:sz w:val="24"/>
          <w:szCs w:val="24"/>
          <w:lang w:val="en-US"/>
        </w:rPr>
        <w:fldChar w:fldCharType="end"/>
      </w:r>
    </w:p>
    <w:p w14:paraId="6039B3ED" w14:textId="73A4CDC2" w:rsidR="0092454C" w:rsidRPr="00E60CDA" w:rsidRDefault="0092454C" w:rsidP="00CB024D">
      <w:pPr>
        <w:spacing w:line="480" w:lineRule="auto"/>
        <w:rPr>
          <w:rFonts w:asciiTheme="majorHAnsi" w:hAnsiTheme="majorHAnsi" w:cstheme="majorHAnsi"/>
          <w:sz w:val="24"/>
          <w:szCs w:val="24"/>
          <w:lang w:val="en-US"/>
        </w:rPr>
      </w:pPr>
    </w:p>
    <w:p w14:paraId="5987FE97" w14:textId="1C8E352D" w:rsidR="00180B96" w:rsidRPr="00E60CDA" w:rsidRDefault="00180B96" w:rsidP="00CB024D">
      <w:pPr>
        <w:spacing w:line="480" w:lineRule="auto"/>
        <w:rPr>
          <w:rFonts w:asciiTheme="majorHAnsi" w:hAnsiTheme="majorHAnsi" w:cstheme="majorHAnsi"/>
          <w:sz w:val="24"/>
          <w:szCs w:val="24"/>
          <w:lang w:val="en-US"/>
        </w:rPr>
      </w:pPr>
    </w:p>
    <w:p w14:paraId="263F97DC" w14:textId="77777777" w:rsidR="00BC653D" w:rsidRPr="00E60CDA" w:rsidRDefault="00BC653D" w:rsidP="00CB024D">
      <w:pPr>
        <w:spacing w:line="480" w:lineRule="auto"/>
        <w:rPr>
          <w:rFonts w:asciiTheme="majorHAnsi" w:hAnsiTheme="majorHAnsi" w:cstheme="majorHAnsi"/>
          <w:sz w:val="24"/>
          <w:szCs w:val="24"/>
          <w:lang w:val="en-US"/>
        </w:rPr>
      </w:pPr>
    </w:p>
    <w:tbl>
      <w:tblPr>
        <w:tblStyle w:val="TableGrid"/>
        <w:tblW w:w="9646" w:type="dxa"/>
        <w:tblInd w:w="-2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557"/>
        <w:gridCol w:w="2461"/>
        <w:gridCol w:w="800"/>
      </w:tblGrid>
      <w:tr w:rsidR="008B5542" w:rsidRPr="00141B7D" w14:paraId="2FA47347" w14:textId="77777777" w:rsidTr="00E5142B">
        <w:trPr>
          <w:gridAfter w:val="1"/>
          <w:wAfter w:w="800" w:type="dxa"/>
          <w:trHeight w:val="300"/>
        </w:trPr>
        <w:tc>
          <w:tcPr>
            <w:tcW w:w="8846" w:type="dxa"/>
            <w:gridSpan w:val="3"/>
            <w:noWrap/>
          </w:tcPr>
          <w:p w14:paraId="48D62C83" w14:textId="77777777" w:rsidR="008B5542" w:rsidRPr="00624094" w:rsidRDefault="008B5542" w:rsidP="00E5142B">
            <w:pPr>
              <w:rPr>
                <w:rFonts w:asciiTheme="majorHAnsi" w:hAnsiTheme="majorHAnsi" w:cstheme="majorHAnsi"/>
                <w:sz w:val="24"/>
                <w:szCs w:val="24"/>
                <w:lang w:val="en-US"/>
              </w:rPr>
            </w:pPr>
            <w:r w:rsidRPr="00624094">
              <w:rPr>
                <w:rFonts w:asciiTheme="majorHAnsi" w:hAnsiTheme="majorHAnsi" w:cstheme="majorHAnsi"/>
                <w:sz w:val="24"/>
                <w:szCs w:val="24"/>
                <w:lang w:val="en-US"/>
              </w:rPr>
              <w:t>Table 1.</w:t>
            </w:r>
          </w:p>
          <w:p w14:paraId="5B767D92" w14:textId="77777777" w:rsidR="008B5542" w:rsidRPr="00624094" w:rsidRDefault="008B5542" w:rsidP="00E5142B">
            <w:pPr>
              <w:rPr>
                <w:rFonts w:asciiTheme="majorHAnsi" w:hAnsiTheme="majorHAnsi" w:cstheme="majorHAnsi"/>
                <w:i/>
                <w:iCs/>
                <w:sz w:val="24"/>
                <w:szCs w:val="24"/>
                <w:lang w:val="en-US"/>
              </w:rPr>
            </w:pPr>
            <w:r w:rsidRPr="00624094">
              <w:rPr>
                <w:rFonts w:asciiTheme="majorHAnsi" w:hAnsiTheme="majorHAnsi" w:cstheme="majorHAnsi"/>
                <w:i/>
                <w:iCs/>
                <w:sz w:val="24"/>
                <w:szCs w:val="24"/>
                <w:lang w:val="en-US"/>
              </w:rPr>
              <w:t xml:space="preserve">Percentage of participants (absolute numbers in brackets) who experienced negative life events last year and over the lifetime </w:t>
            </w:r>
          </w:p>
          <w:p w14:paraId="6BBC3E07" w14:textId="77777777" w:rsidR="008B5542" w:rsidRPr="00E60CDA" w:rsidRDefault="008B5542" w:rsidP="00E5142B">
            <w:pPr>
              <w:rPr>
                <w:rFonts w:asciiTheme="majorHAnsi" w:hAnsiTheme="majorHAnsi" w:cstheme="majorHAnsi"/>
                <w:sz w:val="24"/>
                <w:szCs w:val="24"/>
                <w:lang w:val="en-US"/>
              </w:rPr>
            </w:pPr>
          </w:p>
        </w:tc>
      </w:tr>
      <w:tr w:rsidR="008B5542" w:rsidRPr="00141B7D" w14:paraId="7F85EEDA" w14:textId="77777777" w:rsidTr="00E5142B">
        <w:trPr>
          <w:trHeight w:val="300"/>
        </w:trPr>
        <w:tc>
          <w:tcPr>
            <w:tcW w:w="3828" w:type="dxa"/>
            <w:tcBorders>
              <w:top w:val="single" w:sz="4" w:space="0" w:color="auto"/>
              <w:bottom w:val="single" w:sz="4" w:space="0" w:color="auto"/>
            </w:tcBorders>
            <w:noWrap/>
            <w:hideMark/>
          </w:tcPr>
          <w:p w14:paraId="52E73173" w14:textId="77777777" w:rsidR="008B5542" w:rsidRPr="0020002B" w:rsidRDefault="008B5542" w:rsidP="00E5142B">
            <w:pPr>
              <w:rPr>
                <w:rFonts w:asciiTheme="majorHAnsi" w:hAnsiTheme="majorHAnsi" w:cstheme="majorHAnsi"/>
                <w:b/>
                <w:sz w:val="24"/>
                <w:szCs w:val="24"/>
                <w:lang w:val="en-US"/>
              </w:rPr>
            </w:pPr>
            <w:r w:rsidRPr="0020002B">
              <w:rPr>
                <w:rFonts w:asciiTheme="majorHAnsi" w:hAnsiTheme="majorHAnsi" w:cstheme="majorHAnsi"/>
                <w:b/>
                <w:sz w:val="24"/>
                <w:szCs w:val="24"/>
                <w:lang w:val="en-US"/>
              </w:rPr>
              <w:t>Number of negative life events (NLE)</w:t>
            </w:r>
          </w:p>
        </w:tc>
        <w:tc>
          <w:tcPr>
            <w:tcW w:w="2557" w:type="dxa"/>
            <w:tcBorders>
              <w:top w:val="single" w:sz="4" w:space="0" w:color="auto"/>
              <w:bottom w:val="single" w:sz="4" w:space="0" w:color="auto"/>
            </w:tcBorders>
            <w:noWrap/>
            <w:hideMark/>
          </w:tcPr>
          <w:p w14:paraId="0A60EDA2" w14:textId="77777777" w:rsidR="008B5542" w:rsidRPr="0020002B" w:rsidRDefault="008B5542" w:rsidP="00E5142B">
            <w:pPr>
              <w:rPr>
                <w:rFonts w:asciiTheme="majorHAnsi" w:hAnsiTheme="majorHAnsi" w:cstheme="majorHAnsi"/>
                <w:b/>
                <w:sz w:val="24"/>
                <w:szCs w:val="24"/>
                <w:lang w:val="en-US"/>
              </w:rPr>
            </w:pPr>
            <w:r w:rsidRPr="0020002B">
              <w:rPr>
                <w:rFonts w:asciiTheme="majorHAnsi" w:hAnsiTheme="majorHAnsi" w:cstheme="majorHAnsi"/>
                <w:b/>
                <w:sz w:val="24"/>
                <w:szCs w:val="24"/>
                <w:lang w:val="en-US"/>
              </w:rPr>
              <w:t>% (N) NLE experienced last year</w:t>
            </w:r>
          </w:p>
        </w:tc>
        <w:tc>
          <w:tcPr>
            <w:tcW w:w="3261" w:type="dxa"/>
            <w:gridSpan w:val="2"/>
            <w:tcBorders>
              <w:top w:val="single" w:sz="4" w:space="0" w:color="auto"/>
              <w:bottom w:val="single" w:sz="4" w:space="0" w:color="auto"/>
            </w:tcBorders>
            <w:noWrap/>
            <w:hideMark/>
          </w:tcPr>
          <w:p w14:paraId="4389260F" w14:textId="77777777" w:rsidR="008B5542" w:rsidRPr="0020002B" w:rsidRDefault="008B5542" w:rsidP="00E5142B">
            <w:pPr>
              <w:rPr>
                <w:rFonts w:asciiTheme="majorHAnsi" w:hAnsiTheme="majorHAnsi" w:cstheme="majorHAnsi"/>
                <w:b/>
                <w:sz w:val="24"/>
                <w:szCs w:val="24"/>
                <w:lang w:val="en-US"/>
              </w:rPr>
            </w:pPr>
            <w:r w:rsidRPr="0020002B">
              <w:rPr>
                <w:rFonts w:asciiTheme="majorHAnsi" w:hAnsiTheme="majorHAnsi" w:cstheme="majorHAnsi"/>
                <w:b/>
                <w:sz w:val="24"/>
                <w:szCs w:val="24"/>
                <w:lang w:val="en-US"/>
              </w:rPr>
              <w:t>% (N) NLE experienced over the lifetime</w:t>
            </w:r>
          </w:p>
        </w:tc>
      </w:tr>
      <w:tr w:rsidR="008B5542" w:rsidRPr="00E60CDA" w14:paraId="26B04A46" w14:textId="77777777" w:rsidTr="00E5142B">
        <w:trPr>
          <w:trHeight w:val="300"/>
        </w:trPr>
        <w:tc>
          <w:tcPr>
            <w:tcW w:w="3828" w:type="dxa"/>
            <w:tcBorders>
              <w:top w:val="single" w:sz="4" w:space="0" w:color="auto"/>
            </w:tcBorders>
            <w:noWrap/>
            <w:hideMark/>
          </w:tcPr>
          <w:p w14:paraId="5029267E"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0</w:t>
            </w:r>
          </w:p>
        </w:tc>
        <w:tc>
          <w:tcPr>
            <w:tcW w:w="2557" w:type="dxa"/>
            <w:tcBorders>
              <w:top w:val="single" w:sz="4" w:space="0" w:color="auto"/>
            </w:tcBorders>
            <w:noWrap/>
            <w:hideMark/>
          </w:tcPr>
          <w:p w14:paraId="55B68F02"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68,8 (4017)</w:t>
            </w:r>
          </w:p>
        </w:tc>
        <w:tc>
          <w:tcPr>
            <w:tcW w:w="3261" w:type="dxa"/>
            <w:gridSpan w:val="2"/>
            <w:tcBorders>
              <w:top w:val="single" w:sz="4" w:space="0" w:color="auto"/>
            </w:tcBorders>
            <w:noWrap/>
            <w:hideMark/>
          </w:tcPr>
          <w:p w14:paraId="57991465"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12,2 (712)</w:t>
            </w:r>
          </w:p>
        </w:tc>
      </w:tr>
      <w:tr w:rsidR="008B5542" w:rsidRPr="00E60CDA" w14:paraId="12DD13B4" w14:textId="77777777" w:rsidTr="00E5142B">
        <w:trPr>
          <w:trHeight w:val="300"/>
        </w:trPr>
        <w:tc>
          <w:tcPr>
            <w:tcW w:w="3828" w:type="dxa"/>
            <w:noWrap/>
            <w:hideMark/>
          </w:tcPr>
          <w:p w14:paraId="541E2244"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1</w:t>
            </w:r>
          </w:p>
        </w:tc>
        <w:tc>
          <w:tcPr>
            <w:tcW w:w="2557" w:type="dxa"/>
            <w:noWrap/>
            <w:hideMark/>
          </w:tcPr>
          <w:p w14:paraId="23156572"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23,6 (1378)</w:t>
            </w:r>
          </w:p>
        </w:tc>
        <w:tc>
          <w:tcPr>
            <w:tcW w:w="3261" w:type="dxa"/>
            <w:gridSpan w:val="2"/>
            <w:noWrap/>
            <w:hideMark/>
          </w:tcPr>
          <w:p w14:paraId="06E1789F"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24,0 (1401)</w:t>
            </w:r>
          </w:p>
        </w:tc>
      </w:tr>
      <w:tr w:rsidR="008B5542" w:rsidRPr="00E60CDA" w14:paraId="3FCACBAC" w14:textId="77777777" w:rsidTr="00E5142B">
        <w:trPr>
          <w:trHeight w:val="300"/>
        </w:trPr>
        <w:tc>
          <w:tcPr>
            <w:tcW w:w="3828" w:type="dxa"/>
            <w:noWrap/>
            <w:hideMark/>
          </w:tcPr>
          <w:p w14:paraId="46498CC0"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2</w:t>
            </w:r>
          </w:p>
        </w:tc>
        <w:tc>
          <w:tcPr>
            <w:tcW w:w="2557" w:type="dxa"/>
            <w:noWrap/>
            <w:hideMark/>
          </w:tcPr>
          <w:p w14:paraId="0EA9699C"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5,7 (333)</w:t>
            </w:r>
          </w:p>
        </w:tc>
        <w:tc>
          <w:tcPr>
            <w:tcW w:w="3261" w:type="dxa"/>
            <w:gridSpan w:val="2"/>
            <w:noWrap/>
            <w:hideMark/>
          </w:tcPr>
          <w:p w14:paraId="14454092"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23,1 (1349)</w:t>
            </w:r>
          </w:p>
        </w:tc>
      </w:tr>
      <w:tr w:rsidR="008B5542" w:rsidRPr="00E60CDA" w14:paraId="74C9A512" w14:textId="77777777" w:rsidTr="00E5142B">
        <w:trPr>
          <w:trHeight w:val="300"/>
        </w:trPr>
        <w:tc>
          <w:tcPr>
            <w:tcW w:w="3828" w:type="dxa"/>
            <w:noWrap/>
            <w:hideMark/>
          </w:tcPr>
          <w:p w14:paraId="61F46CE2"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3</w:t>
            </w:r>
          </w:p>
        </w:tc>
        <w:tc>
          <w:tcPr>
            <w:tcW w:w="2557" w:type="dxa"/>
            <w:noWrap/>
            <w:hideMark/>
          </w:tcPr>
          <w:p w14:paraId="79020D6A"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1,4 (82)</w:t>
            </w:r>
          </w:p>
        </w:tc>
        <w:tc>
          <w:tcPr>
            <w:tcW w:w="3261" w:type="dxa"/>
            <w:gridSpan w:val="2"/>
            <w:noWrap/>
            <w:hideMark/>
          </w:tcPr>
          <w:p w14:paraId="5EC98A40"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16,1 (940)</w:t>
            </w:r>
          </w:p>
        </w:tc>
      </w:tr>
      <w:tr w:rsidR="008B5542" w:rsidRPr="00E60CDA" w14:paraId="3CCD41C3" w14:textId="77777777" w:rsidTr="00E5142B">
        <w:trPr>
          <w:trHeight w:val="300"/>
        </w:trPr>
        <w:tc>
          <w:tcPr>
            <w:tcW w:w="3828" w:type="dxa"/>
            <w:noWrap/>
            <w:hideMark/>
          </w:tcPr>
          <w:p w14:paraId="76CE8BFC"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4</w:t>
            </w:r>
          </w:p>
        </w:tc>
        <w:tc>
          <w:tcPr>
            <w:tcW w:w="2557" w:type="dxa"/>
            <w:noWrap/>
            <w:hideMark/>
          </w:tcPr>
          <w:p w14:paraId="6CDD4AD7"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0,4 (23)</w:t>
            </w:r>
          </w:p>
        </w:tc>
        <w:tc>
          <w:tcPr>
            <w:tcW w:w="3261" w:type="dxa"/>
            <w:gridSpan w:val="2"/>
            <w:noWrap/>
            <w:hideMark/>
          </w:tcPr>
          <w:p w14:paraId="008D0389"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10,7 (625)</w:t>
            </w:r>
          </w:p>
        </w:tc>
      </w:tr>
      <w:tr w:rsidR="008B5542" w:rsidRPr="00E60CDA" w14:paraId="6548014C" w14:textId="77777777" w:rsidTr="00E5142B">
        <w:trPr>
          <w:trHeight w:val="300"/>
        </w:trPr>
        <w:tc>
          <w:tcPr>
            <w:tcW w:w="3828" w:type="dxa"/>
            <w:tcBorders>
              <w:bottom w:val="single" w:sz="4" w:space="0" w:color="auto"/>
            </w:tcBorders>
            <w:noWrap/>
            <w:hideMark/>
          </w:tcPr>
          <w:p w14:paraId="2960A903"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&gt; 5</w:t>
            </w:r>
          </w:p>
        </w:tc>
        <w:tc>
          <w:tcPr>
            <w:tcW w:w="2557" w:type="dxa"/>
            <w:tcBorders>
              <w:bottom w:val="single" w:sz="4" w:space="0" w:color="auto"/>
            </w:tcBorders>
            <w:noWrap/>
            <w:hideMark/>
          </w:tcPr>
          <w:p w14:paraId="7C40AEDA"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0,1 (6)</w:t>
            </w:r>
          </w:p>
        </w:tc>
        <w:tc>
          <w:tcPr>
            <w:tcW w:w="3261" w:type="dxa"/>
            <w:gridSpan w:val="2"/>
            <w:tcBorders>
              <w:bottom w:val="single" w:sz="4" w:space="0" w:color="auto"/>
            </w:tcBorders>
            <w:noWrap/>
            <w:hideMark/>
          </w:tcPr>
          <w:p w14:paraId="5880EE6F"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13,9 (812)</w:t>
            </w:r>
          </w:p>
        </w:tc>
      </w:tr>
    </w:tbl>
    <w:p w14:paraId="1666ACCF" w14:textId="77777777" w:rsidR="008B5542" w:rsidRDefault="008B5542" w:rsidP="008B5542"/>
    <w:tbl>
      <w:tblPr>
        <w:tblStyle w:val="TableGrid"/>
        <w:tblpPr w:leftFromText="180" w:rightFromText="180" w:vertAnchor="text" w:horzAnchor="margin" w:tblpXSpec="center" w:tblpY="207"/>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1479"/>
        <w:gridCol w:w="1233"/>
        <w:gridCol w:w="1682"/>
        <w:gridCol w:w="2268"/>
      </w:tblGrid>
      <w:tr w:rsidR="008B5542" w:rsidRPr="00141B7D" w14:paraId="5A1088BB" w14:textId="77777777" w:rsidTr="00E5142B">
        <w:trPr>
          <w:trHeight w:val="300"/>
        </w:trPr>
        <w:tc>
          <w:tcPr>
            <w:tcW w:w="9923" w:type="dxa"/>
            <w:gridSpan w:val="5"/>
            <w:tcBorders>
              <w:bottom w:val="single" w:sz="4" w:space="0" w:color="auto"/>
            </w:tcBorders>
            <w:noWrap/>
            <w:hideMark/>
          </w:tcPr>
          <w:p w14:paraId="7C003FC3" w14:textId="77777777" w:rsidR="008B5542" w:rsidRPr="00624094" w:rsidRDefault="008B5542" w:rsidP="00E5142B">
            <w:pPr>
              <w:rPr>
                <w:rFonts w:asciiTheme="majorHAnsi" w:hAnsiTheme="majorHAnsi" w:cstheme="majorHAnsi"/>
                <w:sz w:val="24"/>
                <w:szCs w:val="24"/>
                <w:lang w:val="en-US"/>
              </w:rPr>
            </w:pPr>
            <w:r w:rsidRPr="00624094">
              <w:rPr>
                <w:rFonts w:asciiTheme="majorHAnsi" w:hAnsiTheme="majorHAnsi" w:cstheme="majorHAnsi"/>
                <w:sz w:val="24"/>
                <w:szCs w:val="24"/>
                <w:lang w:val="en-US"/>
              </w:rPr>
              <w:t xml:space="preserve">Table 2. </w:t>
            </w:r>
          </w:p>
          <w:p w14:paraId="309B0F61" w14:textId="77777777" w:rsidR="008B5542" w:rsidRDefault="008B5542" w:rsidP="00E5142B">
            <w:pPr>
              <w:rPr>
                <w:rFonts w:asciiTheme="majorHAnsi" w:hAnsiTheme="majorHAnsi" w:cstheme="majorHAnsi"/>
                <w:sz w:val="24"/>
                <w:szCs w:val="24"/>
                <w:lang w:val="en-US"/>
              </w:rPr>
            </w:pPr>
            <w:r w:rsidRPr="00E60CDA">
              <w:rPr>
                <w:rFonts w:asciiTheme="majorHAnsi" w:hAnsiTheme="majorHAnsi" w:cstheme="majorHAnsi"/>
                <w:sz w:val="24"/>
                <w:szCs w:val="24"/>
                <w:lang w:val="en-US"/>
              </w:rPr>
              <w:t>Coefficients of main and interaction effects of negative life events (NLE) and polygenic score (PS), predicting self-control, with for self-control higher scores mean lower self-control.</w:t>
            </w:r>
          </w:p>
          <w:p w14:paraId="47A9D9AC" w14:textId="77777777" w:rsidR="008B5542" w:rsidRPr="00E60CDA" w:rsidRDefault="008B5542" w:rsidP="00E5142B">
            <w:pPr>
              <w:rPr>
                <w:rFonts w:asciiTheme="majorHAnsi" w:hAnsiTheme="majorHAnsi" w:cstheme="majorHAnsi"/>
                <w:sz w:val="24"/>
                <w:szCs w:val="24"/>
                <w:lang w:val="en-US"/>
              </w:rPr>
            </w:pPr>
          </w:p>
        </w:tc>
      </w:tr>
      <w:tr w:rsidR="008B5542" w:rsidRPr="00E60CDA" w14:paraId="6325BF3F" w14:textId="77777777" w:rsidTr="00E5142B">
        <w:trPr>
          <w:trHeight w:val="300"/>
        </w:trPr>
        <w:tc>
          <w:tcPr>
            <w:tcW w:w="3261" w:type="dxa"/>
            <w:tcBorders>
              <w:top w:val="single" w:sz="4" w:space="0" w:color="auto"/>
              <w:bottom w:val="single" w:sz="4" w:space="0" w:color="auto"/>
            </w:tcBorders>
            <w:noWrap/>
            <w:hideMark/>
          </w:tcPr>
          <w:p w14:paraId="475A4154" w14:textId="77777777" w:rsidR="008B5542" w:rsidRPr="0020002B" w:rsidRDefault="008B5542" w:rsidP="00E5142B">
            <w:pPr>
              <w:rPr>
                <w:rFonts w:asciiTheme="majorHAnsi" w:hAnsiTheme="majorHAnsi" w:cstheme="majorHAnsi"/>
                <w:b/>
                <w:sz w:val="24"/>
                <w:szCs w:val="24"/>
                <w:lang w:val="en-US"/>
              </w:rPr>
            </w:pPr>
          </w:p>
        </w:tc>
        <w:tc>
          <w:tcPr>
            <w:tcW w:w="1479" w:type="dxa"/>
            <w:tcBorders>
              <w:top w:val="single" w:sz="4" w:space="0" w:color="auto"/>
              <w:bottom w:val="single" w:sz="4" w:space="0" w:color="auto"/>
            </w:tcBorders>
            <w:noWrap/>
            <w:hideMark/>
          </w:tcPr>
          <w:p w14:paraId="6C8913B9" w14:textId="77777777" w:rsidR="008B5542" w:rsidRPr="0020002B" w:rsidRDefault="008B5542" w:rsidP="00E5142B">
            <w:pPr>
              <w:rPr>
                <w:rFonts w:asciiTheme="majorHAnsi" w:hAnsiTheme="majorHAnsi" w:cstheme="majorHAnsi"/>
                <w:b/>
                <w:sz w:val="24"/>
                <w:szCs w:val="24"/>
              </w:rPr>
            </w:pPr>
            <w:r w:rsidRPr="0020002B">
              <w:rPr>
                <w:rFonts w:asciiTheme="majorHAnsi" w:hAnsiTheme="majorHAnsi" w:cstheme="majorHAnsi"/>
                <w:b/>
                <w:sz w:val="24"/>
                <w:szCs w:val="24"/>
                <w:lang w:val="en-US"/>
              </w:rPr>
              <w:t>β</w:t>
            </w:r>
          </w:p>
        </w:tc>
        <w:tc>
          <w:tcPr>
            <w:tcW w:w="1233" w:type="dxa"/>
            <w:tcBorders>
              <w:top w:val="single" w:sz="4" w:space="0" w:color="auto"/>
              <w:bottom w:val="single" w:sz="4" w:space="0" w:color="auto"/>
            </w:tcBorders>
            <w:noWrap/>
            <w:hideMark/>
          </w:tcPr>
          <w:p w14:paraId="61C682BC" w14:textId="77777777" w:rsidR="008B5542" w:rsidRPr="0020002B" w:rsidRDefault="008B5542" w:rsidP="00E5142B">
            <w:pPr>
              <w:rPr>
                <w:rFonts w:asciiTheme="majorHAnsi" w:hAnsiTheme="majorHAnsi" w:cstheme="majorHAnsi"/>
                <w:b/>
                <w:sz w:val="24"/>
                <w:szCs w:val="24"/>
              </w:rPr>
            </w:pPr>
            <w:r w:rsidRPr="0020002B">
              <w:rPr>
                <w:rFonts w:asciiTheme="majorHAnsi" w:hAnsiTheme="majorHAnsi" w:cstheme="majorHAnsi"/>
                <w:b/>
                <w:sz w:val="24"/>
                <w:szCs w:val="24"/>
              </w:rPr>
              <w:t>Std. Error</w:t>
            </w:r>
          </w:p>
        </w:tc>
        <w:tc>
          <w:tcPr>
            <w:tcW w:w="1682" w:type="dxa"/>
            <w:tcBorders>
              <w:top w:val="single" w:sz="4" w:space="0" w:color="auto"/>
              <w:bottom w:val="single" w:sz="4" w:space="0" w:color="auto"/>
            </w:tcBorders>
            <w:noWrap/>
            <w:hideMark/>
          </w:tcPr>
          <w:p w14:paraId="1792611B" w14:textId="77777777" w:rsidR="008B5542" w:rsidRPr="0020002B" w:rsidRDefault="008B5542" w:rsidP="00E5142B">
            <w:pPr>
              <w:rPr>
                <w:rFonts w:asciiTheme="majorHAnsi" w:hAnsiTheme="majorHAnsi" w:cstheme="majorHAnsi"/>
                <w:b/>
                <w:sz w:val="24"/>
                <w:szCs w:val="24"/>
              </w:rPr>
            </w:pPr>
            <w:r w:rsidRPr="0020002B">
              <w:rPr>
                <w:rFonts w:asciiTheme="majorHAnsi" w:hAnsiTheme="majorHAnsi" w:cstheme="majorHAnsi"/>
                <w:b/>
                <w:sz w:val="24"/>
                <w:szCs w:val="24"/>
              </w:rPr>
              <w:t>95% CI</w:t>
            </w:r>
          </w:p>
        </w:tc>
        <w:tc>
          <w:tcPr>
            <w:tcW w:w="2268" w:type="dxa"/>
            <w:tcBorders>
              <w:top w:val="single" w:sz="4" w:space="0" w:color="auto"/>
              <w:bottom w:val="single" w:sz="4" w:space="0" w:color="auto"/>
            </w:tcBorders>
            <w:noWrap/>
            <w:hideMark/>
          </w:tcPr>
          <w:p w14:paraId="65A4177B" w14:textId="77777777" w:rsidR="008B5542" w:rsidRPr="0020002B" w:rsidRDefault="008B5542" w:rsidP="00E5142B">
            <w:pPr>
              <w:rPr>
                <w:rFonts w:asciiTheme="majorHAnsi" w:hAnsiTheme="majorHAnsi" w:cstheme="majorHAnsi"/>
                <w:b/>
                <w:sz w:val="24"/>
                <w:szCs w:val="24"/>
              </w:rPr>
            </w:pPr>
            <w:r w:rsidRPr="0020002B">
              <w:rPr>
                <w:rFonts w:asciiTheme="majorHAnsi" w:hAnsiTheme="majorHAnsi" w:cstheme="majorHAnsi"/>
                <w:b/>
                <w:i/>
                <w:iCs/>
                <w:sz w:val="24"/>
                <w:szCs w:val="24"/>
              </w:rPr>
              <w:t>p</w:t>
            </w:r>
            <w:r w:rsidRPr="0020002B">
              <w:rPr>
                <w:rFonts w:asciiTheme="majorHAnsi" w:hAnsiTheme="majorHAnsi" w:cstheme="majorHAnsi"/>
                <w:b/>
                <w:sz w:val="24"/>
                <w:szCs w:val="24"/>
              </w:rPr>
              <w:t>-value</w:t>
            </w:r>
          </w:p>
        </w:tc>
      </w:tr>
      <w:tr w:rsidR="008B5542" w:rsidRPr="00E60CDA" w14:paraId="6C8578C3" w14:textId="77777777" w:rsidTr="00E5142B">
        <w:trPr>
          <w:trHeight w:val="300"/>
        </w:trPr>
        <w:tc>
          <w:tcPr>
            <w:tcW w:w="3261" w:type="dxa"/>
            <w:tcBorders>
              <w:top w:val="single" w:sz="4" w:space="0" w:color="auto"/>
            </w:tcBorders>
            <w:noWrap/>
            <w:hideMark/>
          </w:tcPr>
          <w:p w14:paraId="3A26AD80" w14:textId="77777777" w:rsidR="008B5542" w:rsidRPr="0020002B" w:rsidRDefault="008B5542" w:rsidP="00E5142B">
            <w:pPr>
              <w:rPr>
                <w:rFonts w:asciiTheme="majorHAnsi" w:hAnsiTheme="majorHAnsi" w:cstheme="majorHAnsi"/>
                <w:bCs/>
                <w:i/>
                <w:sz w:val="24"/>
                <w:szCs w:val="24"/>
              </w:rPr>
            </w:pPr>
            <w:r w:rsidRPr="0020002B">
              <w:rPr>
                <w:rFonts w:asciiTheme="majorHAnsi" w:hAnsiTheme="majorHAnsi" w:cstheme="majorHAnsi"/>
                <w:bCs/>
                <w:i/>
                <w:sz w:val="24"/>
                <w:szCs w:val="24"/>
              </w:rPr>
              <w:t>Main effects</w:t>
            </w:r>
          </w:p>
        </w:tc>
        <w:tc>
          <w:tcPr>
            <w:tcW w:w="1479" w:type="dxa"/>
            <w:tcBorders>
              <w:top w:val="single" w:sz="4" w:space="0" w:color="auto"/>
            </w:tcBorders>
            <w:noWrap/>
            <w:hideMark/>
          </w:tcPr>
          <w:p w14:paraId="78DAEAA1" w14:textId="77777777" w:rsidR="008B5542" w:rsidRPr="00E60CDA" w:rsidRDefault="008B5542" w:rsidP="00E5142B">
            <w:pPr>
              <w:rPr>
                <w:rFonts w:asciiTheme="majorHAnsi" w:hAnsiTheme="majorHAnsi" w:cstheme="majorHAnsi"/>
                <w:b/>
                <w:bCs/>
                <w:sz w:val="24"/>
                <w:szCs w:val="24"/>
              </w:rPr>
            </w:pPr>
          </w:p>
        </w:tc>
        <w:tc>
          <w:tcPr>
            <w:tcW w:w="1233" w:type="dxa"/>
            <w:tcBorders>
              <w:top w:val="single" w:sz="4" w:space="0" w:color="auto"/>
            </w:tcBorders>
            <w:noWrap/>
            <w:hideMark/>
          </w:tcPr>
          <w:p w14:paraId="0168083F" w14:textId="77777777" w:rsidR="008B5542" w:rsidRPr="00E60CDA" w:rsidRDefault="008B5542" w:rsidP="00E5142B">
            <w:pPr>
              <w:rPr>
                <w:rFonts w:asciiTheme="majorHAnsi" w:hAnsiTheme="majorHAnsi" w:cstheme="majorHAnsi"/>
                <w:sz w:val="24"/>
                <w:szCs w:val="24"/>
              </w:rPr>
            </w:pPr>
          </w:p>
        </w:tc>
        <w:tc>
          <w:tcPr>
            <w:tcW w:w="1682" w:type="dxa"/>
            <w:tcBorders>
              <w:top w:val="single" w:sz="4" w:space="0" w:color="auto"/>
            </w:tcBorders>
            <w:noWrap/>
            <w:hideMark/>
          </w:tcPr>
          <w:p w14:paraId="0F10FFC7" w14:textId="77777777" w:rsidR="008B5542" w:rsidRPr="00E60CDA" w:rsidRDefault="008B5542" w:rsidP="00E5142B">
            <w:pPr>
              <w:rPr>
                <w:rFonts w:asciiTheme="majorHAnsi" w:hAnsiTheme="majorHAnsi" w:cstheme="majorHAnsi"/>
                <w:sz w:val="24"/>
                <w:szCs w:val="24"/>
              </w:rPr>
            </w:pPr>
          </w:p>
        </w:tc>
        <w:tc>
          <w:tcPr>
            <w:tcW w:w="2268" w:type="dxa"/>
            <w:tcBorders>
              <w:top w:val="single" w:sz="4" w:space="0" w:color="auto"/>
            </w:tcBorders>
            <w:noWrap/>
            <w:hideMark/>
          </w:tcPr>
          <w:p w14:paraId="1A313330" w14:textId="77777777" w:rsidR="008B5542" w:rsidRPr="00E60CDA" w:rsidRDefault="008B5542" w:rsidP="00E5142B">
            <w:pPr>
              <w:rPr>
                <w:rFonts w:asciiTheme="majorHAnsi" w:hAnsiTheme="majorHAnsi" w:cstheme="majorHAnsi"/>
                <w:sz w:val="24"/>
                <w:szCs w:val="24"/>
              </w:rPr>
            </w:pPr>
          </w:p>
        </w:tc>
      </w:tr>
      <w:tr w:rsidR="008B5542" w:rsidRPr="00E60CDA" w14:paraId="2E8B1475" w14:textId="77777777" w:rsidTr="00E5142B">
        <w:trPr>
          <w:trHeight w:val="300"/>
        </w:trPr>
        <w:tc>
          <w:tcPr>
            <w:tcW w:w="3261" w:type="dxa"/>
            <w:noWrap/>
            <w:hideMark/>
          </w:tcPr>
          <w:p w14:paraId="5776BB80"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PS ADHD</w:t>
            </w:r>
          </w:p>
        </w:tc>
        <w:tc>
          <w:tcPr>
            <w:tcW w:w="1479" w:type="dxa"/>
            <w:noWrap/>
            <w:hideMark/>
          </w:tcPr>
          <w:p w14:paraId="0103F9E4"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.033</w:t>
            </w:r>
          </w:p>
        </w:tc>
        <w:tc>
          <w:tcPr>
            <w:tcW w:w="1233" w:type="dxa"/>
            <w:noWrap/>
            <w:hideMark/>
          </w:tcPr>
          <w:p w14:paraId="109651E2"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.014</w:t>
            </w:r>
          </w:p>
        </w:tc>
        <w:tc>
          <w:tcPr>
            <w:tcW w:w="1682" w:type="dxa"/>
            <w:noWrap/>
            <w:hideMark/>
          </w:tcPr>
          <w:p w14:paraId="71D00B77"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[.008, .059]</w:t>
            </w:r>
          </w:p>
        </w:tc>
        <w:tc>
          <w:tcPr>
            <w:tcW w:w="2268" w:type="dxa"/>
            <w:noWrap/>
            <w:hideMark/>
          </w:tcPr>
          <w:p w14:paraId="5554BAB2"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 xml:space="preserve"> .011</w:t>
            </w:r>
          </w:p>
        </w:tc>
      </w:tr>
      <w:tr w:rsidR="008B5542" w:rsidRPr="00E60CDA" w14:paraId="4BF8945F" w14:textId="77777777" w:rsidTr="00E5142B">
        <w:trPr>
          <w:trHeight w:val="300"/>
        </w:trPr>
        <w:tc>
          <w:tcPr>
            <w:tcW w:w="3261" w:type="dxa"/>
            <w:noWrap/>
            <w:hideMark/>
          </w:tcPr>
          <w:p w14:paraId="289CA585"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 xml:space="preserve">NLE </w:t>
            </w:r>
            <w:r w:rsidRPr="0020002B">
              <w:rPr>
                <w:rFonts w:asciiTheme="majorHAnsi" w:hAnsiTheme="majorHAnsi" w:cstheme="majorHAnsi"/>
                <w:sz w:val="24"/>
                <w:szCs w:val="24"/>
              </w:rPr>
              <w:t>previous year</w:t>
            </w:r>
            <w:r w:rsidRPr="00E60CDA">
              <w:rPr>
                <w:rFonts w:asciiTheme="majorHAnsi" w:hAnsiTheme="majorHAnsi" w:cstheme="majorHAnsi"/>
                <w:sz w:val="24"/>
                <w:szCs w:val="24"/>
              </w:rPr>
              <w:t xml:space="preserve"> </w:t>
            </w:r>
          </w:p>
        </w:tc>
        <w:tc>
          <w:tcPr>
            <w:tcW w:w="1479" w:type="dxa"/>
            <w:noWrap/>
            <w:hideMark/>
          </w:tcPr>
          <w:p w14:paraId="1C86B111"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.128</w:t>
            </w:r>
          </w:p>
        </w:tc>
        <w:tc>
          <w:tcPr>
            <w:tcW w:w="1233" w:type="dxa"/>
            <w:noWrap/>
            <w:hideMark/>
          </w:tcPr>
          <w:p w14:paraId="7643932B" w14:textId="77777777" w:rsidR="008B5542" w:rsidRPr="00E60CDA" w:rsidRDefault="008B5542" w:rsidP="00E5142B">
            <w:pPr>
              <w:rPr>
                <w:rFonts w:asciiTheme="majorHAnsi" w:hAnsiTheme="majorHAnsi" w:cstheme="majorHAnsi"/>
                <w:sz w:val="24"/>
                <w:szCs w:val="24"/>
              </w:rPr>
            </w:pPr>
            <w:r w:rsidRPr="00E60CDA">
              <w:rPr>
                <w:rFonts w:asciiTheme="majorHAnsi" w:hAnsiTheme="majorHAnsi" w:cstheme="majorHAnsi"/>
                <w:sz w:val="24"/>
                <w:szCs w:val="24"/>
              </w:rPr>
              <w:t>.015</w:t>
            </w:r>
          </w:p>
        </w:tc>
        <w:tc>
          <w:tcPr>
            <w:tcW w:w="1682" w:type="dxa"/>
            <w:noWrap/>
            <w:hideMark/>
          </w:tcPr>
          <w:p w14:paraId="1971C917" w14:textId="77777777" w:rsidR="008B5542" w:rsidRPr="00E60CDA" w:rsidRDefault="008B5542" w:rsidP="00E5142B">
            <w:pPr>
              <w:rPr>
                <w:rFonts w:asciiTheme="majorHAnsi" w:hAnsiTheme="majorHAnsi" w:cstheme="majorHAnsi"/>
                <w:sz w:val="24"/>
                <w:szCs w:val="24"/>
                <w:lang w:val="en-US"/>
              </w:rPr>
            </w:pPr>
            <w:r w:rsidRPr="00E60CDA">
              <w:rPr>
                <w:rFonts w:asciiTheme="majorHAnsi" w:hAnsiTheme="majorHAnsi" w:cstheme="majorHAnsi"/>
                <w:sz w:val="24"/>
                <w:szCs w:val="24"/>
                <w:lang w:val="en-US"/>
              </w:rPr>
              <w:t>[.098, .158]</w:t>
            </w:r>
          </w:p>
        </w:tc>
        <w:tc>
          <w:tcPr>
            <w:tcW w:w="2268" w:type="dxa"/>
            <w:noWrap/>
            <w:hideMark/>
          </w:tcPr>
          <w:p w14:paraId="3D3C438F" w14:textId="77777777" w:rsidR="008B5542" w:rsidRPr="00E60CDA" w:rsidRDefault="008B5542" w:rsidP="00E5142B">
            <w:pPr>
              <w:rPr>
                <w:rFonts w:asciiTheme="majorHAnsi" w:hAnsiTheme="majorHAnsi" w:cstheme="majorHAnsi"/>
                <w:sz w:val="24"/>
                <w:szCs w:val="24"/>
                <w:lang w:val="en-US"/>
              </w:rPr>
            </w:pPr>
            <w:r w:rsidRPr="00E60CDA">
              <w:rPr>
                <w:rFonts w:asciiTheme="majorHAnsi" w:hAnsiTheme="majorHAnsi" w:cstheme="majorHAnsi"/>
                <w:sz w:val="24"/>
                <w:szCs w:val="24"/>
                <w:lang w:val="en-US"/>
              </w:rPr>
              <w:t>&lt;.001</w:t>
            </w:r>
          </w:p>
        </w:tc>
      </w:tr>
      <w:tr w:rsidR="008B5542" w:rsidRPr="00E60CDA" w14:paraId="3ACC5481" w14:textId="77777777" w:rsidTr="00E5142B">
        <w:trPr>
          <w:trHeight w:val="300"/>
        </w:trPr>
        <w:tc>
          <w:tcPr>
            <w:tcW w:w="3261" w:type="dxa"/>
            <w:noWrap/>
            <w:hideMark/>
          </w:tcPr>
          <w:p w14:paraId="1A60EF09" w14:textId="77777777" w:rsidR="008B5542" w:rsidRPr="0020002B" w:rsidRDefault="008B5542" w:rsidP="00E5142B">
            <w:pPr>
              <w:rPr>
                <w:rFonts w:asciiTheme="majorHAnsi" w:hAnsiTheme="majorHAnsi" w:cstheme="majorHAnsi"/>
                <w:i/>
                <w:sz w:val="24"/>
                <w:szCs w:val="24"/>
                <w:lang w:val="en-US"/>
              </w:rPr>
            </w:pPr>
            <w:r w:rsidRPr="0020002B">
              <w:rPr>
                <w:rFonts w:asciiTheme="majorHAnsi" w:hAnsiTheme="majorHAnsi" w:cstheme="majorHAnsi"/>
                <w:bCs/>
                <w:i/>
                <w:sz w:val="24"/>
                <w:szCs w:val="24"/>
                <w:lang w:val="en-US"/>
              </w:rPr>
              <w:t>Interaction effects</w:t>
            </w:r>
          </w:p>
        </w:tc>
        <w:tc>
          <w:tcPr>
            <w:tcW w:w="1479" w:type="dxa"/>
            <w:noWrap/>
            <w:hideMark/>
          </w:tcPr>
          <w:p w14:paraId="13BEDCAD" w14:textId="77777777" w:rsidR="008B5542" w:rsidRPr="00E60CDA" w:rsidRDefault="008B5542" w:rsidP="00E5142B">
            <w:pPr>
              <w:rPr>
                <w:rFonts w:asciiTheme="majorHAnsi" w:hAnsiTheme="majorHAnsi" w:cstheme="majorHAnsi"/>
                <w:sz w:val="24"/>
                <w:szCs w:val="24"/>
                <w:lang w:val="en-US"/>
              </w:rPr>
            </w:pPr>
          </w:p>
        </w:tc>
        <w:tc>
          <w:tcPr>
            <w:tcW w:w="1233" w:type="dxa"/>
            <w:noWrap/>
            <w:hideMark/>
          </w:tcPr>
          <w:p w14:paraId="1C24995D" w14:textId="77777777" w:rsidR="008B5542" w:rsidRPr="00E60CDA" w:rsidRDefault="008B5542" w:rsidP="00E5142B">
            <w:pPr>
              <w:rPr>
                <w:rFonts w:asciiTheme="majorHAnsi" w:hAnsiTheme="majorHAnsi" w:cstheme="majorHAnsi"/>
                <w:sz w:val="24"/>
                <w:szCs w:val="24"/>
                <w:lang w:val="en-US"/>
              </w:rPr>
            </w:pPr>
          </w:p>
        </w:tc>
        <w:tc>
          <w:tcPr>
            <w:tcW w:w="1682" w:type="dxa"/>
            <w:noWrap/>
            <w:hideMark/>
          </w:tcPr>
          <w:p w14:paraId="431C4752" w14:textId="77777777" w:rsidR="008B5542" w:rsidRPr="00E60CDA" w:rsidRDefault="008B5542" w:rsidP="00E5142B">
            <w:pPr>
              <w:rPr>
                <w:rFonts w:asciiTheme="majorHAnsi" w:hAnsiTheme="majorHAnsi" w:cstheme="majorHAnsi"/>
                <w:sz w:val="24"/>
                <w:szCs w:val="24"/>
                <w:lang w:val="en-US"/>
              </w:rPr>
            </w:pPr>
          </w:p>
        </w:tc>
        <w:tc>
          <w:tcPr>
            <w:tcW w:w="2268" w:type="dxa"/>
            <w:noWrap/>
            <w:hideMark/>
          </w:tcPr>
          <w:p w14:paraId="2EE8FA05" w14:textId="77777777" w:rsidR="008B5542" w:rsidRPr="00E60CDA" w:rsidRDefault="008B5542" w:rsidP="00E5142B">
            <w:pPr>
              <w:rPr>
                <w:rFonts w:asciiTheme="majorHAnsi" w:hAnsiTheme="majorHAnsi" w:cstheme="majorHAnsi"/>
                <w:sz w:val="24"/>
                <w:szCs w:val="24"/>
                <w:lang w:val="en-US"/>
              </w:rPr>
            </w:pPr>
          </w:p>
        </w:tc>
      </w:tr>
      <w:tr w:rsidR="008B5542" w:rsidRPr="00E60CDA" w14:paraId="2DC485D1" w14:textId="77777777" w:rsidTr="00E5142B">
        <w:trPr>
          <w:trHeight w:val="300"/>
        </w:trPr>
        <w:tc>
          <w:tcPr>
            <w:tcW w:w="3261" w:type="dxa"/>
            <w:noWrap/>
          </w:tcPr>
          <w:p w14:paraId="4BD2A5AA" w14:textId="77777777" w:rsidR="008B5542" w:rsidRPr="00E60CDA" w:rsidRDefault="008B5542" w:rsidP="00E5142B">
            <w:pPr>
              <w:rPr>
                <w:rFonts w:asciiTheme="majorHAnsi" w:hAnsiTheme="majorHAnsi" w:cstheme="majorHAnsi"/>
                <w:b/>
                <w:bCs/>
                <w:sz w:val="24"/>
                <w:szCs w:val="24"/>
                <w:lang w:val="en-US"/>
              </w:rPr>
            </w:pPr>
            <w:r w:rsidRPr="00E60CDA">
              <w:rPr>
                <w:rFonts w:asciiTheme="majorHAnsi" w:hAnsiTheme="majorHAnsi" w:cstheme="majorHAnsi"/>
                <w:sz w:val="24"/>
                <w:szCs w:val="24"/>
                <w:lang w:val="en-US"/>
              </w:rPr>
              <w:t xml:space="preserve">PS * NLE </w:t>
            </w:r>
            <w:r w:rsidRPr="00E60CDA">
              <w:rPr>
                <w:rFonts w:asciiTheme="majorHAnsi" w:hAnsiTheme="majorHAnsi" w:cstheme="majorHAnsi"/>
                <w:i/>
                <w:sz w:val="24"/>
                <w:szCs w:val="24"/>
                <w:lang w:val="en-US"/>
              </w:rPr>
              <w:t>previous year</w:t>
            </w:r>
          </w:p>
        </w:tc>
        <w:tc>
          <w:tcPr>
            <w:tcW w:w="1479" w:type="dxa"/>
            <w:noWrap/>
          </w:tcPr>
          <w:p w14:paraId="6B2A4B90" w14:textId="77777777" w:rsidR="008B5542" w:rsidRPr="00E60CDA" w:rsidRDefault="008B5542" w:rsidP="00E5142B">
            <w:pPr>
              <w:rPr>
                <w:rFonts w:asciiTheme="majorHAnsi" w:hAnsiTheme="majorHAnsi" w:cstheme="majorHAnsi"/>
                <w:b/>
                <w:bCs/>
                <w:sz w:val="24"/>
                <w:szCs w:val="24"/>
                <w:lang w:val="en-US"/>
              </w:rPr>
            </w:pPr>
            <w:r w:rsidRPr="00E60CDA">
              <w:rPr>
                <w:rFonts w:asciiTheme="majorHAnsi" w:hAnsiTheme="majorHAnsi" w:cstheme="majorHAnsi"/>
                <w:sz w:val="24"/>
                <w:szCs w:val="24"/>
                <w:lang w:val="en-US"/>
              </w:rPr>
              <w:t>.012</w:t>
            </w:r>
          </w:p>
        </w:tc>
        <w:tc>
          <w:tcPr>
            <w:tcW w:w="1233" w:type="dxa"/>
            <w:noWrap/>
          </w:tcPr>
          <w:p w14:paraId="50A1C73A" w14:textId="77777777" w:rsidR="008B5542" w:rsidRPr="00E60CDA" w:rsidRDefault="008B5542" w:rsidP="00E5142B">
            <w:pPr>
              <w:rPr>
                <w:rFonts w:asciiTheme="majorHAnsi" w:hAnsiTheme="majorHAnsi" w:cstheme="majorHAnsi"/>
                <w:sz w:val="24"/>
                <w:szCs w:val="24"/>
                <w:lang w:val="en-US"/>
              </w:rPr>
            </w:pPr>
            <w:r w:rsidRPr="00E60CDA">
              <w:rPr>
                <w:rFonts w:asciiTheme="majorHAnsi" w:hAnsiTheme="majorHAnsi" w:cstheme="majorHAnsi"/>
                <w:sz w:val="24"/>
                <w:szCs w:val="24"/>
                <w:lang w:val="en-US"/>
              </w:rPr>
              <w:t>.014</w:t>
            </w:r>
          </w:p>
        </w:tc>
        <w:tc>
          <w:tcPr>
            <w:tcW w:w="1682" w:type="dxa"/>
            <w:noWrap/>
          </w:tcPr>
          <w:p w14:paraId="6964D5E8" w14:textId="77777777" w:rsidR="008B5542" w:rsidRPr="00E60CDA" w:rsidRDefault="008B5542" w:rsidP="00E5142B">
            <w:pPr>
              <w:rPr>
                <w:rFonts w:asciiTheme="majorHAnsi" w:hAnsiTheme="majorHAnsi" w:cstheme="majorHAnsi"/>
                <w:sz w:val="24"/>
                <w:szCs w:val="24"/>
                <w:lang w:val="en-US"/>
              </w:rPr>
            </w:pPr>
            <w:r w:rsidRPr="00E60CDA">
              <w:rPr>
                <w:rFonts w:asciiTheme="majorHAnsi" w:hAnsiTheme="majorHAnsi" w:cstheme="majorHAnsi"/>
                <w:sz w:val="24"/>
                <w:szCs w:val="24"/>
                <w:lang w:val="en-US"/>
              </w:rPr>
              <w:t>[-.015, .040]</w:t>
            </w:r>
          </w:p>
        </w:tc>
        <w:tc>
          <w:tcPr>
            <w:tcW w:w="2268" w:type="dxa"/>
            <w:noWrap/>
          </w:tcPr>
          <w:p w14:paraId="5C6F1D51" w14:textId="77777777" w:rsidR="008B5542" w:rsidRPr="00E60CDA" w:rsidRDefault="008B5542" w:rsidP="00E5142B">
            <w:pPr>
              <w:rPr>
                <w:rFonts w:asciiTheme="majorHAnsi" w:hAnsiTheme="majorHAnsi" w:cstheme="majorHAnsi"/>
                <w:sz w:val="24"/>
                <w:szCs w:val="24"/>
                <w:lang w:val="en-US"/>
              </w:rPr>
            </w:pPr>
            <w:r w:rsidRPr="00E60CDA">
              <w:rPr>
                <w:rFonts w:asciiTheme="majorHAnsi" w:hAnsiTheme="majorHAnsi" w:cstheme="majorHAnsi"/>
                <w:sz w:val="24"/>
                <w:szCs w:val="24"/>
                <w:lang w:val="en-US"/>
              </w:rPr>
              <w:t xml:space="preserve"> .378</w:t>
            </w:r>
          </w:p>
        </w:tc>
      </w:tr>
      <w:tr w:rsidR="008B5542" w:rsidRPr="00E60CDA" w14:paraId="5FF2E3F5" w14:textId="77777777" w:rsidTr="00E5142B">
        <w:trPr>
          <w:trHeight w:val="300"/>
        </w:trPr>
        <w:tc>
          <w:tcPr>
            <w:tcW w:w="3261" w:type="dxa"/>
            <w:noWrap/>
          </w:tcPr>
          <w:p w14:paraId="674E7126" w14:textId="77777777" w:rsidR="008B5542" w:rsidRPr="00E60CDA" w:rsidRDefault="008B5542" w:rsidP="00E5142B">
            <w:pPr>
              <w:rPr>
                <w:rFonts w:asciiTheme="majorHAnsi" w:hAnsiTheme="majorHAnsi" w:cstheme="majorHAnsi"/>
                <w:b/>
                <w:bCs/>
                <w:sz w:val="24"/>
                <w:szCs w:val="24"/>
              </w:rPr>
            </w:pPr>
          </w:p>
        </w:tc>
        <w:tc>
          <w:tcPr>
            <w:tcW w:w="1479" w:type="dxa"/>
            <w:noWrap/>
          </w:tcPr>
          <w:p w14:paraId="4757B0EC" w14:textId="77777777" w:rsidR="008B5542" w:rsidRPr="00E60CDA" w:rsidRDefault="008B5542" w:rsidP="00E5142B">
            <w:pPr>
              <w:rPr>
                <w:rFonts w:asciiTheme="majorHAnsi" w:hAnsiTheme="majorHAnsi" w:cstheme="majorHAnsi"/>
                <w:sz w:val="24"/>
                <w:szCs w:val="24"/>
                <w:lang w:val="en-US"/>
              </w:rPr>
            </w:pPr>
          </w:p>
        </w:tc>
        <w:tc>
          <w:tcPr>
            <w:tcW w:w="1233" w:type="dxa"/>
            <w:noWrap/>
          </w:tcPr>
          <w:p w14:paraId="0A2B19B7" w14:textId="77777777" w:rsidR="008B5542" w:rsidRPr="00E60CDA" w:rsidRDefault="008B5542" w:rsidP="00E5142B">
            <w:pPr>
              <w:rPr>
                <w:rFonts w:asciiTheme="majorHAnsi" w:hAnsiTheme="majorHAnsi" w:cstheme="majorHAnsi"/>
                <w:sz w:val="24"/>
                <w:szCs w:val="24"/>
                <w:lang w:val="en-US"/>
              </w:rPr>
            </w:pPr>
          </w:p>
        </w:tc>
        <w:tc>
          <w:tcPr>
            <w:tcW w:w="1682" w:type="dxa"/>
            <w:noWrap/>
          </w:tcPr>
          <w:p w14:paraId="32863C00" w14:textId="77777777" w:rsidR="008B5542" w:rsidRPr="00E60CDA" w:rsidRDefault="008B5542" w:rsidP="00E5142B">
            <w:pPr>
              <w:rPr>
                <w:rFonts w:asciiTheme="majorHAnsi" w:hAnsiTheme="majorHAnsi" w:cstheme="majorHAnsi"/>
                <w:sz w:val="24"/>
                <w:szCs w:val="24"/>
                <w:lang w:val="en-US"/>
              </w:rPr>
            </w:pPr>
          </w:p>
        </w:tc>
        <w:tc>
          <w:tcPr>
            <w:tcW w:w="2268" w:type="dxa"/>
            <w:noWrap/>
          </w:tcPr>
          <w:p w14:paraId="62B8A084" w14:textId="77777777" w:rsidR="008B5542" w:rsidRPr="00E60CDA" w:rsidRDefault="008B5542" w:rsidP="00E5142B">
            <w:pPr>
              <w:rPr>
                <w:rFonts w:asciiTheme="majorHAnsi" w:hAnsiTheme="majorHAnsi" w:cstheme="majorHAnsi"/>
                <w:sz w:val="24"/>
                <w:szCs w:val="24"/>
                <w:lang w:val="en-US"/>
              </w:rPr>
            </w:pPr>
          </w:p>
        </w:tc>
      </w:tr>
      <w:tr w:rsidR="008B5542" w:rsidRPr="00E60CDA" w14:paraId="776D0B5F" w14:textId="77777777" w:rsidTr="00E5142B">
        <w:trPr>
          <w:trHeight w:val="300"/>
        </w:trPr>
        <w:tc>
          <w:tcPr>
            <w:tcW w:w="3261" w:type="dxa"/>
            <w:noWrap/>
          </w:tcPr>
          <w:p w14:paraId="04201F73" w14:textId="77777777" w:rsidR="008B5542" w:rsidRPr="0020002B" w:rsidRDefault="008B5542" w:rsidP="00E5142B">
            <w:pPr>
              <w:rPr>
                <w:rFonts w:asciiTheme="majorHAnsi" w:hAnsiTheme="majorHAnsi" w:cstheme="majorHAnsi"/>
                <w:i/>
                <w:sz w:val="24"/>
                <w:szCs w:val="24"/>
                <w:lang w:val="en-US"/>
              </w:rPr>
            </w:pPr>
            <w:r w:rsidRPr="0020002B">
              <w:rPr>
                <w:rFonts w:asciiTheme="majorHAnsi" w:hAnsiTheme="majorHAnsi" w:cstheme="majorHAnsi"/>
                <w:bCs/>
                <w:i/>
                <w:sz w:val="24"/>
                <w:szCs w:val="24"/>
              </w:rPr>
              <w:t>Main effects</w:t>
            </w:r>
          </w:p>
        </w:tc>
        <w:tc>
          <w:tcPr>
            <w:tcW w:w="1479" w:type="dxa"/>
            <w:noWrap/>
          </w:tcPr>
          <w:p w14:paraId="5F633267" w14:textId="77777777" w:rsidR="008B5542" w:rsidRPr="00E60CDA" w:rsidRDefault="008B5542" w:rsidP="00E5142B">
            <w:pPr>
              <w:rPr>
                <w:rFonts w:asciiTheme="majorHAnsi" w:hAnsiTheme="majorHAnsi" w:cstheme="majorHAnsi"/>
                <w:sz w:val="24"/>
                <w:szCs w:val="24"/>
                <w:lang w:val="en-US"/>
              </w:rPr>
            </w:pPr>
          </w:p>
        </w:tc>
        <w:tc>
          <w:tcPr>
            <w:tcW w:w="1233" w:type="dxa"/>
            <w:noWrap/>
          </w:tcPr>
          <w:p w14:paraId="7B917906" w14:textId="77777777" w:rsidR="008B5542" w:rsidRPr="00E60CDA" w:rsidRDefault="008B5542" w:rsidP="00E5142B">
            <w:pPr>
              <w:rPr>
                <w:rFonts w:asciiTheme="majorHAnsi" w:hAnsiTheme="majorHAnsi" w:cstheme="majorHAnsi"/>
                <w:sz w:val="24"/>
                <w:szCs w:val="24"/>
                <w:lang w:val="en-US"/>
              </w:rPr>
            </w:pPr>
          </w:p>
        </w:tc>
        <w:tc>
          <w:tcPr>
            <w:tcW w:w="1682" w:type="dxa"/>
            <w:noWrap/>
          </w:tcPr>
          <w:p w14:paraId="16DCD2B1" w14:textId="77777777" w:rsidR="008B5542" w:rsidRPr="00E60CDA" w:rsidRDefault="008B5542" w:rsidP="00E5142B">
            <w:pPr>
              <w:rPr>
                <w:rFonts w:asciiTheme="majorHAnsi" w:hAnsiTheme="majorHAnsi" w:cstheme="majorHAnsi"/>
                <w:sz w:val="24"/>
                <w:szCs w:val="24"/>
                <w:lang w:val="en-US"/>
              </w:rPr>
            </w:pPr>
          </w:p>
        </w:tc>
        <w:tc>
          <w:tcPr>
            <w:tcW w:w="2268" w:type="dxa"/>
            <w:noWrap/>
          </w:tcPr>
          <w:p w14:paraId="308B9F5A" w14:textId="77777777" w:rsidR="008B5542" w:rsidRPr="00E60CDA" w:rsidRDefault="008B5542" w:rsidP="00E5142B">
            <w:pPr>
              <w:rPr>
                <w:rFonts w:asciiTheme="majorHAnsi" w:hAnsiTheme="majorHAnsi" w:cstheme="majorHAnsi"/>
                <w:sz w:val="24"/>
                <w:szCs w:val="24"/>
                <w:lang w:val="en-US"/>
              </w:rPr>
            </w:pPr>
          </w:p>
        </w:tc>
      </w:tr>
      <w:tr w:rsidR="008B5542" w:rsidRPr="00E60CDA" w14:paraId="12B8B0AD" w14:textId="77777777" w:rsidTr="00E5142B">
        <w:trPr>
          <w:trHeight w:val="300"/>
        </w:trPr>
        <w:tc>
          <w:tcPr>
            <w:tcW w:w="3261" w:type="dxa"/>
            <w:noWrap/>
          </w:tcPr>
          <w:p w14:paraId="2D5A26E3" w14:textId="77777777" w:rsidR="008B5542" w:rsidRPr="00E60CDA" w:rsidRDefault="008B5542" w:rsidP="00E5142B">
            <w:pPr>
              <w:rPr>
                <w:rFonts w:asciiTheme="majorHAnsi" w:hAnsiTheme="majorHAnsi" w:cstheme="majorHAnsi"/>
                <w:sz w:val="24"/>
                <w:szCs w:val="24"/>
                <w:lang w:val="en-US"/>
              </w:rPr>
            </w:pPr>
            <w:r w:rsidRPr="00E60CDA">
              <w:rPr>
                <w:rFonts w:asciiTheme="majorHAnsi" w:hAnsiTheme="majorHAnsi" w:cstheme="majorHAnsi"/>
                <w:sz w:val="24"/>
                <w:szCs w:val="24"/>
              </w:rPr>
              <w:t>PS ADHD</w:t>
            </w:r>
          </w:p>
        </w:tc>
        <w:tc>
          <w:tcPr>
            <w:tcW w:w="1479" w:type="dxa"/>
            <w:noWrap/>
          </w:tcPr>
          <w:p w14:paraId="7692912D" w14:textId="77777777" w:rsidR="008B5542" w:rsidRPr="00E60CDA" w:rsidRDefault="008B5542" w:rsidP="00E5142B">
            <w:pPr>
              <w:rPr>
                <w:rFonts w:asciiTheme="majorHAnsi" w:hAnsiTheme="majorHAnsi" w:cstheme="majorHAnsi"/>
                <w:sz w:val="24"/>
                <w:szCs w:val="24"/>
                <w:lang w:val="en-US"/>
              </w:rPr>
            </w:pPr>
            <w:r w:rsidRPr="00E60CDA">
              <w:rPr>
                <w:rFonts w:asciiTheme="majorHAnsi" w:hAnsiTheme="majorHAnsi" w:cstheme="majorHAnsi"/>
                <w:sz w:val="24"/>
                <w:szCs w:val="24"/>
              </w:rPr>
              <w:t>.030</w:t>
            </w:r>
          </w:p>
        </w:tc>
        <w:tc>
          <w:tcPr>
            <w:tcW w:w="1233" w:type="dxa"/>
            <w:noWrap/>
          </w:tcPr>
          <w:p w14:paraId="6FD86CD2" w14:textId="77777777" w:rsidR="008B5542" w:rsidRPr="00E60CDA" w:rsidRDefault="008B5542" w:rsidP="00E5142B">
            <w:pPr>
              <w:rPr>
                <w:rFonts w:asciiTheme="majorHAnsi" w:hAnsiTheme="majorHAnsi" w:cstheme="majorHAnsi"/>
                <w:sz w:val="24"/>
                <w:szCs w:val="24"/>
                <w:lang w:val="en-US"/>
              </w:rPr>
            </w:pPr>
            <w:r w:rsidRPr="00E60CDA">
              <w:rPr>
                <w:rFonts w:asciiTheme="majorHAnsi" w:hAnsiTheme="majorHAnsi" w:cstheme="majorHAnsi"/>
                <w:sz w:val="24"/>
                <w:szCs w:val="24"/>
              </w:rPr>
              <w:t>.013</w:t>
            </w:r>
          </w:p>
        </w:tc>
        <w:tc>
          <w:tcPr>
            <w:tcW w:w="1682" w:type="dxa"/>
            <w:noWrap/>
          </w:tcPr>
          <w:p w14:paraId="5CD3AFB2" w14:textId="77777777" w:rsidR="008B5542" w:rsidRPr="00E60CDA" w:rsidRDefault="008B5542" w:rsidP="00E5142B">
            <w:pPr>
              <w:rPr>
                <w:rFonts w:asciiTheme="majorHAnsi" w:hAnsiTheme="majorHAnsi" w:cstheme="majorHAnsi"/>
                <w:sz w:val="24"/>
                <w:szCs w:val="24"/>
                <w:lang w:val="en-US"/>
              </w:rPr>
            </w:pPr>
            <w:r w:rsidRPr="00E60CDA">
              <w:rPr>
                <w:rFonts w:asciiTheme="majorHAnsi" w:hAnsiTheme="majorHAnsi" w:cstheme="majorHAnsi"/>
                <w:sz w:val="24"/>
                <w:szCs w:val="24"/>
              </w:rPr>
              <w:t>[.005, .056]</w:t>
            </w:r>
          </w:p>
        </w:tc>
        <w:tc>
          <w:tcPr>
            <w:tcW w:w="2268" w:type="dxa"/>
            <w:noWrap/>
          </w:tcPr>
          <w:p w14:paraId="40081FCC" w14:textId="77777777" w:rsidR="008B5542" w:rsidRPr="00E60CDA" w:rsidRDefault="008B5542" w:rsidP="00E5142B">
            <w:pPr>
              <w:rPr>
                <w:rFonts w:asciiTheme="majorHAnsi" w:hAnsiTheme="majorHAnsi" w:cstheme="majorHAnsi"/>
                <w:sz w:val="24"/>
                <w:szCs w:val="24"/>
                <w:lang w:val="en-US"/>
              </w:rPr>
            </w:pPr>
            <w:r w:rsidRPr="00E60CDA">
              <w:rPr>
                <w:rFonts w:asciiTheme="majorHAnsi" w:hAnsiTheme="majorHAnsi" w:cstheme="majorHAnsi"/>
                <w:sz w:val="24"/>
                <w:szCs w:val="24"/>
              </w:rPr>
              <w:t xml:space="preserve"> .021</w:t>
            </w:r>
          </w:p>
        </w:tc>
      </w:tr>
      <w:tr w:rsidR="008B5542" w:rsidRPr="00E60CDA" w14:paraId="251DD19B" w14:textId="77777777" w:rsidTr="00E5142B">
        <w:trPr>
          <w:trHeight w:val="300"/>
        </w:trPr>
        <w:tc>
          <w:tcPr>
            <w:tcW w:w="3261" w:type="dxa"/>
            <w:noWrap/>
          </w:tcPr>
          <w:p w14:paraId="525E8EF9" w14:textId="77777777" w:rsidR="008B5542" w:rsidRPr="00E60CDA" w:rsidRDefault="008B5542" w:rsidP="00E5142B">
            <w:pPr>
              <w:rPr>
                <w:rFonts w:asciiTheme="majorHAnsi" w:hAnsiTheme="majorHAnsi" w:cstheme="majorHAnsi"/>
                <w:sz w:val="24"/>
                <w:szCs w:val="24"/>
                <w:lang w:val="en-US"/>
              </w:rPr>
            </w:pPr>
            <w:r w:rsidRPr="00E60CDA">
              <w:rPr>
                <w:rFonts w:asciiTheme="majorHAnsi" w:hAnsiTheme="majorHAnsi" w:cstheme="majorHAnsi"/>
                <w:sz w:val="24"/>
                <w:szCs w:val="24"/>
                <w:lang w:val="en-US"/>
              </w:rPr>
              <w:t xml:space="preserve">NLE </w:t>
            </w:r>
            <w:r w:rsidRPr="0020002B">
              <w:rPr>
                <w:rFonts w:asciiTheme="majorHAnsi" w:hAnsiTheme="majorHAnsi" w:cstheme="majorHAnsi"/>
                <w:sz w:val="24"/>
                <w:szCs w:val="24"/>
                <w:lang w:val="en-US"/>
              </w:rPr>
              <w:t>over the lifetime</w:t>
            </w:r>
            <w:r w:rsidRPr="00E60CDA">
              <w:rPr>
                <w:rFonts w:asciiTheme="majorHAnsi" w:hAnsiTheme="majorHAnsi" w:cstheme="majorHAnsi"/>
                <w:sz w:val="24"/>
                <w:szCs w:val="24"/>
                <w:lang w:val="en-US"/>
              </w:rPr>
              <w:t xml:space="preserve"> </w:t>
            </w:r>
          </w:p>
        </w:tc>
        <w:tc>
          <w:tcPr>
            <w:tcW w:w="1479" w:type="dxa"/>
            <w:noWrap/>
          </w:tcPr>
          <w:p w14:paraId="109FD428" w14:textId="77777777" w:rsidR="008B5542" w:rsidRPr="00E60CDA" w:rsidRDefault="008B5542" w:rsidP="00E5142B">
            <w:pPr>
              <w:rPr>
                <w:rFonts w:asciiTheme="majorHAnsi" w:hAnsiTheme="majorHAnsi" w:cstheme="majorHAnsi"/>
                <w:sz w:val="24"/>
                <w:szCs w:val="24"/>
                <w:lang w:val="en-US"/>
              </w:rPr>
            </w:pPr>
            <w:r w:rsidRPr="00E60CDA">
              <w:rPr>
                <w:rFonts w:asciiTheme="majorHAnsi" w:hAnsiTheme="majorHAnsi" w:cstheme="majorHAnsi"/>
                <w:sz w:val="24"/>
                <w:szCs w:val="24"/>
              </w:rPr>
              <w:t>.134</w:t>
            </w:r>
          </w:p>
        </w:tc>
        <w:tc>
          <w:tcPr>
            <w:tcW w:w="1233" w:type="dxa"/>
            <w:noWrap/>
          </w:tcPr>
          <w:p w14:paraId="5E9AB302" w14:textId="77777777" w:rsidR="008B5542" w:rsidRPr="00E60CDA" w:rsidRDefault="008B5542" w:rsidP="00E5142B">
            <w:pPr>
              <w:rPr>
                <w:rFonts w:asciiTheme="majorHAnsi" w:hAnsiTheme="majorHAnsi" w:cstheme="majorHAnsi"/>
                <w:sz w:val="24"/>
                <w:szCs w:val="24"/>
                <w:lang w:val="en-US"/>
              </w:rPr>
            </w:pPr>
            <w:r w:rsidRPr="00E60CDA">
              <w:rPr>
                <w:rFonts w:asciiTheme="majorHAnsi" w:hAnsiTheme="majorHAnsi" w:cstheme="majorHAnsi"/>
                <w:sz w:val="24"/>
                <w:szCs w:val="24"/>
              </w:rPr>
              <w:t>.014</w:t>
            </w:r>
          </w:p>
        </w:tc>
        <w:tc>
          <w:tcPr>
            <w:tcW w:w="1682" w:type="dxa"/>
            <w:noWrap/>
          </w:tcPr>
          <w:p w14:paraId="6FD24192" w14:textId="77777777" w:rsidR="008B5542" w:rsidRPr="00E60CDA" w:rsidRDefault="008B5542" w:rsidP="00E5142B">
            <w:pPr>
              <w:rPr>
                <w:rFonts w:asciiTheme="majorHAnsi" w:hAnsiTheme="majorHAnsi" w:cstheme="majorHAnsi"/>
                <w:sz w:val="24"/>
                <w:szCs w:val="24"/>
                <w:lang w:val="en-US"/>
              </w:rPr>
            </w:pPr>
            <w:r w:rsidRPr="00E60CDA">
              <w:rPr>
                <w:rFonts w:asciiTheme="majorHAnsi" w:hAnsiTheme="majorHAnsi" w:cstheme="majorHAnsi"/>
                <w:sz w:val="24"/>
                <w:szCs w:val="24"/>
              </w:rPr>
              <w:t>[.107, .161]</w:t>
            </w:r>
          </w:p>
        </w:tc>
        <w:tc>
          <w:tcPr>
            <w:tcW w:w="2268" w:type="dxa"/>
            <w:noWrap/>
          </w:tcPr>
          <w:p w14:paraId="702A62D1" w14:textId="77777777" w:rsidR="008B5542" w:rsidRPr="00E60CDA" w:rsidRDefault="008B5542" w:rsidP="00E5142B">
            <w:pPr>
              <w:rPr>
                <w:rFonts w:asciiTheme="majorHAnsi" w:hAnsiTheme="majorHAnsi" w:cstheme="majorHAnsi"/>
                <w:sz w:val="24"/>
                <w:szCs w:val="24"/>
                <w:lang w:val="en-US"/>
              </w:rPr>
            </w:pPr>
            <w:r w:rsidRPr="00E60CDA">
              <w:rPr>
                <w:rFonts w:asciiTheme="majorHAnsi" w:hAnsiTheme="majorHAnsi" w:cstheme="majorHAnsi"/>
                <w:sz w:val="24"/>
                <w:szCs w:val="24"/>
              </w:rPr>
              <w:t>&lt;.001</w:t>
            </w:r>
          </w:p>
        </w:tc>
      </w:tr>
      <w:tr w:rsidR="008B5542" w:rsidRPr="00E60CDA" w14:paraId="2A793384" w14:textId="77777777" w:rsidTr="00E5142B">
        <w:trPr>
          <w:trHeight w:val="300"/>
        </w:trPr>
        <w:tc>
          <w:tcPr>
            <w:tcW w:w="3261" w:type="dxa"/>
            <w:noWrap/>
          </w:tcPr>
          <w:p w14:paraId="03FEED85" w14:textId="77777777" w:rsidR="008B5542" w:rsidRPr="0020002B" w:rsidRDefault="008B5542" w:rsidP="00E5142B">
            <w:pPr>
              <w:rPr>
                <w:rFonts w:asciiTheme="majorHAnsi" w:hAnsiTheme="majorHAnsi" w:cstheme="majorHAnsi"/>
                <w:i/>
                <w:sz w:val="24"/>
                <w:szCs w:val="24"/>
                <w:lang w:val="en-US"/>
              </w:rPr>
            </w:pPr>
            <w:r w:rsidRPr="0020002B">
              <w:rPr>
                <w:rFonts w:asciiTheme="majorHAnsi" w:hAnsiTheme="majorHAnsi" w:cstheme="majorHAnsi"/>
                <w:bCs/>
                <w:i/>
                <w:sz w:val="24"/>
                <w:szCs w:val="24"/>
              </w:rPr>
              <w:t>Interaction effects</w:t>
            </w:r>
          </w:p>
        </w:tc>
        <w:tc>
          <w:tcPr>
            <w:tcW w:w="1479" w:type="dxa"/>
            <w:noWrap/>
          </w:tcPr>
          <w:p w14:paraId="65EAC25C" w14:textId="77777777" w:rsidR="008B5542" w:rsidRPr="00E60CDA" w:rsidRDefault="008B5542" w:rsidP="00E5142B">
            <w:pPr>
              <w:rPr>
                <w:rFonts w:asciiTheme="majorHAnsi" w:hAnsiTheme="majorHAnsi" w:cstheme="majorHAnsi"/>
                <w:sz w:val="24"/>
                <w:szCs w:val="24"/>
                <w:lang w:val="en-US"/>
              </w:rPr>
            </w:pPr>
          </w:p>
        </w:tc>
        <w:tc>
          <w:tcPr>
            <w:tcW w:w="1233" w:type="dxa"/>
            <w:noWrap/>
          </w:tcPr>
          <w:p w14:paraId="7A2F225A" w14:textId="77777777" w:rsidR="008B5542" w:rsidRPr="00E60CDA" w:rsidRDefault="008B5542" w:rsidP="00E5142B">
            <w:pPr>
              <w:rPr>
                <w:rFonts w:asciiTheme="majorHAnsi" w:hAnsiTheme="majorHAnsi" w:cstheme="majorHAnsi"/>
                <w:sz w:val="24"/>
                <w:szCs w:val="24"/>
                <w:lang w:val="en-US"/>
              </w:rPr>
            </w:pPr>
          </w:p>
        </w:tc>
        <w:tc>
          <w:tcPr>
            <w:tcW w:w="1682" w:type="dxa"/>
            <w:noWrap/>
          </w:tcPr>
          <w:p w14:paraId="7D45DC37" w14:textId="77777777" w:rsidR="008B5542" w:rsidRPr="00E60CDA" w:rsidRDefault="008B5542" w:rsidP="00E5142B">
            <w:pPr>
              <w:rPr>
                <w:rFonts w:asciiTheme="majorHAnsi" w:hAnsiTheme="majorHAnsi" w:cstheme="majorHAnsi"/>
                <w:sz w:val="24"/>
                <w:szCs w:val="24"/>
                <w:lang w:val="en-US"/>
              </w:rPr>
            </w:pPr>
          </w:p>
        </w:tc>
        <w:tc>
          <w:tcPr>
            <w:tcW w:w="2268" w:type="dxa"/>
            <w:noWrap/>
          </w:tcPr>
          <w:p w14:paraId="7C1E1E31" w14:textId="77777777" w:rsidR="008B5542" w:rsidRPr="00E60CDA" w:rsidRDefault="008B5542" w:rsidP="00E5142B">
            <w:pPr>
              <w:rPr>
                <w:rFonts w:asciiTheme="majorHAnsi" w:hAnsiTheme="majorHAnsi" w:cstheme="majorHAnsi"/>
                <w:sz w:val="24"/>
                <w:szCs w:val="24"/>
                <w:lang w:val="en-US"/>
              </w:rPr>
            </w:pPr>
          </w:p>
        </w:tc>
      </w:tr>
      <w:tr w:rsidR="008B5542" w:rsidRPr="00E60CDA" w14:paraId="4F9D13A0" w14:textId="77777777" w:rsidTr="00E5142B">
        <w:trPr>
          <w:trHeight w:val="300"/>
        </w:trPr>
        <w:tc>
          <w:tcPr>
            <w:tcW w:w="3261" w:type="dxa"/>
            <w:tcBorders>
              <w:bottom w:val="single" w:sz="4" w:space="0" w:color="auto"/>
            </w:tcBorders>
            <w:noWrap/>
          </w:tcPr>
          <w:p w14:paraId="06BA1038" w14:textId="77777777" w:rsidR="008B5542" w:rsidRPr="00E60CDA" w:rsidRDefault="008B5542" w:rsidP="00E5142B">
            <w:pPr>
              <w:rPr>
                <w:rFonts w:asciiTheme="majorHAnsi" w:hAnsiTheme="majorHAnsi" w:cstheme="majorHAnsi"/>
                <w:sz w:val="24"/>
                <w:szCs w:val="24"/>
                <w:lang w:val="en-US"/>
              </w:rPr>
            </w:pPr>
            <w:r w:rsidRPr="00E60CDA">
              <w:rPr>
                <w:rFonts w:asciiTheme="majorHAnsi" w:hAnsiTheme="majorHAnsi" w:cstheme="majorHAnsi"/>
                <w:sz w:val="24"/>
                <w:szCs w:val="24"/>
                <w:lang w:val="en-US"/>
              </w:rPr>
              <w:t xml:space="preserve">PS * NLE </w:t>
            </w:r>
            <w:r w:rsidRPr="0020002B">
              <w:rPr>
                <w:rFonts w:asciiTheme="majorHAnsi" w:hAnsiTheme="majorHAnsi" w:cstheme="majorHAnsi"/>
                <w:sz w:val="24"/>
                <w:szCs w:val="24"/>
                <w:lang w:val="en-US"/>
              </w:rPr>
              <w:t>over the lifetime</w:t>
            </w:r>
            <w:r w:rsidRPr="00E60CDA">
              <w:rPr>
                <w:rFonts w:asciiTheme="majorHAnsi" w:hAnsiTheme="majorHAnsi" w:cstheme="majorHAnsi"/>
                <w:sz w:val="24"/>
                <w:szCs w:val="24"/>
                <w:lang w:val="en-US"/>
              </w:rPr>
              <w:t xml:space="preserve"> </w:t>
            </w:r>
          </w:p>
        </w:tc>
        <w:tc>
          <w:tcPr>
            <w:tcW w:w="1479" w:type="dxa"/>
            <w:tcBorders>
              <w:bottom w:val="single" w:sz="4" w:space="0" w:color="auto"/>
            </w:tcBorders>
            <w:noWrap/>
          </w:tcPr>
          <w:p w14:paraId="2B0CEFD7" w14:textId="77777777" w:rsidR="008B5542" w:rsidRPr="00E60CDA" w:rsidRDefault="008B5542" w:rsidP="00E5142B">
            <w:pPr>
              <w:rPr>
                <w:rFonts w:asciiTheme="majorHAnsi" w:hAnsiTheme="majorHAnsi" w:cstheme="majorHAnsi"/>
                <w:sz w:val="24"/>
                <w:szCs w:val="24"/>
                <w:lang w:val="en-US"/>
              </w:rPr>
            </w:pPr>
            <w:r w:rsidRPr="00E60CDA">
              <w:rPr>
                <w:rFonts w:asciiTheme="majorHAnsi" w:hAnsiTheme="majorHAnsi" w:cstheme="majorHAnsi"/>
                <w:sz w:val="24"/>
                <w:szCs w:val="24"/>
              </w:rPr>
              <w:t>-.010</w:t>
            </w:r>
          </w:p>
        </w:tc>
        <w:tc>
          <w:tcPr>
            <w:tcW w:w="1233" w:type="dxa"/>
            <w:tcBorders>
              <w:bottom w:val="single" w:sz="4" w:space="0" w:color="auto"/>
            </w:tcBorders>
            <w:noWrap/>
          </w:tcPr>
          <w:p w14:paraId="2A59C720" w14:textId="77777777" w:rsidR="008B5542" w:rsidRPr="00E60CDA" w:rsidRDefault="008B5542" w:rsidP="00E5142B">
            <w:pPr>
              <w:rPr>
                <w:rFonts w:asciiTheme="majorHAnsi" w:hAnsiTheme="majorHAnsi" w:cstheme="majorHAnsi"/>
                <w:sz w:val="24"/>
                <w:szCs w:val="24"/>
                <w:lang w:val="en-US"/>
              </w:rPr>
            </w:pPr>
            <w:r w:rsidRPr="00E60CDA">
              <w:rPr>
                <w:rFonts w:asciiTheme="majorHAnsi" w:hAnsiTheme="majorHAnsi" w:cstheme="majorHAnsi"/>
                <w:sz w:val="24"/>
                <w:szCs w:val="24"/>
              </w:rPr>
              <w:t>.014</w:t>
            </w:r>
          </w:p>
        </w:tc>
        <w:tc>
          <w:tcPr>
            <w:tcW w:w="1682" w:type="dxa"/>
            <w:tcBorders>
              <w:bottom w:val="single" w:sz="4" w:space="0" w:color="auto"/>
            </w:tcBorders>
            <w:noWrap/>
          </w:tcPr>
          <w:p w14:paraId="5138DD0F" w14:textId="77777777" w:rsidR="008B5542" w:rsidRPr="00E60CDA" w:rsidRDefault="008B5542" w:rsidP="00E5142B">
            <w:pPr>
              <w:rPr>
                <w:rFonts w:asciiTheme="majorHAnsi" w:hAnsiTheme="majorHAnsi" w:cstheme="majorHAnsi"/>
                <w:sz w:val="24"/>
                <w:szCs w:val="24"/>
                <w:lang w:val="en-US"/>
              </w:rPr>
            </w:pPr>
            <w:r w:rsidRPr="00E60CDA">
              <w:rPr>
                <w:rFonts w:asciiTheme="majorHAnsi" w:hAnsiTheme="majorHAnsi" w:cstheme="majorHAnsi"/>
                <w:sz w:val="24"/>
                <w:szCs w:val="24"/>
              </w:rPr>
              <w:t>[-.034, .019]</w:t>
            </w:r>
          </w:p>
        </w:tc>
        <w:tc>
          <w:tcPr>
            <w:tcW w:w="2268" w:type="dxa"/>
            <w:tcBorders>
              <w:bottom w:val="single" w:sz="4" w:space="0" w:color="auto"/>
            </w:tcBorders>
            <w:noWrap/>
          </w:tcPr>
          <w:p w14:paraId="0D855867" w14:textId="77777777" w:rsidR="008B5542" w:rsidRPr="00E60CDA" w:rsidRDefault="008B5542" w:rsidP="00E5142B">
            <w:pPr>
              <w:rPr>
                <w:rFonts w:asciiTheme="majorHAnsi" w:hAnsiTheme="majorHAnsi" w:cstheme="majorHAnsi"/>
                <w:sz w:val="24"/>
                <w:szCs w:val="24"/>
                <w:lang w:val="en-US"/>
              </w:rPr>
            </w:pPr>
            <w:r w:rsidRPr="00E60CDA">
              <w:rPr>
                <w:rFonts w:asciiTheme="majorHAnsi" w:hAnsiTheme="majorHAnsi" w:cstheme="majorHAnsi"/>
                <w:sz w:val="24"/>
                <w:szCs w:val="24"/>
              </w:rPr>
              <w:t xml:space="preserve"> .589</w:t>
            </w:r>
          </w:p>
        </w:tc>
      </w:tr>
    </w:tbl>
    <w:p w14:paraId="5806C168" w14:textId="77777777" w:rsidR="008B5542" w:rsidRDefault="008B5542" w:rsidP="008B5542"/>
    <w:p w14:paraId="7C0CE841" w14:textId="0E7E30B7" w:rsidR="00180B96" w:rsidRPr="00E60CDA" w:rsidRDefault="00180B96" w:rsidP="00CB024D">
      <w:pPr>
        <w:spacing w:line="480" w:lineRule="auto"/>
        <w:rPr>
          <w:rFonts w:asciiTheme="majorHAnsi" w:hAnsiTheme="majorHAnsi" w:cstheme="majorHAnsi"/>
          <w:sz w:val="24"/>
          <w:szCs w:val="24"/>
          <w:lang w:val="en-US"/>
        </w:rPr>
      </w:pPr>
      <w:bookmarkStart w:id="1" w:name="_GoBack"/>
      <w:bookmarkEnd w:id="1"/>
    </w:p>
    <w:p w14:paraId="03AC0A02" w14:textId="61DA3059" w:rsidR="00532FBA" w:rsidRPr="00E60CDA" w:rsidRDefault="00532FBA" w:rsidP="00CB024D">
      <w:pPr>
        <w:spacing w:line="480" w:lineRule="auto"/>
        <w:rPr>
          <w:rFonts w:asciiTheme="majorHAnsi" w:hAnsiTheme="majorHAnsi" w:cstheme="majorHAnsi"/>
          <w:sz w:val="24"/>
          <w:szCs w:val="24"/>
          <w:lang w:val="en-US"/>
        </w:rPr>
      </w:pPr>
    </w:p>
    <w:p w14:paraId="0A7DBE25" w14:textId="77777777" w:rsidR="00D41A09" w:rsidRPr="00E60CDA" w:rsidRDefault="00D41A09" w:rsidP="00CB024D">
      <w:pPr>
        <w:spacing w:line="480" w:lineRule="auto"/>
        <w:rPr>
          <w:rFonts w:asciiTheme="majorHAnsi" w:hAnsiTheme="majorHAnsi" w:cstheme="majorHAnsi"/>
          <w:sz w:val="24"/>
          <w:szCs w:val="24"/>
          <w:lang w:val="en-US"/>
        </w:rPr>
      </w:pPr>
    </w:p>
    <w:p w14:paraId="7A08AE56" w14:textId="265F718D" w:rsidR="00BC653D" w:rsidRPr="00E60CDA" w:rsidRDefault="00BC653D">
      <w:pPr>
        <w:rPr>
          <w:rFonts w:asciiTheme="majorHAnsi" w:hAnsiTheme="majorHAnsi" w:cstheme="majorHAnsi"/>
          <w:sz w:val="24"/>
          <w:szCs w:val="24"/>
          <w:lang w:val="en-US"/>
        </w:rPr>
      </w:pPr>
    </w:p>
    <w:p w14:paraId="262E01AC" w14:textId="111D8153" w:rsidR="009A1C05" w:rsidRPr="00E60CDA" w:rsidRDefault="009A1C05">
      <w:pPr>
        <w:rPr>
          <w:rFonts w:asciiTheme="majorHAnsi" w:hAnsiTheme="majorHAnsi" w:cstheme="majorHAnsi"/>
          <w:b/>
          <w:sz w:val="24"/>
          <w:szCs w:val="24"/>
          <w:lang w:val="en-US"/>
        </w:rPr>
      </w:pPr>
      <w:bookmarkStart w:id="2" w:name="_Hlk13063862"/>
      <w:r w:rsidRPr="00E60CDA">
        <w:rPr>
          <w:rFonts w:asciiTheme="majorHAnsi" w:hAnsiTheme="majorHAnsi" w:cstheme="majorHAnsi"/>
          <w:b/>
          <w:sz w:val="24"/>
          <w:szCs w:val="24"/>
          <w:lang w:val="en-US"/>
        </w:rPr>
        <w:t xml:space="preserve"> </w:t>
      </w:r>
      <w:bookmarkEnd w:id="2"/>
    </w:p>
    <w:sectPr w:rsidR="009A1C05" w:rsidRPr="00E60CDA">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93A6CF" w14:textId="77777777" w:rsidR="0037677D" w:rsidRDefault="0037677D" w:rsidP="0062541D">
      <w:pPr>
        <w:spacing w:after="0" w:line="240" w:lineRule="auto"/>
      </w:pPr>
      <w:r>
        <w:separator/>
      </w:r>
    </w:p>
  </w:endnote>
  <w:endnote w:type="continuationSeparator" w:id="0">
    <w:p w14:paraId="0943B076" w14:textId="77777777" w:rsidR="0037677D" w:rsidRDefault="0037677D" w:rsidP="006254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4B43F2" w14:textId="55E36CB8" w:rsidR="0050015E" w:rsidRDefault="0050015E">
    <w:pPr>
      <w:pStyle w:val="Footer"/>
      <w:jc w:val="right"/>
    </w:pPr>
  </w:p>
  <w:p w14:paraId="6B7A6AB6" w14:textId="77777777" w:rsidR="0050015E" w:rsidRDefault="005001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C9210C" w14:textId="77777777" w:rsidR="0037677D" w:rsidRDefault="0037677D" w:rsidP="0062541D">
      <w:pPr>
        <w:spacing w:after="0" w:line="240" w:lineRule="auto"/>
      </w:pPr>
      <w:r>
        <w:separator/>
      </w:r>
    </w:p>
  </w:footnote>
  <w:footnote w:type="continuationSeparator" w:id="0">
    <w:p w14:paraId="3510394E" w14:textId="77777777" w:rsidR="0037677D" w:rsidRDefault="0037677D" w:rsidP="006254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35329369"/>
      <w:docPartObj>
        <w:docPartGallery w:val="Page Numbers (Top of Page)"/>
        <w:docPartUnique/>
      </w:docPartObj>
    </w:sdtPr>
    <w:sdtEndPr/>
    <w:sdtContent>
      <w:p w14:paraId="026BD997" w14:textId="3FD91939" w:rsidR="001266B1" w:rsidRPr="001266B1" w:rsidRDefault="001266B1">
        <w:pPr>
          <w:pStyle w:val="Header"/>
          <w:jc w:val="right"/>
          <w:rPr>
            <w:lang w:val="en-US"/>
          </w:rPr>
        </w:pPr>
        <w:r w:rsidRPr="001266B1">
          <w:rPr>
            <w:lang w:val="en-US"/>
          </w:rPr>
          <w:t xml:space="preserve">Running head: G x E INTERACTION SELF-CONTROL </w:t>
        </w:r>
        <w:r>
          <w:fldChar w:fldCharType="begin"/>
        </w:r>
        <w:r w:rsidRPr="001266B1">
          <w:rPr>
            <w:lang w:val="en-US"/>
          </w:rPr>
          <w:instrText>PAGE   \* MERGEFORMAT</w:instrText>
        </w:r>
        <w:r>
          <w:fldChar w:fldCharType="separate"/>
        </w:r>
        <w:r w:rsidR="008B5542">
          <w:rPr>
            <w:noProof/>
            <w:lang w:val="en-US"/>
          </w:rPr>
          <w:t>22</w:t>
        </w:r>
        <w:r>
          <w:fldChar w:fldCharType="end"/>
        </w:r>
      </w:p>
    </w:sdtContent>
  </w:sdt>
  <w:p w14:paraId="4DDFBA35" w14:textId="07026867" w:rsidR="0050015E" w:rsidRPr="0062541D" w:rsidRDefault="0050015E">
    <w:pPr>
      <w:pStyle w:val="Header"/>
      <w:rPr>
        <w:rFonts w:asciiTheme="majorHAnsi" w:hAnsiTheme="majorHAnsi" w:cstheme="majorHAnsi"/>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2F58A6"/>
    <w:multiLevelType w:val="hybridMultilevel"/>
    <w:tmpl w:val="5C72EC36"/>
    <w:lvl w:ilvl="0" w:tplc="139E08B4">
      <w:start w:val="1"/>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136AA5"/>
    <w:multiLevelType w:val="hybridMultilevel"/>
    <w:tmpl w:val="110A2DF6"/>
    <w:lvl w:ilvl="0" w:tplc="A0FED28E">
      <w:start w:val="1"/>
      <w:numFmt w:val="bullet"/>
      <w:lvlText w:val=""/>
      <w:lvlJc w:val="left"/>
      <w:pPr>
        <w:ind w:left="720" w:hanging="360"/>
      </w:pPr>
      <w:rPr>
        <w:rFonts w:ascii="Wingdings" w:eastAsiaTheme="minorHAnsi" w:hAnsi="Wingdings"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BBD2DFC"/>
    <w:multiLevelType w:val="hybridMultilevel"/>
    <w:tmpl w:val="9C7A9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653D"/>
    <w:rsid w:val="00047A3B"/>
    <w:rsid w:val="000530BF"/>
    <w:rsid w:val="000907F5"/>
    <w:rsid w:val="000957D1"/>
    <w:rsid w:val="000C5B26"/>
    <w:rsid w:val="000F1426"/>
    <w:rsid w:val="00102F7D"/>
    <w:rsid w:val="0011054C"/>
    <w:rsid w:val="0011619E"/>
    <w:rsid w:val="001209FB"/>
    <w:rsid w:val="0012434F"/>
    <w:rsid w:val="001254C2"/>
    <w:rsid w:val="001266B1"/>
    <w:rsid w:val="00133360"/>
    <w:rsid w:val="00141B7D"/>
    <w:rsid w:val="00155BD0"/>
    <w:rsid w:val="00180B96"/>
    <w:rsid w:val="001876B4"/>
    <w:rsid w:val="0019419E"/>
    <w:rsid w:val="001A0D6C"/>
    <w:rsid w:val="001A2F0B"/>
    <w:rsid w:val="001A3810"/>
    <w:rsid w:val="001D0D26"/>
    <w:rsid w:val="001E29C9"/>
    <w:rsid w:val="0020002B"/>
    <w:rsid w:val="0022672A"/>
    <w:rsid w:val="00245C49"/>
    <w:rsid w:val="00250785"/>
    <w:rsid w:val="00277862"/>
    <w:rsid w:val="002A33FF"/>
    <w:rsid w:val="002A42D0"/>
    <w:rsid w:val="002C4EC8"/>
    <w:rsid w:val="002D7FC6"/>
    <w:rsid w:val="00302B0E"/>
    <w:rsid w:val="00313A3C"/>
    <w:rsid w:val="003213C2"/>
    <w:rsid w:val="00343F2A"/>
    <w:rsid w:val="00351F7E"/>
    <w:rsid w:val="00362207"/>
    <w:rsid w:val="0037677D"/>
    <w:rsid w:val="003816F9"/>
    <w:rsid w:val="0039586A"/>
    <w:rsid w:val="003B3C2A"/>
    <w:rsid w:val="003B7B96"/>
    <w:rsid w:val="003D4DA4"/>
    <w:rsid w:val="00412D0C"/>
    <w:rsid w:val="004229A5"/>
    <w:rsid w:val="0043420A"/>
    <w:rsid w:val="004376BC"/>
    <w:rsid w:val="00441268"/>
    <w:rsid w:val="00446940"/>
    <w:rsid w:val="00481993"/>
    <w:rsid w:val="00484F6E"/>
    <w:rsid w:val="004C0C65"/>
    <w:rsid w:val="004E1936"/>
    <w:rsid w:val="0050015E"/>
    <w:rsid w:val="0050781A"/>
    <w:rsid w:val="0052787A"/>
    <w:rsid w:val="00532FBA"/>
    <w:rsid w:val="0055382F"/>
    <w:rsid w:val="005546D4"/>
    <w:rsid w:val="005658D5"/>
    <w:rsid w:val="005C36AE"/>
    <w:rsid w:val="005C7A3A"/>
    <w:rsid w:val="005D1497"/>
    <w:rsid w:val="005E74DC"/>
    <w:rsid w:val="005F3CA9"/>
    <w:rsid w:val="00624094"/>
    <w:rsid w:val="0062541D"/>
    <w:rsid w:val="0064120D"/>
    <w:rsid w:val="00641DFD"/>
    <w:rsid w:val="00646DD0"/>
    <w:rsid w:val="006715DA"/>
    <w:rsid w:val="00674355"/>
    <w:rsid w:val="00675576"/>
    <w:rsid w:val="00680629"/>
    <w:rsid w:val="006A3C77"/>
    <w:rsid w:val="006A74E1"/>
    <w:rsid w:val="006B1B6A"/>
    <w:rsid w:val="006D268D"/>
    <w:rsid w:val="006D7269"/>
    <w:rsid w:val="006F2C1C"/>
    <w:rsid w:val="006F54FD"/>
    <w:rsid w:val="006F76D7"/>
    <w:rsid w:val="00712522"/>
    <w:rsid w:val="00716D88"/>
    <w:rsid w:val="00724CD2"/>
    <w:rsid w:val="007311CD"/>
    <w:rsid w:val="00744A1E"/>
    <w:rsid w:val="00762824"/>
    <w:rsid w:val="00762BDF"/>
    <w:rsid w:val="00771064"/>
    <w:rsid w:val="00784175"/>
    <w:rsid w:val="0079550B"/>
    <w:rsid w:val="0079735D"/>
    <w:rsid w:val="007B202B"/>
    <w:rsid w:val="007C1230"/>
    <w:rsid w:val="007D0FA2"/>
    <w:rsid w:val="007E48F8"/>
    <w:rsid w:val="00804420"/>
    <w:rsid w:val="00836E6C"/>
    <w:rsid w:val="00890375"/>
    <w:rsid w:val="0089398A"/>
    <w:rsid w:val="008A37A0"/>
    <w:rsid w:val="008B07D1"/>
    <w:rsid w:val="008B5542"/>
    <w:rsid w:val="008B60A4"/>
    <w:rsid w:val="008D5AC5"/>
    <w:rsid w:val="008E6167"/>
    <w:rsid w:val="00903E5A"/>
    <w:rsid w:val="00912D83"/>
    <w:rsid w:val="0092454C"/>
    <w:rsid w:val="009331AF"/>
    <w:rsid w:val="00961FC9"/>
    <w:rsid w:val="00962B9B"/>
    <w:rsid w:val="009A1C05"/>
    <w:rsid w:val="009A4522"/>
    <w:rsid w:val="009B301D"/>
    <w:rsid w:val="009B407C"/>
    <w:rsid w:val="009C2D53"/>
    <w:rsid w:val="009C3ED3"/>
    <w:rsid w:val="00A01564"/>
    <w:rsid w:val="00A06AA8"/>
    <w:rsid w:val="00A16BD0"/>
    <w:rsid w:val="00A462E6"/>
    <w:rsid w:val="00A53C0F"/>
    <w:rsid w:val="00A54064"/>
    <w:rsid w:val="00A5574F"/>
    <w:rsid w:val="00A648AD"/>
    <w:rsid w:val="00A717C6"/>
    <w:rsid w:val="00A73AEA"/>
    <w:rsid w:val="00A91811"/>
    <w:rsid w:val="00AA565F"/>
    <w:rsid w:val="00AB1C13"/>
    <w:rsid w:val="00AB23A9"/>
    <w:rsid w:val="00AC74B9"/>
    <w:rsid w:val="00AF6A3B"/>
    <w:rsid w:val="00B0223D"/>
    <w:rsid w:val="00B209E2"/>
    <w:rsid w:val="00B31404"/>
    <w:rsid w:val="00B379B4"/>
    <w:rsid w:val="00B60D6F"/>
    <w:rsid w:val="00B63DAF"/>
    <w:rsid w:val="00B70629"/>
    <w:rsid w:val="00B733B9"/>
    <w:rsid w:val="00B815BC"/>
    <w:rsid w:val="00B97BF3"/>
    <w:rsid w:val="00BA3EA8"/>
    <w:rsid w:val="00BB295D"/>
    <w:rsid w:val="00BB766C"/>
    <w:rsid w:val="00BC653D"/>
    <w:rsid w:val="00C71D16"/>
    <w:rsid w:val="00C83201"/>
    <w:rsid w:val="00CB024D"/>
    <w:rsid w:val="00CB07AC"/>
    <w:rsid w:val="00CB6016"/>
    <w:rsid w:val="00CC70DD"/>
    <w:rsid w:val="00CD0EC0"/>
    <w:rsid w:val="00CD727B"/>
    <w:rsid w:val="00CF5F21"/>
    <w:rsid w:val="00D013FF"/>
    <w:rsid w:val="00D04373"/>
    <w:rsid w:val="00D07EC6"/>
    <w:rsid w:val="00D23283"/>
    <w:rsid w:val="00D32F76"/>
    <w:rsid w:val="00D41A09"/>
    <w:rsid w:val="00D448CF"/>
    <w:rsid w:val="00D632D8"/>
    <w:rsid w:val="00D66251"/>
    <w:rsid w:val="00D74800"/>
    <w:rsid w:val="00D77F5F"/>
    <w:rsid w:val="00D866B3"/>
    <w:rsid w:val="00DC389A"/>
    <w:rsid w:val="00DC40C4"/>
    <w:rsid w:val="00DD4F15"/>
    <w:rsid w:val="00DF45C1"/>
    <w:rsid w:val="00DF68D0"/>
    <w:rsid w:val="00E06DD7"/>
    <w:rsid w:val="00E153DF"/>
    <w:rsid w:val="00E23A68"/>
    <w:rsid w:val="00E2594A"/>
    <w:rsid w:val="00E47005"/>
    <w:rsid w:val="00E60CDA"/>
    <w:rsid w:val="00E713B3"/>
    <w:rsid w:val="00E756EE"/>
    <w:rsid w:val="00E80980"/>
    <w:rsid w:val="00E81440"/>
    <w:rsid w:val="00E95199"/>
    <w:rsid w:val="00EC2306"/>
    <w:rsid w:val="00F04B00"/>
    <w:rsid w:val="00F17D23"/>
    <w:rsid w:val="00F17E37"/>
    <w:rsid w:val="00F25A77"/>
    <w:rsid w:val="00F31422"/>
    <w:rsid w:val="00F31777"/>
    <w:rsid w:val="00F4158E"/>
    <w:rsid w:val="00F567AF"/>
    <w:rsid w:val="00F578C0"/>
    <w:rsid w:val="00F924D8"/>
    <w:rsid w:val="00FD3384"/>
    <w:rsid w:val="00FE7EAE"/>
    <w:rsid w:val="00FF091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B68BD2"/>
  <w15:chartTrackingRefBased/>
  <w15:docId w15:val="{0A0EDB29-046E-4055-BD6F-EEA300D90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158E"/>
    <w:pPr>
      <w:ind w:left="720"/>
      <w:contextualSpacing/>
    </w:pPr>
  </w:style>
  <w:style w:type="table" w:styleId="TableGrid">
    <w:name w:val="Table Grid"/>
    <w:basedOn w:val="TableNormal"/>
    <w:uiPriority w:val="39"/>
    <w:rsid w:val="00343F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
    <w:name w:val="Para"/>
    <w:basedOn w:val="Normal"/>
    <w:link w:val="ParaChar"/>
    <w:uiPriority w:val="3"/>
    <w:qFormat/>
    <w:rsid w:val="009B407C"/>
    <w:pPr>
      <w:spacing w:before="120" w:after="120" w:line="240" w:lineRule="auto"/>
      <w:ind w:left="680" w:right="680"/>
      <w:jc w:val="both"/>
    </w:pPr>
    <w:rPr>
      <w:rFonts w:ascii="Times New Roman" w:eastAsia="SimSun" w:hAnsi="Times New Roman" w:cs="Times New Roman"/>
      <w:szCs w:val="20"/>
      <w:lang w:val="en-GB"/>
    </w:rPr>
  </w:style>
  <w:style w:type="character" w:customStyle="1" w:styleId="ParaChar">
    <w:name w:val="Para Char"/>
    <w:basedOn w:val="DefaultParagraphFont"/>
    <w:link w:val="Para"/>
    <w:uiPriority w:val="3"/>
    <w:rsid w:val="009B407C"/>
    <w:rPr>
      <w:rFonts w:ascii="Times New Roman" w:eastAsia="SimSun" w:hAnsi="Times New Roman" w:cs="Times New Roman"/>
      <w:szCs w:val="20"/>
      <w:lang w:val="en-GB"/>
    </w:rPr>
  </w:style>
  <w:style w:type="paragraph" w:styleId="Header">
    <w:name w:val="header"/>
    <w:basedOn w:val="Normal"/>
    <w:link w:val="HeaderChar"/>
    <w:uiPriority w:val="99"/>
    <w:unhideWhenUsed/>
    <w:rsid w:val="0062541D"/>
    <w:pPr>
      <w:tabs>
        <w:tab w:val="center" w:pos="4536"/>
        <w:tab w:val="right" w:pos="9072"/>
      </w:tabs>
      <w:spacing w:after="0" w:line="240" w:lineRule="auto"/>
    </w:pPr>
  </w:style>
  <w:style w:type="character" w:customStyle="1" w:styleId="HeaderChar">
    <w:name w:val="Header Char"/>
    <w:basedOn w:val="DefaultParagraphFont"/>
    <w:link w:val="Header"/>
    <w:uiPriority w:val="99"/>
    <w:rsid w:val="0062541D"/>
  </w:style>
  <w:style w:type="paragraph" w:styleId="Footer">
    <w:name w:val="footer"/>
    <w:basedOn w:val="Normal"/>
    <w:link w:val="FooterChar"/>
    <w:uiPriority w:val="99"/>
    <w:unhideWhenUsed/>
    <w:rsid w:val="0062541D"/>
    <w:pPr>
      <w:tabs>
        <w:tab w:val="center" w:pos="4536"/>
        <w:tab w:val="right" w:pos="9072"/>
      </w:tabs>
      <w:spacing w:after="0" w:line="240" w:lineRule="auto"/>
    </w:pPr>
  </w:style>
  <w:style w:type="character" w:customStyle="1" w:styleId="FooterChar">
    <w:name w:val="Footer Char"/>
    <w:basedOn w:val="DefaultParagraphFont"/>
    <w:link w:val="Footer"/>
    <w:uiPriority w:val="99"/>
    <w:rsid w:val="0062541D"/>
  </w:style>
  <w:style w:type="character" w:styleId="CommentReference">
    <w:name w:val="annotation reference"/>
    <w:basedOn w:val="DefaultParagraphFont"/>
    <w:uiPriority w:val="99"/>
    <w:semiHidden/>
    <w:unhideWhenUsed/>
    <w:rsid w:val="00CD727B"/>
    <w:rPr>
      <w:sz w:val="16"/>
      <w:szCs w:val="16"/>
    </w:rPr>
  </w:style>
  <w:style w:type="paragraph" w:styleId="CommentText">
    <w:name w:val="annotation text"/>
    <w:basedOn w:val="Normal"/>
    <w:link w:val="CommentTextChar"/>
    <w:uiPriority w:val="99"/>
    <w:semiHidden/>
    <w:unhideWhenUsed/>
    <w:rsid w:val="00CD727B"/>
    <w:pPr>
      <w:spacing w:line="240" w:lineRule="auto"/>
    </w:pPr>
    <w:rPr>
      <w:sz w:val="20"/>
      <w:szCs w:val="20"/>
    </w:rPr>
  </w:style>
  <w:style w:type="character" w:customStyle="1" w:styleId="CommentTextChar">
    <w:name w:val="Comment Text Char"/>
    <w:basedOn w:val="DefaultParagraphFont"/>
    <w:link w:val="CommentText"/>
    <w:uiPriority w:val="99"/>
    <w:semiHidden/>
    <w:rsid w:val="00CD727B"/>
    <w:rPr>
      <w:sz w:val="20"/>
      <w:szCs w:val="20"/>
    </w:rPr>
  </w:style>
  <w:style w:type="paragraph" w:styleId="CommentSubject">
    <w:name w:val="annotation subject"/>
    <w:basedOn w:val="CommentText"/>
    <w:next w:val="CommentText"/>
    <w:link w:val="CommentSubjectChar"/>
    <w:uiPriority w:val="99"/>
    <w:semiHidden/>
    <w:unhideWhenUsed/>
    <w:rsid w:val="00CD727B"/>
    <w:rPr>
      <w:b/>
      <w:bCs/>
    </w:rPr>
  </w:style>
  <w:style w:type="character" w:customStyle="1" w:styleId="CommentSubjectChar">
    <w:name w:val="Comment Subject Char"/>
    <w:basedOn w:val="CommentTextChar"/>
    <w:link w:val="CommentSubject"/>
    <w:uiPriority w:val="99"/>
    <w:semiHidden/>
    <w:rsid w:val="00CD727B"/>
    <w:rPr>
      <w:b/>
      <w:bCs/>
      <w:sz w:val="20"/>
      <w:szCs w:val="20"/>
    </w:rPr>
  </w:style>
  <w:style w:type="paragraph" w:styleId="BalloonText">
    <w:name w:val="Balloon Text"/>
    <w:basedOn w:val="Normal"/>
    <w:link w:val="BalloonTextChar"/>
    <w:uiPriority w:val="99"/>
    <w:semiHidden/>
    <w:unhideWhenUsed/>
    <w:rsid w:val="00CD727B"/>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D727B"/>
    <w:rPr>
      <w:rFonts w:ascii="Times New Roman" w:hAnsi="Times New Roman" w:cs="Times New Roman"/>
      <w:sz w:val="18"/>
      <w:szCs w:val="18"/>
    </w:rPr>
  </w:style>
  <w:style w:type="character" w:styleId="Hyperlink">
    <w:name w:val="Hyperlink"/>
    <w:basedOn w:val="DefaultParagraphFont"/>
    <w:uiPriority w:val="99"/>
    <w:unhideWhenUsed/>
    <w:rsid w:val="00133360"/>
    <w:rPr>
      <w:color w:val="0563C1" w:themeColor="hyperlink"/>
      <w:u w:val="single"/>
    </w:rPr>
  </w:style>
  <w:style w:type="character" w:customStyle="1" w:styleId="Onopgelostemelding1">
    <w:name w:val="Onopgeloste melding1"/>
    <w:basedOn w:val="DefaultParagraphFont"/>
    <w:uiPriority w:val="99"/>
    <w:semiHidden/>
    <w:unhideWhenUsed/>
    <w:rsid w:val="00133360"/>
    <w:rPr>
      <w:color w:val="605E5C"/>
      <w:shd w:val="clear" w:color="auto" w:fill="E1DFDD"/>
    </w:rPr>
  </w:style>
  <w:style w:type="paragraph" w:styleId="NormalWeb">
    <w:name w:val="Normal (Web)"/>
    <w:basedOn w:val="Normal"/>
    <w:uiPriority w:val="99"/>
    <w:unhideWhenUsed/>
    <w:rsid w:val="005E74DC"/>
    <w:pPr>
      <w:spacing w:before="100" w:beforeAutospacing="1" w:after="100" w:afterAutospacing="1" w:line="240" w:lineRule="auto"/>
    </w:pPr>
    <w:rPr>
      <w:rFonts w:ascii="SimSun" w:eastAsia="SimSun" w:hAnsi="SimSun" w:cs="SimSu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234208">
      <w:bodyDiv w:val="1"/>
      <w:marLeft w:val="0"/>
      <w:marRight w:val="0"/>
      <w:marTop w:val="0"/>
      <w:marBottom w:val="0"/>
      <w:divBdr>
        <w:top w:val="none" w:sz="0" w:space="0" w:color="auto"/>
        <w:left w:val="none" w:sz="0" w:space="0" w:color="auto"/>
        <w:bottom w:val="none" w:sz="0" w:space="0" w:color="auto"/>
        <w:right w:val="none" w:sz="0" w:space="0" w:color="auto"/>
      </w:divBdr>
    </w:div>
    <w:div w:id="254435970">
      <w:bodyDiv w:val="1"/>
      <w:marLeft w:val="0"/>
      <w:marRight w:val="0"/>
      <w:marTop w:val="0"/>
      <w:marBottom w:val="0"/>
      <w:divBdr>
        <w:top w:val="none" w:sz="0" w:space="0" w:color="auto"/>
        <w:left w:val="none" w:sz="0" w:space="0" w:color="auto"/>
        <w:bottom w:val="none" w:sz="0" w:space="0" w:color="auto"/>
        <w:right w:val="none" w:sz="0" w:space="0" w:color="auto"/>
      </w:divBdr>
    </w:div>
    <w:div w:id="262344416">
      <w:bodyDiv w:val="1"/>
      <w:marLeft w:val="0"/>
      <w:marRight w:val="0"/>
      <w:marTop w:val="0"/>
      <w:marBottom w:val="0"/>
      <w:divBdr>
        <w:top w:val="none" w:sz="0" w:space="0" w:color="auto"/>
        <w:left w:val="none" w:sz="0" w:space="0" w:color="auto"/>
        <w:bottom w:val="none" w:sz="0" w:space="0" w:color="auto"/>
        <w:right w:val="none" w:sz="0" w:space="0" w:color="auto"/>
      </w:divBdr>
    </w:div>
    <w:div w:id="605120877">
      <w:bodyDiv w:val="1"/>
      <w:marLeft w:val="0"/>
      <w:marRight w:val="0"/>
      <w:marTop w:val="0"/>
      <w:marBottom w:val="0"/>
      <w:divBdr>
        <w:top w:val="none" w:sz="0" w:space="0" w:color="auto"/>
        <w:left w:val="none" w:sz="0" w:space="0" w:color="auto"/>
        <w:bottom w:val="none" w:sz="0" w:space="0" w:color="auto"/>
        <w:right w:val="none" w:sz="0" w:space="0" w:color="auto"/>
      </w:divBdr>
    </w:div>
    <w:div w:id="800000990">
      <w:bodyDiv w:val="1"/>
      <w:marLeft w:val="0"/>
      <w:marRight w:val="0"/>
      <w:marTop w:val="0"/>
      <w:marBottom w:val="0"/>
      <w:divBdr>
        <w:top w:val="none" w:sz="0" w:space="0" w:color="auto"/>
        <w:left w:val="none" w:sz="0" w:space="0" w:color="auto"/>
        <w:bottom w:val="none" w:sz="0" w:space="0" w:color="auto"/>
        <w:right w:val="none" w:sz="0" w:space="0" w:color="auto"/>
      </w:divBdr>
    </w:div>
    <w:div w:id="1173688718">
      <w:bodyDiv w:val="1"/>
      <w:marLeft w:val="0"/>
      <w:marRight w:val="0"/>
      <w:marTop w:val="0"/>
      <w:marBottom w:val="0"/>
      <w:divBdr>
        <w:top w:val="none" w:sz="0" w:space="0" w:color="auto"/>
        <w:left w:val="none" w:sz="0" w:space="0" w:color="auto"/>
        <w:bottom w:val="none" w:sz="0" w:space="0" w:color="auto"/>
        <w:right w:val="none" w:sz="0" w:space="0" w:color="auto"/>
      </w:divBdr>
    </w:div>
    <w:div w:id="1299411781">
      <w:bodyDiv w:val="1"/>
      <w:marLeft w:val="0"/>
      <w:marRight w:val="0"/>
      <w:marTop w:val="0"/>
      <w:marBottom w:val="0"/>
      <w:divBdr>
        <w:top w:val="none" w:sz="0" w:space="0" w:color="auto"/>
        <w:left w:val="none" w:sz="0" w:space="0" w:color="auto"/>
        <w:bottom w:val="none" w:sz="0" w:space="0" w:color="auto"/>
        <w:right w:val="none" w:sz="0" w:space="0" w:color="auto"/>
      </w:divBdr>
    </w:div>
    <w:div w:id="1442844309">
      <w:bodyDiv w:val="1"/>
      <w:marLeft w:val="0"/>
      <w:marRight w:val="0"/>
      <w:marTop w:val="0"/>
      <w:marBottom w:val="0"/>
      <w:divBdr>
        <w:top w:val="none" w:sz="0" w:space="0" w:color="auto"/>
        <w:left w:val="none" w:sz="0" w:space="0" w:color="auto"/>
        <w:bottom w:val="none" w:sz="0" w:space="0" w:color="auto"/>
        <w:right w:val="none" w:sz="0" w:space="0" w:color="auto"/>
      </w:divBdr>
    </w:div>
    <w:div w:id="1446272567">
      <w:bodyDiv w:val="1"/>
      <w:marLeft w:val="0"/>
      <w:marRight w:val="0"/>
      <w:marTop w:val="0"/>
      <w:marBottom w:val="0"/>
      <w:divBdr>
        <w:top w:val="none" w:sz="0" w:space="0" w:color="auto"/>
        <w:left w:val="none" w:sz="0" w:space="0" w:color="auto"/>
        <w:bottom w:val="none" w:sz="0" w:space="0" w:color="auto"/>
        <w:right w:val="none" w:sz="0" w:space="0" w:color="auto"/>
      </w:divBdr>
    </w:div>
    <w:div w:id="1983388420">
      <w:bodyDiv w:val="1"/>
      <w:marLeft w:val="0"/>
      <w:marRight w:val="0"/>
      <w:marTop w:val="0"/>
      <w:marBottom w:val="0"/>
      <w:divBdr>
        <w:top w:val="none" w:sz="0" w:space="0" w:color="auto"/>
        <w:left w:val="none" w:sz="0" w:space="0" w:color="auto"/>
        <w:bottom w:val="none" w:sz="0" w:space="0" w:color="auto"/>
        <w:right w:val="none" w:sz="0" w:space="0" w:color="auto"/>
      </w:divBdr>
    </w:div>
    <w:div w:id="2036231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e.willems@vu.n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5FFEF1-9CE4-41E8-B88B-FE44B17A78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51637</Words>
  <Characters>284008</Characters>
  <Application>Microsoft Office Word</Application>
  <DocSecurity>0</DocSecurity>
  <Lines>2366</Lines>
  <Paragraphs>669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Vrije Universiteit Amsterdam</Company>
  <LinksUpToDate>false</LinksUpToDate>
  <CharactersWithSpaces>334976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Willems, Y.E.</dc:creator>
  <cp:keywords/>
  <dc:description/>
  <cp:lastModifiedBy>Willems, Y.E.</cp:lastModifiedBy>
  <cp:revision>2</cp:revision>
  <dcterms:created xsi:type="dcterms:W3CDTF">2019-09-26T11:04:00Z</dcterms:created>
  <dcterms:modified xsi:type="dcterms:W3CDTF">2019-09-26T11:04:00Z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bdb10127-8635-3490-a89b-41638fac7948</vt:lpwstr>
  </property>
  <property fmtid="{D5CDD505-2E9C-101B-9397-08002B2CF9AE}" pid="24" name="Mendeley Citation Style_1">
    <vt:lpwstr>http://www.zotero.org/styles/apa</vt:lpwstr>
  </property>
</Properties>
</file>