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5CD6F" w14:textId="0CEAF8E4" w:rsidR="00D46015" w:rsidRPr="003D14AF" w:rsidRDefault="006C2117" w:rsidP="005652FF">
      <w:pPr>
        <w:pStyle w:val="APAStyleMainText"/>
        <w:jc w:val="center"/>
        <w:rPr>
          <w:b/>
          <w:bCs/>
        </w:rPr>
      </w:pPr>
      <w:bookmarkStart w:id="0" w:name="_Hlk14860925"/>
      <w:bookmarkStart w:id="1" w:name="_Hlk32920833"/>
      <w:bookmarkEnd w:id="0"/>
      <w:r w:rsidRPr="003D14AF">
        <w:rPr>
          <w:b/>
          <w:bCs/>
        </w:rPr>
        <w:t xml:space="preserve">Explaining Heterogeneity of Daily Conflict Spillover in the Family: The Role of </w:t>
      </w:r>
      <w:r w:rsidR="001E48E0" w:rsidRPr="003D14AF">
        <w:rPr>
          <w:b/>
          <w:bCs/>
        </w:rPr>
        <w:t xml:space="preserve">Dyadic </w:t>
      </w:r>
      <w:r w:rsidRPr="003D14AF">
        <w:rPr>
          <w:b/>
          <w:bCs/>
        </w:rPr>
        <w:t xml:space="preserve">Marital Conflict </w:t>
      </w:r>
      <w:r w:rsidR="001E48E0" w:rsidRPr="003D14AF">
        <w:rPr>
          <w:b/>
          <w:bCs/>
        </w:rPr>
        <w:t>Patterns</w:t>
      </w:r>
    </w:p>
    <w:bookmarkEnd w:id="1"/>
    <w:p w14:paraId="756BE150" w14:textId="77777777" w:rsidR="001D392E" w:rsidRPr="003D14AF" w:rsidRDefault="001D392E" w:rsidP="001D392E">
      <w:pPr>
        <w:pStyle w:val="APAStyleMainText"/>
        <w:jc w:val="center"/>
      </w:pPr>
    </w:p>
    <w:p w14:paraId="46AF9F97" w14:textId="77777777" w:rsidR="001D392E" w:rsidRPr="003D14AF" w:rsidRDefault="001D392E" w:rsidP="001D392E">
      <w:pPr>
        <w:pStyle w:val="APAStyleMainText"/>
        <w:jc w:val="center"/>
        <w:rPr>
          <w:vertAlign w:val="superscript"/>
          <w:lang w:val="nl-NL"/>
        </w:rPr>
      </w:pPr>
      <w:r w:rsidRPr="003D14AF">
        <w:rPr>
          <w:lang w:val="nl-NL"/>
        </w:rPr>
        <w:t>Stefanos Mastrotheodoros</w:t>
      </w:r>
      <w:r w:rsidRPr="003D14AF">
        <w:rPr>
          <w:vertAlign w:val="superscript"/>
          <w:lang w:val="nl-NL"/>
        </w:rPr>
        <w:t>1</w:t>
      </w:r>
      <w:r w:rsidRPr="003D14AF">
        <w:rPr>
          <w:lang w:val="nl-NL"/>
        </w:rPr>
        <w:t>, Lauren M. Papp</w:t>
      </w:r>
      <w:r w:rsidRPr="003D14AF">
        <w:rPr>
          <w:vertAlign w:val="superscript"/>
          <w:lang w:val="nl-NL"/>
        </w:rPr>
        <w:t>2</w:t>
      </w:r>
      <w:r w:rsidRPr="003D14AF">
        <w:rPr>
          <w:lang w:val="nl-NL"/>
        </w:rPr>
        <w:t>, Jolien Van der Graaff</w:t>
      </w:r>
      <w:r w:rsidRPr="003D14AF">
        <w:rPr>
          <w:vertAlign w:val="superscript"/>
          <w:lang w:val="nl-NL"/>
        </w:rPr>
        <w:t>1</w:t>
      </w:r>
      <w:r w:rsidRPr="003D14AF">
        <w:rPr>
          <w:lang w:val="nl-NL"/>
        </w:rPr>
        <w:t>, Maja Deković</w:t>
      </w:r>
      <w:r w:rsidRPr="003D14AF">
        <w:rPr>
          <w:vertAlign w:val="superscript"/>
          <w:lang w:val="nl-NL"/>
        </w:rPr>
        <w:t>3</w:t>
      </w:r>
      <w:r w:rsidRPr="003D14AF">
        <w:rPr>
          <w:lang w:val="nl-NL"/>
        </w:rPr>
        <w:t>, Wim H. J. Meeus</w:t>
      </w:r>
      <w:r w:rsidRPr="003D14AF">
        <w:rPr>
          <w:vertAlign w:val="superscript"/>
          <w:lang w:val="nl-NL"/>
        </w:rPr>
        <w:t>1</w:t>
      </w:r>
      <w:r w:rsidRPr="003D14AF">
        <w:rPr>
          <w:lang w:val="nl-NL"/>
        </w:rPr>
        <w:t>, &amp; Susan Branje</w:t>
      </w:r>
      <w:r w:rsidRPr="003D14AF">
        <w:rPr>
          <w:vertAlign w:val="superscript"/>
          <w:lang w:val="nl-NL"/>
        </w:rPr>
        <w:t>1</w:t>
      </w:r>
    </w:p>
    <w:p w14:paraId="5A8A427D" w14:textId="77777777" w:rsidR="001D392E" w:rsidRPr="003D14AF" w:rsidRDefault="001D392E" w:rsidP="001D392E">
      <w:pPr>
        <w:pStyle w:val="APAStyleMainText"/>
        <w:jc w:val="center"/>
        <w:rPr>
          <w:vertAlign w:val="superscript"/>
          <w:lang w:val="nl-NL"/>
        </w:rPr>
      </w:pPr>
    </w:p>
    <w:p w14:paraId="05259F10" w14:textId="77777777" w:rsidR="001D392E" w:rsidRPr="003D14AF" w:rsidRDefault="001D392E" w:rsidP="001D392E">
      <w:pPr>
        <w:pStyle w:val="APAStyleMainText"/>
        <w:jc w:val="center"/>
      </w:pPr>
      <w:r w:rsidRPr="003D14AF">
        <w:rPr>
          <w:vertAlign w:val="superscript"/>
        </w:rPr>
        <w:t>1</w:t>
      </w:r>
      <w:r w:rsidRPr="003D14AF">
        <w:t xml:space="preserve"> Department of Youth and Family, Faculty of Social and Behavioral Sciences, Utrecht University, Utrecht, the Netherlands</w:t>
      </w:r>
    </w:p>
    <w:p w14:paraId="0F53E0A3" w14:textId="77777777" w:rsidR="001D392E" w:rsidRPr="003D14AF" w:rsidRDefault="001D392E" w:rsidP="001D392E">
      <w:pPr>
        <w:pStyle w:val="APAStyleMainText"/>
        <w:jc w:val="center"/>
      </w:pPr>
      <w:r w:rsidRPr="003D14AF">
        <w:rPr>
          <w:vertAlign w:val="superscript"/>
        </w:rPr>
        <w:t>2</w:t>
      </w:r>
      <w:r w:rsidRPr="003D14AF">
        <w:t xml:space="preserve"> Department of Human Development and Family Studies, University of Wisconsin-Madison, Madison, WI, USA</w:t>
      </w:r>
    </w:p>
    <w:p w14:paraId="1FDD8D0E" w14:textId="77777777" w:rsidR="001D392E" w:rsidRPr="003D14AF" w:rsidRDefault="001D392E" w:rsidP="001D392E">
      <w:pPr>
        <w:pStyle w:val="APAStyleMainText"/>
        <w:jc w:val="center"/>
      </w:pPr>
      <w:r w:rsidRPr="003D14AF">
        <w:rPr>
          <w:vertAlign w:val="superscript"/>
        </w:rPr>
        <w:t>3</w:t>
      </w:r>
      <w:r w:rsidRPr="003D14AF">
        <w:t xml:space="preserve"> Department of Clinical Child and Family Studies, Faculty of Social and Behavioral Sciences, Utrecht University, Utrecht, the Netherlands</w:t>
      </w:r>
    </w:p>
    <w:p w14:paraId="117922A3" w14:textId="77777777" w:rsidR="001D392E" w:rsidRPr="003D14AF" w:rsidRDefault="001D392E" w:rsidP="001D392E">
      <w:pPr>
        <w:pStyle w:val="APAStyleMainText"/>
        <w:jc w:val="center"/>
      </w:pPr>
    </w:p>
    <w:p w14:paraId="294770BB" w14:textId="3B230785" w:rsidR="001D392E" w:rsidRPr="003D14AF" w:rsidRDefault="001D392E" w:rsidP="001D392E">
      <w:pPr>
        <w:pStyle w:val="APAStyleMainText"/>
        <w:ind w:firstLine="0"/>
      </w:pPr>
      <w:r w:rsidRPr="003D14AF">
        <w:rPr>
          <w:b/>
          <w:bCs/>
        </w:rPr>
        <w:t>Corresponding Author</w:t>
      </w:r>
      <w:r w:rsidRPr="003D14AF">
        <w:t xml:space="preserve">: Stefanos Mastrotheodoros, PhD, </w:t>
      </w:r>
      <w:hyperlink r:id="rId8" w:history="1">
        <w:r w:rsidRPr="003D14AF">
          <w:rPr>
            <w:rStyle w:val="Hyperlink"/>
          </w:rPr>
          <w:t>s.mastrotheodoros@uu.nl</w:t>
        </w:r>
      </w:hyperlink>
      <w:r w:rsidRPr="003D14AF">
        <w:t xml:space="preserve"> </w:t>
      </w:r>
    </w:p>
    <w:p w14:paraId="601651C5" w14:textId="04949A99" w:rsidR="00D46015" w:rsidRPr="003D14AF" w:rsidRDefault="00D46015" w:rsidP="005652FF">
      <w:pPr>
        <w:pStyle w:val="APAStyleMainText"/>
        <w:jc w:val="center"/>
      </w:pPr>
    </w:p>
    <w:p w14:paraId="0CC09B9B" w14:textId="541E4E04" w:rsidR="001D392E" w:rsidRPr="003D14AF" w:rsidRDefault="001D392E" w:rsidP="001D392E">
      <w:pPr>
        <w:jc w:val="center"/>
        <w:rPr>
          <w:rFonts w:ascii="Times New Roman" w:hAnsi="Times New Roman" w:cs="Times New Roman"/>
        </w:rPr>
      </w:pPr>
      <w:r w:rsidRPr="003D14AF">
        <w:rPr>
          <w:rFonts w:ascii="Times New Roman" w:hAnsi="Times New Roman" w:cs="Times New Roman"/>
        </w:rPr>
        <w:t xml:space="preserve">PLEASE NOTE THAT THIS IS A </w:t>
      </w:r>
      <w:r w:rsidRPr="003D14AF">
        <w:rPr>
          <w:rFonts w:ascii="Times New Roman" w:hAnsi="Times New Roman" w:cs="Times New Roman"/>
          <w:b/>
          <w:bCs/>
        </w:rPr>
        <w:t>PRE-PRINT</w:t>
      </w:r>
      <w:r w:rsidRPr="003D14AF">
        <w:rPr>
          <w:rFonts w:ascii="Times New Roman" w:hAnsi="Times New Roman" w:cs="Times New Roman"/>
        </w:rPr>
        <w:t>, WHICH HAS BEEN SUBMITTED TO A JOURNAL.</w:t>
      </w:r>
    </w:p>
    <w:p w14:paraId="078E2E79" w14:textId="039727EE" w:rsidR="007E4642" w:rsidRDefault="001D392E" w:rsidP="001D392E">
      <w:pPr>
        <w:rPr>
          <w:rFonts w:ascii="Times New Roman" w:hAnsi="Times New Roman" w:cs="Times New Roman"/>
        </w:rPr>
      </w:pPr>
      <w:r w:rsidRPr="003D14AF">
        <w:rPr>
          <w:rFonts w:ascii="Times New Roman" w:hAnsi="Times New Roman" w:cs="Times New Roman"/>
        </w:rPr>
        <w:t xml:space="preserve">THIS VERSION OF THE DOCUMENT </w:t>
      </w:r>
      <w:r w:rsidR="007E4642">
        <w:rPr>
          <w:rFonts w:ascii="Times New Roman" w:hAnsi="Times New Roman" w:cs="Times New Roman"/>
        </w:rPr>
        <w:t xml:space="preserve">HAS BEEN PEER-REVIEWED AND </w:t>
      </w:r>
      <w:r w:rsidR="007E4642" w:rsidRPr="007E4642">
        <w:rPr>
          <w:rFonts w:ascii="Times New Roman" w:hAnsi="Times New Roman" w:cs="Times New Roman"/>
          <w:b/>
          <w:bCs/>
        </w:rPr>
        <w:t>ACCEPTED</w:t>
      </w:r>
      <w:r w:rsidR="007E4642">
        <w:rPr>
          <w:rFonts w:ascii="Times New Roman" w:hAnsi="Times New Roman" w:cs="Times New Roman"/>
        </w:rPr>
        <w:t xml:space="preserve"> FOR PUBLICATION IN THE JOURNAL </w:t>
      </w:r>
      <w:r w:rsidR="007E4642">
        <w:rPr>
          <w:rFonts w:ascii="Times New Roman" w:hAnsi="Times New Roman" w:cs="Times New Roman"/>
          <w:b/>
          <w:bCs/>
          <w:i/>
          <w:iCs/>
        </w:rPr>
        <w:t>FAMILY PROCESS</w:t>
      </w:r>
      <w:r w:rsidRPr="003D14AF">
        <w:rPr>
          <w:rFonts w:ascii="Times New Roman" w:hAnsi="Times New Roman" w:cs="Times New Roman"/>
        </w:rPr>
        <w:t xml:space="preserve">. </w:t>
      </w:r>
      <w:r w:rsidR="007E4642">
        <w:rPr>
          <w:rFonts w:ascii="Times New Roman" w:hAnsi="Times New Roman" w:cs="Times New Roman"/>
        </w:rPr>
        <w:t xml:space="preserve">THE AUTHORITATIVE VERSION OF THIS WORK WILL SOON APPEAR ON THE JOURNAL’S WEBSITE: </w:t>
      </w:r>
      <w:hyperlink r:id="rId9" w:history="1">
        <w:r w:rsidR="007E4642" w:rsidRPr="00983F3E">
          <w:rPr>
            <w:rStyle w:val="Hyperlink"/>
            <w:rFonts w:ascii="Times New Roman" w:hAnsi="Times New Roman" w:cs="Times New Roman"/>
          </w:rPr>
          <w:t>https://onlinelibrary.wiley.com/journal/15455300</w:t>
        </w:r>
      </w:hyperlink>
    </w:p>
    <w:p w14:paraId="3716FF86" w14:textId="52B41ED3" w:rsidR="001D392E" w:rsidRPr="003D14AF" w:rsidRDefault="001D392E" w:rsidP="001D392E">
      <w:pPr>
        <w:rPr>
          <w:rFonts w:ascii="Times New Roman" w:hAnsi="Times New Roman" w:cs="Times New Roman"/>
        </w:rPr>
      </w:pPr>
      <w:r w:rsidRPr="003D14AF">
        <w:rPr>
          <w:rFonts w:ascii="Times New Roman" w:hAnsi="Times New Roman" w:cs="Times New Roman"/>
        </w:rPr>
        <w:t>WE URGE ANY PARTIES INTERESTED IN THIS WORK TO CONTACT THE LEAD AUTHOR (LISTED ABOVE) FOR FURTHER DETAILS</w:t>
      </w:r>
      <w:r w:rsidR="007E4642">
        <w:rPr>
          <w:rFonts w:ascii="Times New Roman" w:hAnsi="Times New Roman" w:cs="Times New Roman"/>
        </w:rPr>
        <w:t>.</w:t>
      </w:r>
    </w:p>
    <w:p w14:paraId="0D7BEB51" w14:textId="4E867392" w:rsidR="003756FE" w:rsidRPr="003D14AF" w:rsidRDefault="003756FE" w:rsidP="005652FF">
      <w:pPr>
        <w:pStyle w:val="APAStyleMainText"/>
        <w:jc w:val="center"/>
      </w:pPr>
    </w:p>
    <w:p w14:paraId="556F260F" w14:textId="61047F4D" w:rsidR="00D763F3" w:rsidRPr="003D14AF" w:rsidRDefault="00D763F3">
      <w:pPr>
        <w:rPr>
          <w:rFonts w:ascii="Times New Roman" w:eastAsia="Times New Roman" w:hAnsi="Times New Roman" w:cs="Times New Roman"/>
          <w:b/>
          <w:i/>
          <w:iCs/>
          <w:sz w:val="24"/>
          <w:szCs w:val="24"/>
        </w:rPr>
      </w:pPr>
      <w:r w:rsidRPr="003D14AF">
        <w:rPr>
          <w:rFonts w:ascii="Times New Roman" w:hAnsi="Times New Roman" w:cs="Times New Roman"/>
        </w:rPr>
        <w:br w:type="page"/>
      </w:r>
    </w:p>
    <w:p w14:paraId="44C4CEC7"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r w:rsidRPr="00CF7751">
        <w:rPr>
          <w:rFonts w:ascii="Times New Roman" w:eastAsia="Times New Roman" w:hAnsi="Times New Roman" w:cs="Times New Roman"/>
          <w:b/>
          <w:sz w:val="24"/>
          <w:szCs w:val="24"/>
        </w:rPr>
        <w:lastRenderedPageBreak/>
        <w:t>Abstract</w:t>
      </w:r>
    </w:p>
    <w:p w14:paraId="4D3D747F"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2" w:name="_Hlk30695490"/>
      <w:r w:rsidRPr="00CF7751">
        <w:rPr>
          <w:rFonts w:ascii="Times New Roman" w:eastAsia="Times New Roman" w:hAnsi="Times New Roman" w:cs="Times New Roman"/>
          <w:sz w:val="24"/>
          <w:szCs w:val="24"/>
        </w:rPr>
        <w:t xml:space="preserve">In this multi-informant, longitudinal, daily-diary study, we investigated whether long-term dyadic patterns of marital conflict resolution explain the heterogeneity in short-term day-to-day cross-lagged associations between marital conflict intensity and mother-adolescent conflict intensity. </w:t>
      </w:r>
      <w:bookmarkEnd w:id="2"/>
      <w:r w:rsidRPr="00CF7751">
        <w:rPr>
          <w:rFonts w:ascii="Times New Roman" w:eastAsia="Times New Roman" w:hAnsi="Times New Roman" w:cs="Times New Roman"/>
          <w:sz w:val="24"/>
          <w:szCs w:val="24"/>
        </w:rPr>
        <w:t>The sample consisted of 419 adolescents</w:t>
      </w:r>
      <w:r w:rsidRPr="00CF7751">
        <w:rPr>
          <w:rFonts w:ascii="Times New Roman" w:eastAsia="Verdana" w:hAnsi="Times New Roman" w:cs="Times New Roman"/>
          <w:sz w:val="24"/>
          <w:szCs w:val="24"/>
        </w:rPr>
        <w:t xml:space="preserve"> (44.6% girls, </w:t>
      </w:r>
      <w:r w:rsidRPr="00CF7751">
        <w:rPr>
          <w:rFonts w:ascii="Times New Roman" w:eastAsia="Verdana" w:hAnsi="Times New Roman" w:cs="Times New Roman"/>
          <w:i/>
          <w:sz w:val="24"/>
          <w:szCs w:val="24"/>
        </w:rPr>
        <w:t>M</w:t>
      </w:r>
      <w:r w:rsidRPr="00CF7751">
        <w:rPr>
          <w:rFonts w:ascii="Times New Roman" w:eastAsia="Verdana" w:hAnsi="Times New Roman" w:cs="Times New Roman"/>
          <w:sz w:val="24"/>
          <w:szCs w:val="24"/>
          <w:vertAlign w:val="subscript"/>
        </w:rPr>
        <w:t>age</w:t>
      </w:r>
      <w:r w:rsidRPr="00CF7751">
        <w:rPr>
          <w:rFonts w:ascii="Times New Roman" w:eastAsia="Verdana" w:hAnsi="Times New Roman" w:cs="Times New Roman"/>
          <w:sz w:val="24"/>
          <w:szCs w:val="24"/>
        </w:rPr>
        <w:t xml:space="preserve"> = 13.02, </w:t>
      </w:r>
      <w:r w:rsidRPr="00CF7751">
        <w:rPr>
          <w:rFonts w:ascii="Times New Roman" w:eastAsia="Verdana" w:hAnsi="Times New Roman" w:cs="Times New Roman"/>
          <w:i/>
          <w:sz w:val="24"/>
          <w:szCs w:val="24"/>
        </w:rPr>
        <w:t>SD</w:t>
      </w:r>
      <w:r w:rsidRPr="00CF7751">
        <w:rPr>
          <w:rFonts w:ascii="Times New Roman" w:eastAsia="Verdana" w:hAnsi="Times New Roman" w:cs="Times New Roman"/>
          <w:sz w:val="24"/>
          <w:szCs w:val="24"/>
        </w:rPr>
        <w:t xml:space="preserve"> = 0.44, at T1; </w:t>
      </w:r>
      <w:r w:rsidRPr="00CF7751">
        <w:rPr>
          <w:rFonts w:ascii="Times New Roman" w:eastAsia="Verdana" w:hAnsi="Times New Roman" w:cs="Times New Roman"/>
          <w:i/>
          <w:sz w:val="24"/>
          <w:szCs w:val="24"/>
        </w:rPr>
        <w:t>M</w:t>
      </w:r>
      <w:r w:rsidRPr="00CF7751">
        <w:rPr>
          <w:rFonts w:ascii="Times New Roman" w:eastAsia="Verdana" w:hAnsi="Times New Roman" w:cs="Times New Roman"/>
          <w:sz w:val="24"/>
          <w:szCs w:val="24"/>
          <w:vertAlign w:val="subscript"/>
        </w:rPr>
        <w:t>age</w:t>
      </w:r>
      <w:r w:rsidRPr="00CF7751">
        <w:rPr>
          <w:rFonts w:ascii="Times New Roman" w:eastAsia="Verdana" w:hAnsi="Times New Roman" w:cs="Times New Roman"/>
          <w:sz w:val="24"/>
          <w:szCs w:val="24"/>
        </w:rPr>
        <w:t xml:space="preserve"> = 17.02, </w:t>
      </w:r>
      <w:r w:rsidRPr="00CF7751">
        <w:rPr>
          <w:rFonts w:ascii="Times New Roman" w:eastAsia="Verdana" w:hAnsi="Times New Roman" w:cs="Times New Roman"/>
          <w:i/>
          <w:sz w:val="24"/>
          <w:szCs w:val="24"/>
        </w:rPr>
        <w:t>SD</w:t>
      </w:r>
      <w:r w:rsidRPr="00CF7751">
        <w:rPr>
          <w:rFonts w:ascii="Times New Roman" w:eastAsia="Verdana" w:hAnsi="Times New Roman" w:cs="Times New Roman"/>
          <w:sz w:val="24"/>
          <w:szCs w:val="24"/>
        </w:rPr>
        <w:t xml:space="preserve"> = 0.44, at T5), their mothers (</w:t>
      </w:r>
      <w:r w:rsidRPr="00CF7751">
        <w:rPr>
          <w:rFonts w:ascii="Times New Roman" w:eastAsia="Verdana" w:hAnsi="Times New Roman" w:cs="Times New Roman"/>
          <w:i/>
          <w:iCs/>
          <w:sz w:val="24"/>
          <w:szCs w:val="24"/>
        </w:rPr>
        <w:t>N</w:t>
      </w:r>
      <w:r w:rsidRPr="00CF7751">
        <w:rPr>
          <w:rFonts w:ascii="Times New Roman" w:eastAsia="Verdana" w:hAnsi="Times New Roman" w:cs="Times New Roman"/>
          <w:sz w:val="24"/>
          <w:szCs w:val="24"/>
        </w:rPr>
        <w:t xml:space="preserve"> = 419, </w:t>
      </w:r>
      <w:r w:rsidRPr="00CF7751">
        <w:rPr>
          <w:rFonts w:ascii="Times New Roman" w:eastAsia="Verdana" w:hAnsi="Times New Roman" w:cs="Times New Roman"/>
          <w:i/>
          <w:sz w:val="24"/>
          <w:szCs w:val="24"/>
        </w:rPr>
        <w:t>M</w:t>
      </w:r>
      <w:r w:rsidRPr="00CF7751">
        <w:rPr>
          <w:rFonts w:ascii="Times New Roman" w:eastAsia="Verdana" w:hAnsi="Times New Roman" w:cs="Times New Roman"/>
          <w:sz w:val="24"/>
          <w:szCs w:val="24"/>
          <w:vertAlign w:val="subscript"/>
        </w:rPr>
        <w:t>age</w:t>
      </w:r>
      <w:r w:rsidRPr="00CF7751">
        <w:rPr>
          <w:rFonts w:ascii="Times New Roman" w:eastAsia="Verdana" w:hAnsi="Times New Roman" w:cs="Times New Roman"/>
          <w:sz w:val="24"/>
          <w:szCs w:val="24"/>
        </w:rPr>
        <w:t xml:space="preserve"> = 44.48, </w:t>
      </w:r>
      <w:r w:rsidRPr="00CF7751">
        <w:rPr>
          <w:rFonts w:ascii="Times New Roman" w:eastAsia="Verdana" w:hAnsi="Times New Roman" w:cs="Times New Roman"/>
          <w:i/>
          <w:sz w:val="24"/>
          <w:szCs w:val="24"/>
        </w:rPr>
        <w:t>SD</w:t>
      </w:r>
      <w:r w:rsidRPr="00CF7751">
        <w:rPr>
          <w:rFonts w:ascii="Times New Roman" w:eastAsia="Verdana" w:hAnsi="Times New Roman" w:cs="Times New Roman"/>
          <w:sz w:val="24"/>
          <w:szCs w:val="24"/>
        </w:rPr>
        <w:t xml:space="preserve"> = 4.17, at T1), and their fathers (</w:t>
      </w:r>
      <w:r w:rsidRPr="00CF7751">
        <w:rPr>
          <w:rFonts w:ascii="Times New Roman" w:eastAsia="Verdana" w:hAnsi="Times New Roman" w:cs="Times New Roman"/>
          <w:i/>
          <w:iCs/>
          <w:sz w:val="24"/>
          <w:szCs w:val="24"/>
        </w:rPr>
        <w:t>N</w:t>
      </w:r>
      <w:r w:rsidRPr="00CF7751">
        <w:rPr>
          <w:rFonts w:ascii="Times New Roman" w:eastAsia="Verdana" w:hAnsi="Times New Roman" w:cs="Times New Roman"/>
          <w:sz w:val="24"/>
          <w:szCs w:val="24"/>
        </w:rPr>
        <w:t xml:space="preserve"> = 419, </w:t>
      </w:r>
      <w:r w:rsidRPr="00CF7751">
        <w:rPr>
          <w:rFonts w:ascii="Times New Roman" w:eastAsia="Verdana" w:hAnsi="Times New Roman" w:cs="Times New Roman"/>
          <w:i/>
          <w:sz w:val="24"/>
          <w:szCs w:val="24"/>
        </w:rPr>
        <w:t>M</w:t>
      </w:r>
      <w:r w:rsidRPr="00CF7751">
        <w:rPr>
          <w:rFonts w:ascii="Times New Roman" w:eastAsia="Verdana" w:hAnsi="Times New Roman" w:cs="Times New Roman"/>
          <w:sz w:val="24"/>
          <w:szCs w:val="24"/>
          <w:vertAlign w:val="subscript"/>
        </w:rPr>
        <w:t>age</w:t>
      </w:r>
      <w:r w:rsidRPr="00CF7751">
        <w:rPr>
          <w:rFonts w:ascii="Times New Roman" w:eastAsia="Verdana" w:hAnsi="Times New Roman" w:cs="Times New Roman"/>
          <w:sz w:val="24"/>
          <w:szCs w:val="24"/>
        </w:rPr>
        <w:t xml:space="preserve"> = 46.76, </w:t>
      </w:r>
      <w:r w:rsidRPr="00CF7751">
        <w:rPr>
          <w:rFonts w:ascii="Times New Roman" w:eastAsia="Verdana" w:hAnsi="Times New Roman" w:cs="Times New Roman"/>
          <w:i/>
          <w:sz w:val="24"/>
          <w:szCs w:val="24"/>
        </w:rPr>
        <w:t>SD</w:t>
      </w:r>
      <w:r w:rsidRPr="00CF7751">
        <w:rPr>
          <w:rFonts w:ascii="Times New Roman" w:eastAsia="Verdana" w:hAnsi="Times New Roman" w:cs="Times New Roman"/>
          <w:sz w:val="24"/>
          <w:szCs w:val="24"/>
        </w:rPr>
        <w:t xml:space="preserve"> = 4.99, at T1).</w:t>
      </w:r>
      <w:r w:rsidRPr="00CF7751">
        <w:rPr>
          <w:rFonts w:ascii="Times New Roman" w:eastAsia="Times New Roman" w:hAnsi="Times New Roman" w:cs="Times New Roman"/>
          <w:sz w:val="24"/>
          <w:szCs w:val="24"/>
        </w:rPr>
        <w:t xml:space="preserve"> Mothers and fathers reported on their marital conflict resolution strategies annually across five years. Mother-father daily conflict intensity (mother-reported), and mother-adolescent daily conflict intensity (mother- and adolescent-reported) were assessed for 75 days across five years. We hypothesized that long-term marital conflict resolution patterns would moderate the short-term daily dynamics of conflict between the marital and the mother-adolescent dyads. Latent Class Growth Analysis revealed four types of families based on long-term dyadic marital conflict resolution, including families where mostly constructive or mostly destructive conflict resolution was used. Dynamic Structural Equation Modeling was used to investigate the daily levels and short-term daily dynamics of conflict, revealing that for most families there was no day-to-day lagged associations between marital conflict and mother-adolescent conflict. Results showed that long-term conflict resolution patterns did not moderate the short-term dynamics of daily conflict. However, differences among long-term marital conflict resolution patterns were found in the levels of daily conflict, such that in families with long-term destructive conflict resolution patterns, daily conflict intensity was higher. </w:t>
      </w:r>
    </w:p>
    <w:p w14:paraId="49AAFB8F"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i/>
          <w:iCs/>
          <w:sz w:val="24"/>
          <w:szCs w:val="24"/>
        </w:rPr>
        <w:t>Keywords:</w:t>
      </w:r>
      <w:r w:rsidRPr="00CF7751">
        <w:rPr>
          <w:rFonts w:ascii="Times New Roman" w:eastAsia="Times New Roman" w:hAnsi="Times New Roman" w:cs="Times New Roman"/>
          <w:sz w:val="24"/>
          <w:szCs w:val="24"/>
        </w:rPr>
        <w:t xml:space="preserve"> heterogeneity; family conflict; daily diaries; Dynamic Structural Equation Modelling; Latent Class Growth Analysis; spillover.</w:t>
      </w:r>
      <w:r w:rsidRPr="00CF7751">
        <w:rPr>
          <w:rFonts w:ascii="Times New Roman" w:eastAsia="Times New Roman" w:hAnsi="Times New Roman" w:cs="Times New Roman"/>
          <w:sz w:val="24"/>
          <w:szCs w:val="24"/>
        </w:rPr>
        <w:br w:type="page"/>
      </w:r>
    </w:p>
    <w:p w14:paraId="3F818B78"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bookmarkStart w:id="3" w:name="_Hlk6999646"/>
      <w:r w:rsidRPr="00CF7751">
        <w:rPr>
          <w:rFonts w:ascii="Times New Roman" w:eastAsia="Times New Roman" w:hAnsi="Times New Roman" w:cs="Times New Roman"/>
          <w:b/>
          <w:sz w:val="24"/>
          <w:szCs w:val="24"/>
        </w:rPr>
        <w:lastRenderedPageBreak/>
        <w:t>Explaining Heterogeneity of Daily Conflict Spillover in the Family: The Role of Dyadic Marital Conflict Patterns</w:t>
      </w:r>
    </w:p>
    <w:p w14:paraId="67D0515C" w14:textId="77777777" w:rsidR="00CF7751" w:rsidRPr="00CF7751" w:rsidRDefault="00CF7751" w:rsidP="00CF7751">
      <w:pPr>
        <w:tabs>
          <w:tab w:val="left" w:pos="875"/>
        </w:tabs>
        <w:autoSpaceDE w:val="0"/>
        <w:autoSpaceDN w:val="0"/>
        <w:adjustRightInd w:val="0"/>
        <w:spacing w:after="0" w:line="480" w:lineRule="auto"/>
        <w:ind w:left="-25" w:firstLine="873"/>
        <w:rPr>
          <w:rFonts w:ascii="Times New Roman" w:eastAsia="Times New Roman" w:hAnsi="Times New Roman" w:cs="Times New Roman"/>
          <w:sz w:val="24"/>
          <w:szCs w:val="24"/>
        </w:rPr>
      </w:pPr>
      <w:bookmarkStart w:id="4" w:name="_Hlk52796063"/>
      <w:r w:rsidRPr="00CF7751">
        <w:rPr>
          <w:rFonts w:ascii="Times New Roman" w:eastAsia="Times New Roman" w:hAnsi="Times New Roman" w:cs="Times New Roman"/>
          <w:sz w:val="24"/>
          <w:szCs w:val="24"/>
        </w:rPr>
        <w:t xml:space="preserve">Conflict is an inevitable aspect of family relationships. Conflict among a family dyad, like the parental dyad, can spread to another dyad in the family, like the mother-adolescent dyad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{"citationID":"EB4e60i6","properties":{"formattedCitation":"(Sears et al., 2016)","plainCitation":"(Sears et al., 2016)","noteIndex":0},"citationItems":[{"id":"jbQAzR7y/Qjq1h4TN","uris":["http://www.mendeley.com/documents/?uuid=1bba652b-559d-479d-8e52-71cbc6147f70"],"uri":["http://www.mendeley.com/documents/?uuid=1bba652b-559d-479d-8e52-71cbc6147f70"],"itemData":{"DOI":"10.1111/jomf.12265","ISSN":"00222445","abstract":"© 2016 National Council on Family Relations.Conflict with a spouse or child may generate spillover, defined as short-term affective changes in parents that affect their behavior with other family members. In a diverse sample of 86 parents, this 56-day diary study examined daily bidirectional spillover between conflict in the marital or parent-child dyad and parents' irritable, frictional behavior with their child or spouse, respectively. Tests of daily associations between conflict and parent behavior revealed robust spillover effects according to parent as well as spouse and child reports. Parents' daily negative mood and child externalizing behavior contributed to several but not all of these associations. Daily spillover findings were largely unaffected by parents' neuroticism, suggesting that parents' day-to-day fluctuations in negative mood, not average levels of negative affectivity, promoted spillover. Significant direct effects of conflict on parent behavior even when controlling for negative mood, however, implicate additional cognitive or social processes as contributors to conflict spillover in families.","author":[{"dropping-particle":"","family":"Sears","given":"Meredith S.","non-dropping-particle":"","parse-names":false,"suffix":""},{"dropping-particle":"","family":"Repetti","given":"R. L.","non-dropping-particle":"","parse-names":false,"suffix":""},{"dropping-particle":"","family":"Reynolds","given":"Bridget M.","non-dropping-particle":"","parse-names":false,"suffix":""},{"dropping-particle":"","family":"Robles","given":"Theodore F.","non-dropping-particle":"","parse-names":false,"suffix":""},{"dropping-particle":"","family":"Krull","given":"Jennifer L.","non-dropping-particle":"","parse-names":false,"suffix":""}],"container-title":"Journal of Marriage and Family","id":"ITEM-1","issue":"1","issued":{"date-parts":[["2016","2"]]},"page":"127-141","title":"Spillover in the Home: The Effects of Family Conflict on Parents' Behavior","type":"article-journal","volume":"78"}}],"schema":"https://github.com/citation-style-language/schema/raw/master/csl-citation.json"}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(Sears et al., 2016)</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Indeed, the spillover hypothesis predicts a positive association between marital conflict and parent-child conflict, because the negative mood and the friction stemming from marital conflict renders parents more prone to conflict with their children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{"citationID":"z29XV689","properties":{"formattedCitation":"(Erel &amp; Burman, 1995; Sears et al., 2016)","plainCitation":"(Erel &amp; Burman, 1995; Sears et al., 2016)","noteIndex":0},"citationItems":[{"id":"jbQAzR7y/TcDkJWro","uris":["http://www.mendeley.com/documents/?uuid=0c6ca970-251b-4e40-93eb-e67882a9f13c"],"uri":["http://www.mendeley.com/documents/?uuid=0c6ca970-251b-4e40-93eb-e67882a9f13c"],"itemData":{"DOI":"10.1037/0033-2909.118.1.108","ISSN":"1939-1455","author":[{"dropping-particle":"","family":"Erel","given":"Osnat","non-dropping-particle":"","parse-names":false,"suffix":""},{"dropping-particle":"","family":"Burman","given":"Bonnie","non-dropping-particle":"","parse-names":false,"suffix":""}],"container-title":"Psychological Bulletin","id":"ITEM-1","issue":"1","issued":{"date-parts":[["1995"]]},"page":"108-132","publisher":"American Psychological Association","title":"Interrelatedness of marital relations and parent-child relations: A meta-analytic review.","type":"article-journal","volume":"118"}},{"id":"jbQAzR7y/Qjq1h4TN","uris":["http://www.mendeley.com/documents/?uuid=1bba652b-559d-479d-8e52-71cbc6147f70"],"uri":["http://www.mendeley.com/documents/?uuid=1bba652b-559d-479d-8e52-71cbc6147f70"],"itemData":{"DOI":"10.1111/jomf.12265","ISSN":"00222445","abstract":"© 2016 National Council on Family Relations.Conflict with a spouse or child may generate spillover, defined as short-term affective changes in parents that affect their behavior with other family members. In a diverse sample of 86 parents, this 56-day diary study examined daily bidirectional spillover between conflict in the marital or parent-child dyad and parents' irritable, frictional behavior with their child or spouse, respectively. Tests of daily associations between conflict and parent behavior revealed robust spillover effects according to parent as well as spouse and child reports. Parents' daily negative mood and child externalizing behavior contributed to several but not all of these associations. Daily spillover findings were largely unaffected by parents' neuroticism, suggesting that parents' day-to-day fluctuations in negative mood, not average levels of negative affectivity, promoted spillover. Significant direct effects of conflict on parent behavior even when controlling for negative mood, however, implicate additional cognitive or social processes as contributors to conflict spillover in families.","author":[{"dropping-particle":"","family":"Sears","given":"Meredith S.","non-dropping-particle":"","parse-names":false,"suffix":""},{"dropping-particle":"","family":"Repetti","given":"R. L.","non-dropping-particle":"","parse-names":false,"suffix":""},{"dropping-particle":"","family":"Reynolds","given":"Bridget M.","non-dropping-particle":"","parse-names":false,"suffix":""},{"dropping-particle":"","family":"Robles","given":"Theodore F.","non-dropping-particle":"","parse-names":false,"suffix":""},{"dropping-particle":"","family":"Krull","given":"Jennifer L.","non-dropping-particle":"","parse-names":false,"suffix":""}],"container-title":"Journal of Marriage and Family","id":"ITEM-2","issue":"1","issued":{"date-parts":[["2016","2"]]},"page":"127-141","title":"Spillover in the Home: The Effects of Family Conflict on Parents' Behavior","type":"article-journal","volume":"78"}}],"schema":"https://github.com/citation-style-language/schema/raw/master/csl-citation.json"}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(Erel &amp; Burman, 1995; Sears et al., 2016)</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Alternatively, the compensatory hypothesis predicts a negative association between marital conflict and parent-child conflict, because parents try to compensate for the dissatisfaction in their conflictual marriage by investing in a more positive relationship with their child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{"citationID":"GwWimrPY","properties":{"formattedCitation":"(Cox et al., 2001; Kouros et al., 2014)","plainCitation":"(Cox et al., 2001; Kouros et al., 2014)","noteIndex":0},"citationItems":[{"id":"jbQAzR7y/7i89Ahhl","uris":["http://www.mendeley.com/documents/?uuid=d4f397bd-8a91-45cb-a92c-88ef2688b100"],"uri":["http://www.mendeley.com/documents/?uuid=d4f397bd-8a91-45cb-a92c-88ef2688b100"],"itemData":{"DOI":"10.1017/CBO9780511527838.011","author":[{"dropping-particle":"","family":"Cox","given":"Martha J","non-dropping-particle":"","parse-names":false,"suffix":""},{"dropping-particle":"","family":"Paley","given":"Blair","non-dropping-particle":"","parse-names":false,"suffix":""},{"dropping-particle":"","family":"Harter","given":"Kristina","non-dropping-particle":"","parse-names":false,"suffix":""}],"container-title":"Interparental Conflict and Child Development","editor":[{"dropping-particle":"","family":"Grych","given":"John H.","non-dropping-particle":"","parse-names":false,"suffix":""},{"dropping-particle":"","family":"Fincham","given":"Frank D.","non-dropping-particle":"","parse-names":false,"suffix":""}],"id":"ITEM-1","issued":{"date-parts":[["2001"]]},"page":"249-272","publisher":"Cambridge University Press","publisher-place":"Cambridge","title":"Interparental Conflict and Parent–Child Relationships","type":"chapter"}},{"id":"jbQAzR7y/UGwwwEvH","uris":["http://www.mendeley.com/documents/?uuid=60e0bf2d-638f-40a1-90b7-533e14141290"],"uri":["http://www.mendeley.com/documents/?uuid=60e0bf2d-638f-40a1-90b7-533e14141290"],"itemData":{"DOI":"10.1037/a0036804","ISSN":"1939-1293","author":[{"dropping-particle":"","family":"Kouros","given":"Chrystyna D","non-dropping-particle":"","parse-names":false,"suffix":""},{"dropping-particle":"","family":"Papp","given":"Lauren M","non-dropping-particle":"","parse-names":false,"suffix":""},{"dropping-particle":"","family":"Goeke-Morey","given":"Marcie C","non-dropping-particle":"","parse-names":false,"suffix":""},{"dropping-particle":"","family":"Cummings","given":"E Mark","non-dropping-particle":"","parse-names":false,"suffix":""}],"container-title":"Journal of Family Psychology","id":"ITEM-2","issue":"3","issued":{"date-parts":[["2014"]]},"page":"315-325","publisher":"American Psychological Association","title":"Spillover between marital quality and parent–child relationship quality: Parental depressive symptoms as moderators.","type":"article-journal","volume":"28"}}],"schema":"https://github.com/citation-style-language/schema/raw/master/csl-citation.json"}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(Cox et al., 2001; Kouros et al., 2014)</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Moreover, the compartmentalization hypothesis postulates that there is no association between marital conflict and parent-child conflict, because the boundaries of the marital dyad are strong enough to withhold marital conflict from inflicting the parent-child dyad. Spillover, compensation, and compartmentalization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{"citationID":"zsY8Gs2r","properties":{"formattedCitation":"(Erel &amp; Burman, 1995; Krishnakumar &amp; Buehler, 2000)","plainCitation":"(Erel &amp; Burman, 1995; Krishnakumar &amp; Buehler, 2000)","noteIndex":0},"citationItems":[{"id":"jbQAzR7y/TcDkJWro","uris":["http://www.mendeley.com/documents/?uuid=0c6ca970-251b-4e40-93eb-e67882a9f13c"],"uri":["http://www.mendeley.com/documents/?uuid=0c6ca970-251b-4e40-93eb-e67882a9f13c"],"itemData":{"DOI":"10.1037/0033-2909.118.1.108","ISSN":"1939-1455","author":[{"dropping-particle":"","family":"Erel","given":"Osnat","non-dropping-particle":"","parse-names":false,"suffix":""},{"dropping-particle":"","family":"Burman","given":"Bonnie","non-dropping-particle":"","parse-names":false,"suffix":""}],"container-title":"Psychological Bulletin","id":"ITEM-1","issue":"1","issued":{"date-parts":[["1995"]]},"page":"108-132","publisher":"American Psychological Association","title":"Interrelatedness of marital relations and parent-child relations: A meta-analytic review.","type":"article-journal","volume":"118"}},{"id":"jbQAzR7y/t2ewVfuL","uris":["http://www.mendeley.com/documents/?uuid=0f877511-8f6a-3399-a30c-1a4a675944c3"],"uri":["http://www.mendeley.com/documents/?uuid=0f877511-8f6a-3399-a30c-1a4a675944c3"],"itemData":{"DOI":"10.1111/j.1741-3729.2000.00025.x","ISSN":"0197-6664","author":[{"dropping-particle":"","family":"Krishnakumar","given":"Ambika","non-dropping-particle":"","parse-names":false,"suffix":""},{"dropping-particle":"","family":"Buehler","given":"Cheryl","non-dropping-particle":"","parse-names":false,"suffix":""}],"container-title":"Family Relations","id":"ITEM-2","issue":"1","issued":{"date-parts":[["2000","1"]]},"page":"25-44","publisher":"Wiley/Blackwell (10.1111)","title":"Interparental Conflict and Parenting Behaviors: A Meta-Analytic Review","type":"article-journal","volume":"49"}}],"schema":"https://github.com/citation-style-language/schema/raw/master/csl-citation.json"}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(Erel &amp; Burman, 1995; Krishnakumar &amp; Buehler, 2000)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are three hypotheses about how conflict in one family dyad might affect conflict in other dyads of the family. In other words, these three hypotheses apply to within-family effects of conflict. </w:t>
      </w:r>
    </w:p>
    <w:p w14:paraId="3DCE1D4D"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Many studies have investigated these hypotheses and each of these hypotheses has received support (spillover: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{"citationID":"hrAxLai0","properties":{"formattedCitation":"(Nelson et al., 2017)","plainCitation":"(Nelson et al., 2017)","noteIndex":0},"citationItems":[{"id":"jbQAzR7y/aPy9BJtW","uris":["http://www.mendeley.com/documents/?uuid=db97ed98-cfe1-42ed-b808-d8ee3c53b3bb"],"uri":["http://www.mendeley.com/documents/?uuid=db97ed98-cfe1-42ed-b808-d8ee3c53b3bb"],"itemData":{"DOI":"10.1037/fam0000276","ISSN":"1939-1293","abstract":"© 2016 American Psychological Association. This study examined whether daily variations in levels of mothers' work, home, and relationship stress were related to collaborative and oppositional qualities of mother-child conflict interactions across 1 week. Mothers reported on 1 specific conflict interaction with their 5- to 8-year-old child and their work, home, and relationship stress through online surveys each day for 7 consecutive days. Diary data from 142 mothers were analyzed in 6 multilevel models, each including within- and between-family levels of a stressor predicting collaborative or oppositional conflict qualities. Results suggested that families in the sample differed from each other, and also varied during the week, in collaborative and oppositional conflict qualities as well as stress in all 3 domains. Mothers reported a greater degree of oppositional conflict qualities on days characterized by higher perceptions of home chaos. Additionally, mothers who reported higher average levels of negativity in romantic relationships endorsed oppositional conflict qualities to a greater extent than mothers with lower relationship negativity. Two multilevel models including all 3 stressors in relation to collaborative and oppositional conflict revealed that for mothers managing multiple roles, average romantic relationship stress was the most important unique contributor to mother-child conflict qualities and daily relationship stress was particularly influential among mothers with sons compared to those with daughters. Results support the spillover hypothesis of stress within the family system and are discussed in terms of mothers' coping mechanisms and emotional engagement.","author":[{"dropping-particle":"","family":"Nelson","given":"Jackie A.","non-dropping-particle":"","parse-names":false,"suffix":""},{"dropping-particle":"","family":"Boyer","given":"Brittany P.","non-dropping-particle":"","parse-names":false,"suffix":""},{"dropping-particle":"","family":"Villarreal","given":"Deyaun L.","non-dropping-particle":"","parse-names":false,"suffix":""},{"dropping-particle":"","family":"Smith","given":"Olivia A.","non-dropping-particle":"","parse-names":false,"suffix":""}],"container-title":"Journal of Family Psychology","id":"ITEM-1","issue":"4","issued":{"date-parts":[["2017","6"]]},"page":"431-441","title":"Relations between mothers’ daily work, home, and relationship stress with characteristics of mother–child conflict interactions.","type":"article-journal","volume":"31"}}],"schema":"https://github.com/citation-style-language/schema/raw/master/csl-citation.json"}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Nelson et al., 2017</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compensation: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{"citationID":"pyCd1JeO","properties":{"formattedCitation":"(Kouros et al., 2014)","plainCitation":"(Kouros et al., 2014)","noteIndex":0},"citationItems":[{"id":"jbQAzR7y/UGwwwEvH","uris":["http://www.mendeley.com/documents/?uuid=60e0bf2d-638f-40a1-90b7-533e14141290"],"uri":["http://www.mendeley.com/documents/?uuid=60e0bf2d-638f-40a1-90b7-533e14141290"],"itemData":{"DOI":"10.1037/a0036804","ISSN":"1939-1293","author":[{"dropping-particle":"","family":"Kouros","given":"Chrystyna D","non-dropping-particle":"","parse-names":false,"suffix":""},{"dropping-particle":"","family":"Papp","given":"Lauren M","non-dropping-particle":"","parse-names":false,"suffix":""},{"dropping-particle":"","family":"Goeke-Morey","given":"Marcie C","non-dropping-particle":"","parse-names":false,"suffix":""},{"dropping-particle":"","family":"Cummings","given":"E Mark","non-dropping-particle":"","parse-names":false,"suffix":""}],"container-title":"Journal of Family Psychology","id":"ITEM-1","issue":"3","issued":{"date-parts":[["2014"]]},"page":"315-325","publisher":"American Psychological Association","title":"Spillover between marital quality and parent–child relationship quality: Parental depressive symptoms as moderators.","type":"article-journal","volume":"28"}}],"schema":"https://github.com/citation-style-language/schema/raw/master/csl-citation.json"}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Kouros et al., 2014</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compartmentalization: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{"citationID":"VSRcjVQ9","properties":{"formattedCitation":"(Mastrotheodoros, Van Lissa, et al., 2020)","plainCitation":"(Mastrotheodoros, Van Lissa, et al., 2020)","noteIndex":0},"citationItems":[{"id":"jbQAzR7y/e7kIqinV","uris":["http://www.mendeley.com/documents/?uuid=65bff46f-8906-4561-b4aa-4d8b692dd828"],"uri":["http://www.mendeley.com/documents/?uuid=65bff46f-8906-4561-b4aa-4d8b692dd828"],"itemData":{"DOI":"10.1037/fam0000649","author":[{"dropping-particle":"","family":"Mastrotheodoros","given":"Stefanos","non-dropping-particle":"","parse-names":false,"suffix":""},{"dropping-particle":"","family":"Lissa","given":"Caspar J","non-dropping-particle":"Van","parse-names":false,"suffix":""},{"dropping-particle":"","family":"Graaff","given":"Jolien","non-dropping-particle":"Van der","parse-names":false,"suffix":""},{"dropping-particle":"","family":"Deković","given":"Maja","non-dropping-particle":"","parse-names":false,"suffix":""},{"dropping-particle":"","family":"Meeus","given":"Wim H. J.","non-dropping-particle":"","parse-names":false,"suffix":""},{"dropping-particle":"","family":"Branje","given":"S.J.T.","non-dropping-particle":"","parse-names":false,"suffix":""}],"container-title":"Journal of Family Psychology","id":"ITEM-1","issued":{"date-parts":[["2020"]]},"title":"Day-to-Day Spillover and Long-term Transmission of Interparental Conflict to Adolescent-Mother Conflict: The Role of Mood.","type":"article-journal"}}],"schema":"https://github.com/citation-style-language/schema/raw/master/csl-citation.json"}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Mastrotheodoros, Van Lissa, et al., 2020)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Moreover, these studies have shown that there is significant heterogeneity in associations, indicating that not all families function similarly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{"citationID":"iyPI5C3W","properties":{"formattedCitation":"(Sturge-Apple et al., 2014)","plainCitation":"(Sturge-Apple et al., 2014)","noteIndex":0},"citationItems":[{"id":"jbQAzR7y/4mRt3bWs","uris":["http://www.mendeley.com/documents/?uuid=08c96534-fe1f-48b6-8952-3626acc83a57"],"uri":["http://www.mendeley.com/documents/?uuid=08c96534-fe1f-48b6-8952-3626acc83a57"],"itemData":{"ISSN":"0954-5794","author":[{"dropping-particle":"","family":"Sturge-Apple","given":"Melissa L","non-dropping-particle":"","parse-names":false,"suffix":""},{"dropping-particle":"","family":"Davies","given":"Patrick T","non-dropping-particle":"","parse-names":false,"suffix":""},{"dropping-particle":"","family":"Cicchetti","given":"Dante","non-dropping-particle":"","parse-names":false,"suffix":""},{"dropping-particle":"","family":"Fittoria","given":"Michael G","non-dropping-particle":"","parse-names":false,"suffix":""}],"container-title":"Development and psychopathology","id":"ITEM-1","issue":"4pt1","issued":{"date-parts":[["2014"]]},"page":"983-998","publisher":"Cambridge University Press","title":"A typology of interpartner conflict and maternal parenting practices in high-risk families: Examining spillover and compensatory models and implications for child adjustment","type":"article-journal","volume":"26"}}],"schema":"https://github.com/citation-style-language/schema/raw/master/csl-citation.json"}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(Sturge-Apple et al., 2014)</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This implies that these three within-family hypotheses might all bear some truth, yet each of the hypotheses might apply to different groups of families. Some families might function according to the spillover </w:t>
      </w:r>
      <w:r w:rsidRPr="00CF7751">
        <w:rPr>
          <w:rFonts w:ascii="Times New Roman" w:eastAsia="Times New Roman" w:hAnsi="Times New Roman" w:cs="Times New Roman"/>
          <w:sz w:val="24"/>
          <w:szCs w:val="24"/>
        </w:rPr>
        <w:lastRenderedPageBreak/>
        <w:t xml:space="preserve">hypothesis, in which marital conflict leads to mother-adolescent conflict. Other families might show a compensatory pattern, in which marital conflict deters mother-adolescent conflict. Yet other families align more with the compartmentalization hypothesis, in which marital conflict is unrelated to mother-adolescent conflict. Such between-family differences in within-family dynamics have important implications for interventions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{"citationID":"0vIVTnlV","properties":{"formattedCitation":"(Kerig, 2016)","plainCitation":"(Kerig, 2016)","noteIndex":0},"citationItems":[{"id":"jbQAzR7y/i1P7kqqg","uris":["http://www.mendeley.com/documents/?uuid=c68348cf-1bcb-43cf-aa56-85f802d78ab5"],"uri":["http://www.mendeley.com/documents/?uuid=c68348cf-1bcb-43cf-aa56-85f802d78ab5"],"itemData":{"DOI":"10.1002/9781119125556.devpsy113","author":[{"dropping-particle":"","family":"Kerig","given":"Patricia K.","non-dropping-particle":"","parse-names":false,"suffix":""}],"container-title":"Developmental Psychopathology","editor":[{"dropping-particle":"","family":"Cicchetti","given":"Dante","non-dropping-particle":"","parse-names":false,"suffix":""}],"id":"ITEM-1","issued":{"date-parts":[["2016","2","10"]]},"page":"1-51","publisher":"John Wiley &amp; Sons, Inc.","publisher-place":"Hoboken, NJ, USA","title":"Family Systems from a Developmental Psychopathology Perspective","type":"chapter"}}],"schema":"https://github.com/citation-style-language/schema/raw/master/csl-citation.json"}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(Kerig, 2016)</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Therefore, it is important to understand why in different families, mother-adolescent conflict is affected differently by marital conflict. Or, in other words, which between-family differences might determine the heterogeneity in within-family dynamics.</w:t>
      </w:r>
      <w:bookmarkStart w:id="5" w:name="_Hlk34401825"/>
      <w:bookmarkStart w:id="6" w:name="_Hlk34407450"/>
      <w:bookmarkStart w:id="7" w:name="_Hlk34401723"/>
      <w:bookmarkStart w:id="8" w:name="_Hlk41321140"/>
      <w:bookmarkStart w:id="9" w:name="_Hlk32843263"/>
      <w:bookmarkStart w:id="10" w:name="_Hlk34408329"/>
      <w:bookmarkEnd w:id="4"/>
      <w:r w:rsidRPr="00CF7751">
        <w:rPr>
          <w:rFonts w:ascii="Times New Roman" w:eastAsia="Times New Roman" w:hAnsi="Times New Roman" w:cs="Times New Roman"/>
          <w:sz w:val="24"/>
          <w:szCs w:val="24"/>
        </w:rPr>
        <w:t xml:space="preserve"> </w:t>
      </w:r>
    </w:p>
    <w:p w14:paraId="2746D583"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11" w:name="_Hlk53565188"/>
      <w:r w:rsidRPr="00CF7751">
        <w:rPr>
          <w:rFonts w:ascii="Times New Roman" w:eastAsia="Times New Roman" w:hAnsi="Times New Roman" w:cs="Times New Roman"/>
          <w:sz w:val="24"/>
          <w:szCs w:val="24"/>
        </w:rPr>
        <w:t>A factor that potentially explains between-family differences in how marital conflict affects mother-adolescent conflict might be how marital couples manage marital conflicts</w:t>
      </w:r>
      <w:bookmarkEnd w:id="5"/>
      <w:r w:rsidRPr="00CF7751">
        <w:rPr>
          <w:rFonts w:ascii="Times New Roman" w:eastAsia="Times New Roman" w:hAnsi="Times New Roman" w:cs="Times New Roman"/>
          <w:sz w:val="24"/>
          <w:szCs w:val="24"/>
        </w:rPr>
        <w:t xml:space="preserve">. Some couples handle marital conflict with conflict resolution styles consisting of behaviors like yelling, blaming, and withdrawing, that have been found to be less constructive and relate to lower wellbeing and marital satisfaction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{"citationID":"0rBHtEPj","properties":{"formattedCitation":"(Gottman, 1993)","plainCitation":"(Gottman, 1993)","noteIndex":0},"citationItems":[{"id":"jbQAzR7y/nCWi4Ws0","uris":["http://www.mendeley.com/documents/?uuid=26e8e8b5-abcc-40b7-88d9-055eb035574b"],"uri":["http://www.mendeley.com/documents/?uuid=26e8e8b5-abcc-40b7-88d9-055eb035574b"],"itemData":{"DOI":"10.1037/0022-006X.61.1.6","ISSN":"1939-2117","author":[{"dropping-particle":"","family":"Gottman","given":"John M","non-dropping-particle":"","parse-names":false,"suffix":""}],"container-title":"Journal of Consulting and Clinical Psychology","id":"ITEM-1","issue":"1","issued":{"date-parts":[["1993"]]},"page":"6-15","publisher":"American Psychological Association","title":"The roles of conflict engagement, escalation, and avoidance in marital interaction: A longitudinal view of five types of couples.","type":"article-journal","volume":"61"}}],"schema":"https://github.com/citation-style-language/schema/raw/master/csl-citation.json"}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(Gottman, 1993)</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Other couples use conflict resolution styles consisting of attempts to bridge differences and find compromises, which have been found to relate to better adjustment outcomes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{"citationID":"Ae5AYo68","properties":{"formattedCitation":"(Whitton et al., 2018)","plainCitation":"(Whitton et al., 2018)","noteIndex":0},"citationItems":[{"id":"jbQAzR7y/a6NABbsp","uris":["http://www.mendeley.com/documents/?uuid=1f05335e-80ea-41e4-ba32-e873535acc70"],"uri":["http://www.mendeley.com/documents/?uuid=1f05335e-80ea-41e4-ba32-e873535acc70"],"itemData":{"DOI":"10.1017/9781316417867.024","ISBN":"9781316417867","author":[{"dropping-particle":"","family":"Whitton","given":"Sarah W","non-dropping-particle":"","parse-names":false,"suffix":""},{"dropping-particle":"","family":"James-Kangal","given":"Neslihan","non-dropping-particle":"","parse-names":false,"suffix":""},{"dropping-particle":"","family":"Rhoades","given":"Galena K.","non-dropping-particle":"","parse-names":false,"suffix":""},{"dropping-particle":"","family":"Markman","given":"Howard J.","non-dropping-particle":"","parse-names":false,"suffix":""}],"container-title":"The Cambridge Handbook of Personal Relationships","editor":[{"dropping-particle":"","family":"Vangelisti","given":"A","non-dropping-particle":"","parse-names":false,"suffix":""},{"dropping-particle":"","family":"Perlman","given":"D.","non-dropping-particle":"","parse-names":false,"suffix":""}],"id":"ITEM-1","issued":{"date-parts":[["2018"]]},"page":"297-310","publisher":"Cambridge University Press","publisher-place":"Cambridge","title":"Understanding Couple Conflict","type":"chapter"}}],"schema":"https://github.com/citation-style-language/schema/raw/master/csl-citation.json"}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(Whitton et al.,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bookmarkStart w:id="12" w:name="_Hlk52895472"/>
      <w:bookmarkStart w:id="13" w:name="_Hlk34407496"/>
      <w:bookmarkStart w:id="14" w:name="_Hlk34407635"/>
      <w:bookmarkEnd w:id="6"/>
      <w:bookmarkEnd w:id="7"/>
      <w:bookmarkEnd w:id="8"/>
    </w:p>
    <w:bookmarkEnd w:id="11"/>
    <w:p w14:paraId="6379C174"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The purpose of this study was twofold. First, we investigated between-family differences in dyadic marital conflict patterns based on constructive and destructive resolution tactics.</w:t>
      </w:r>
      <w:bookmarkEnd w:id="12"/>
      <w:r w:rsidRPr="00CF7751">
        <w:rPr>
          <w:rFonts w:ascii="Times New Roman" w:eastAsia="Times New Roman" w:hAnsi="Times New Roman" w:cs="Times New Roman"/>
          <w:sz w:val="24"/>
          <w:szCs w:val="24"/>
        </w:rPr>
        <w:t xml:space="preserve"> Second, we aimed to examine whether these between-family differences in marital conflict resolution can explain the heterogeneity in the daily dynamics of family conflict, focusing on the daily interplay of marital conflict and mother-adolescent conflict. </w:t>
      </w:r>
      <w:bookmarkEnd w:id="13"/>
    </w:p>
    <w:p w14:paraId="50FF6830" w14:textId="77777777" w:rsidR="00CF7751" w:rsidRPr="00CF7751" w:rsidRDefault="00CF7751" w:rsidP="00CF7751">
      <w:pPr>
        <w:spacing w:after="0" w:line="480" w:lineRule="auto"/>
        <w:rPr>
          <w:rFonts w:ascii="Times New Roman" w:eastAsia="Calibri" w:hAnsi="Times New Roman" w:cs="Times New Roman"/>
          <w:b/>
          <w:sz w:val="24"/>
          <w:szCs w:val="24"/>
        </w:rPr>
      </w:pPr>
      <w:bookmarkStart w:id="15" w:name="_Hlk52796985"/>
      <w:bookmarkStart w:id="16" w:name="_Hlk41398162"/>
      <w:r w:rsidRPr="00CF7751">
        <w:rPr>
          <w:rFonts w:ascii="Times New Roman" w:eastAsia="Calibri" w:hAnsi="Times New Roman" w:cs="Times New Roman"/>
          <w:b/>
          <w:sz w:val="24"/>
          <w:szCs w:val="24"/>
        </w:rPr>
        <w:t>Dyadic Marital Conflict Resolution Patterns</w:t>
      </w:r>
    </w:p>
    <w:p w14:paraId="714CEC99" w14:textId="77777777" w:rsidR="00CF7751" w:rsidRPr="00CF7751" w:rsidRDefault="00CF7751" w:rsidP="00CF7751">
      <w:pPr>
        <w:spacing w:after="0" w:line="480" w:lineRule="auto"/>
        <w:ind w:firstLine="709"/>
        <w:rPr>
          <w:rFonts w:ascii="Times New Roman" w:eastAsia="Times New Roman" w:hAnsi="Times New Roman" w:cs="Times New Roman"/>
          <w:sz w:val="24"/>
          <w:szCs w:val="24"/>
        </w:rPr>
      </w:pPr>
      <w:bookmarkStart w:id="17" w:name="_Hlk53565651"/>
      <w:bookmarkStart w:id="18" w:name="_Hlk52811581"/>
      <w:bookmarkStart w:id="19" w:name="_Hlk52797685"/>
      <w:bookmarkEnd w:id="15"/>
      <w:r w:rsidRPr="00CF7751">
        <w:rPr>
          <w:rFonts w:ascii="Times New Roman" w:eastAsia="Times New Roman" w:hAnsi="Times New Roman" w:cs="Times New Roman"/>
          <w:sz w:val="24"/>
          <w:szCs w:val="24"/>
        </w:rPr>
        <w:t xml:space="preserve">Marital conflict resolution strategies can be constructive, if they elicit more positive than negative reactions, or destructive, if the opposite is true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{"citationID":"oQeHbPbR","properties":{"formattedCitation":"(Goeke-Morey et al., 2003)","plainCitation":"(Goeke-Morey et al., 2003)","noteIndex":0},"citationItems":[{"id":"jbQAzR7y/FsKNNAX8","uris":["http://www.mendeley.com/documents/?uuid=2cfedbe1-b235-447d-94a4-a9386d2cd5a2"],"uri":["http://www.mendeley.com/documents/?uuid=2cfedbe1-b235-447d-94a4-a9386d2cd5a2"],"itemData":{"DOI":"10.1037/0893-3200.17.3.327","ISSN":"1939-1293","author":[{"dropping-particle":"","family":"Goeke-Morey","given":"Marcie C.","non-dropping-particle":"","parse-names":false,"suffix":""},{"dropping-particle":"","family":"Cummings","given":"E. Mark","non-dropping-particle":"","parse-names":false,"suffix":""},{"dropping-particle":"","family":"Harold","given":"Gordon T.","non-dropping-particle":"","parse-names":false,"suffix":""},{"dropping-particle":"","family":"Shelton","given":"Katherine H.","non-dropping-particle":"","parse-names":false,"suffix":""}],"container-title":"Journal of Family Psychology","id":"ITEM-1","issue":"3","issued":{"date-parts":[["2003"]]},"page":"327-338","title":"Categories and continua of destructive and constructive marital conflict tactics from the perspective of U.S. and Welsh children.","type":"article-journal","volume":"17"}}],"schema":"https://github.com/citation-style-language/schema/raw/master/csl-citation.json"}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szCs w:val="24"/>
        </w:rPr>
        <w:t>(Goeke-Morey et al., 2003)</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bookmarkEnd w:id="17"/>
      <w:r w:rsidRPr="00CF7751">
        <w:rPr>
          <w:rFonts w:ascii="Times New Roman" w:eastAsia="Times New Roman" w:hAnsi="Times New Roman" w:cs="Times New Roman"/>
          <w:sz w:val="24"/>
          <w:szCs w:val="24"/>
        </w:rPr>
        <w:t xml:space="preserve">Constructive conflict resolution strategies, by means of renegotiating the needs, roles, and boundaries in the marital relationship, may help build bridges, or strengthen existing ones. On </w:t>
      </w:r>
      <w:r w:rsidRPr="00CF7751">
        <w:rPr>
          <w:rFonts w:ascii="Times New Roman" w:eastAsia="Times New Roman" w:hAnsi="Times New Roman" w:cs="Times New Roman"/>
          <w:sz w:val="24"/>
          <w:szCs w:val="24"/>
        </w:rPr>
        <w:lastRenderedPageBreak/>
        <w:t xml:space="preserve">the contrary, destructive marital conflict resolution strategies, by means of behaviors that alienate and demean the partners, can lead to depression and marital dissolution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{"citationID":"o1ARQuVs","properties":{"formattedCitation":"(Markman et al., 2010; Whitton et al., 2018)","plainCitation":"(Markman et al., 2010; Whitton et al., 2018)","noteIndex":0},"citationItems":[{"id":"jbQAzR7y/gVnGSSEp","uris":["http://www.mendeley.com/documents/?uuid=38eb0832-2136-4ba9-84c4-7939e3c6e999"],"uri":["http://www.mendeley.com/documents/?uuid=38eb0832-2136-4ba9-84c4-7939e3c6e999"],"itemData":{"DOI":"10.1037/a0019481","ISSN":"1939-1293","abstract":"Using data from 210 couples who provided data across the first 5 years of marriage, we examined how premarital communication quality was related to divorce and later distress. The results showed that premarital observed negative and positive communication nearly reached significance as predictors of divorce, while self-reported negative communication was significantly associated with divorce. In terms of marital adjustment, we found that both premarital observed and self-reported negative premarital communication (but not observed positive communication) were associated with lower adjustment during the first 5 years of marriage. The most important questions addressed in this study pertain to how positive and negative dimensions of communication change over time and how these changes are related to being distressed or nondistressed after 5 years of marriage. This is the first study, to our knowledge, to examine the changes in communication over time that are so central to theories of the development of marital distress and for research-based interventions. We found that all couples showed decreases in negative communication over time, but the nondistressed group declined significantly more than the distressed group in negative communication, suggesting they are handling negative emotions better. Implications for future research on the development of relationship distress and for enhancing research-based couples' intervention programs are provided. © 2010 American Psychological Association.","author":[{"dropping-particle":"","family":"Markman","given":"Howard J.","non-dropping-particle":"","parse-names":false,"suffix":""},{"dropping-particle":"","family":"Rhoades","given":"Galena K.","non-dropping-particle":"","parse-names":false,"suffix":""},{"dropping-particle":"","family":"Stanley","given":"Scott M.","non-dropping-particle":"","parse-names":false,"suffix":""},{"dropping-particle":"","family":"Ragan","given":"Erica P.","non-dropping-particle":"","parse-names":false,"suffix":""},{"dropping-particle":"","family":"Whitton","given":"Sarah W.","non-dropping-particle":"","parse-names":false,"suffix":""}],"container-title":"Journal of Family Psychology","id":"ITEM-1","issue":"3","issued":{"date-parts":[["2010"]]},"page":"289-298","title":"The premarital communication roots of marital distress and divorce: The first five years of marriage.","type":"article-journal","volume":"24"}},{"id":"jbQAzR7y/a6NABbsp","uris":["http://www.mendeley.com/documents/?uuid=1f05335e-80ea-41e4-ba32-e873535acc70"],"uri":["http://www.mendeley.com/documents/?uuid=1f05335e-80ea-41e4-ba32-e873535acc70"],"itemData":{"DOI":"10.1017/9781316417867.024","ISBN":"9781316417867","author":[{"dropping-particle":"","family":"Whitton","given":"Sarah W","non-dropping-particle":"","parse-names":false,"suffix":""},{"dropping-particle":"","family":"James-Kangal","given":"Neslihan","non-dropping-particle":"","parse-names":false,"suffix":""},{"dropping-particle":"","family":"Rhoades","given":"Galena K.","non-dropping-particle":"","parse-names":false,"suffix":""},{"dropping-particle":"","family":"Markman","given":"Howard J.","non-dropping-particle":"","parse-names":false,"suffix":""}],"container-title":"The Cambridge Handbook of Personal Relationships","editor":[{"dropping-particle":"","family":"Vangelisti","given":"A","non-dropping-particle":"","parse-names":false,"suffix":""},{"dropping-particle":"","family":"Perlman","given":"D.","non-dropping-particle":"","parse-names":false,"suffix":""}],"id":"ITEM-2","issued":{"date-parts":[["2018"]]},"page":"297-310","publisher":"Cambridge University Press","publisher-place":"Cambridge","title":"Understanding Couple Conflict","type":"chapter"}}],"schema":"https://github.com/citation-style-language/schema/raw/master/csl-citation.json"}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szCs w:val="24"/>
        </w:rPr>
        <w:t>(Markman et al., 2010; Whitton et al.,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w:t>
      </w:r>
    </w:p>
    <w:p w14:paraId="2F1DB0C1"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lang w:val="en-GB"/>
        </w:rPr>
      </w:pPr>
      <w:r w:rsidRPr="00CF7751">
        <w:rPr>
          <w:rFonts w:ascii="Times New Roman" w:eastAsia="Times New Roman" w:hAnsi="Times New Roman" w:cs="Times New Roman"/>
          <w:sz w:val="24"/>
          <w:szCs w:val="24"/>
        </w:rPr>
        <w:t xml:space="preserve">Constructive conflict resolution consists of behaviors such as positive problem solving, support and trying to understand each other’s position, and finding compromises, whereas destructive conflict resolution consists of behaviors such as attacking each other, withdrawing, or giving in without standing for one’s opinion or desires </w:t>
      </w:r>
      <w:bookmarkEnd w:id="16"/>
      <w:bookmarkEnd w:id="18"/>
      <w:bookmarkEnd w:id="19"/>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{"citationID":"I6fopiXy","properties":{"formattedCitation":"(Mastrotheodoros et al., 2019a; McCoy et al., 2009)","plainCitation":"(Mastrotheodoros et al., 2019a; McCoy et al., 2009)","noteIndex":0},"citationItems":[{"id":"jbQAzR7y/ioD3W1N3","uris":["http://www.mendeley.com/documents/?uuid=2a4611cd-2f4d-4e8b-89d0-4a6131b67a6d"],"uri":["http://www.mendeley.com/documents/?uuid=2a4611cd-2f4d-4e8b-89d0-4a6131b67a6d"],"itemData":{"DOI":"10.1111/jomf.12528","ISSN":"00222445","abstract":"Objective: This study investigates the longitudinal , cross-lagged associations among inter-parental conflict management strategies and the parent-adolescent relationship. Background: The following three main hypotheses explain how interparental conflict affects parent-adolescent relationship: the spillover, the compensatory, and the compartmentaliza-tion hypotheses. A common key aspect of these hypotheses is the focus on changes within a family; they hypothesize what happens within a family when interparental conflict shakes the family's equilibrium. Although extant research supported the spillover hypothesis, this key aspect was often ignored, and conclusions were based on comparing families with each other. This study investigated how interparental conflict is longitudinally associated with the quality of the parent-child relationship, controlling for stable between-family differences. Method: Data consisted of six waves of an ongoing study with 497 Dutch adolescents (M = 13.03, 43.1% girls), their mothers, and their fathers. Parents reported on conflict strategies ; parents and adolescents reported on parental support, parent-adolescent negative interaction, and parental behavioral control. Random-intercept cross-lagged panel models were applied. Results: Most associations were found at the between-person level: Destructive conflict was related to poor parent-adolescent relationships. Few within-person associations were found: Changes in destructive conflict only were associated positively with changes in father-adolescent negative interaction. Conclusions: Associations between inter-parental conflict and the parent-adolescent relationship are mostly due to stable between-family Journal of Marriage and Family (2018) 1","author":[{"dropping-particle":"","family":"Mastrotheodoros","given":"Stefanos","non-dropping-particle":"","parse-names":false,"suffix":""},{"dropping-particle":"","family":"Graaff","given":"Jolien","non-dropping-particle":"Van der","parse-names":false,"suffix":""},{"dropping-particle":"","family":"Deković","given":"Maja","non-dropping-particle":"","parse-names":false,"suffix":""},{"dropping-particle":"","family":"Meeus","given":"Wim H. J.","non-dropping-particle":"","parse-names":false,"suffix":""},{"dropping-particle":"","family":"Branje","given":"Susan J. T.","non-dropping-particle":"","parse-names":false,"suffix":""}],"container-title":"Journal of Marriage and Family","id":"ITEM-1","issue":"1","issued":{"date-parts":[["2019","2"]]},"page":"185-203","publisher":"Wiley Online Library","title":"Interparental Conflict Management Strategies and Parent-Adolescent Relationships: Disentangling Between-Person From Within-Person Effects Across Adolescence","type":"article-journal","volume":"81"}},{"id":"jbQAzR7y/xUPEnGpS","uris":["http://www.mendeley.com/documents/?uuid=2c2fc897-46c3-4fd5-9381-2060211dc166"],"uri":["http://www.mendeley.com/documents/?uuid=2c2fc897-46c3-4fd5-9381-2060211dc166"],"itemData":{"DOI":"10.1111/j.1469-7610.2008.01945.x","ISSN":"00219630","author":[{"dropping-particle":"","family":"McCoy","given":"Kathleen P.","non-dropping-particle":"","parse-names":false,"suffix":""},{"dropping-particle":"","family":"Cummings","given":"E. Mark","non-dropping-particle":"","parse-names":false,"suffix":""},{"dropping-particle":"","family":"Davies","given":"Patrick T.","non-dropping-particle":"","parse-names":false,"suffix":""}],"container-title":"Journal of Child Psychology and Psychiatry","id":"ITEM-2","issue":"3","issued":{"date-parts":[["2009","3"]]},"page":"270-279","title":"Constructive and destructive marital conflict, emotional security and children’s prosocial behavior","type":"article-journal","volume":"50"}}],"schema":"https://github.com/citation-style-language/schema/raw/master/csl-citation.json"}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(Mastrotheodoros et al., 2019a; McCoy et al., 2009)</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Whether marital conflict is resolved in a constructive or a destructive manner has important implications for family and child functioning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{"citationID":"w3ecTxte","properties":{"formattedCitation":"(Gao et al., 2019; McCoy et al., 2009)","plainCitation":"(Gao et al., 2019; McCoy et al., 2009)","noteIndex":0},"citationItems":[{"id":"jbQAzR7y/6o61Z1zT","uris":["http://www.mendeley.com/documents/?uuid=f3235c5f-91f6-4933-9abf-7e214ae4d169"],"uri":["http://www.mendeley.com/documents/?uuid=f3235c5f-91f6-4933-9abf-7e214ae4d169"],"itemData":{"DOI":"10.1111/fare.12322","ISSN":"17413729","abstract":"Objective: To assess the effects of marital conflict on parenting practices for mothers and fathers and to examine whether these effects differ for within-person and cross-person links in parental dyads. Background: Existing findings are mixed regarding the nature and magnitude of the association between marital conflict and childrearing behaviors. Little is known about parental role differences in this regard between fathers and mothers and the mutual influence on the other's responding. Method: A sample of 235 families (fathers, mothers, and their kindergarten children) participated in the study over a 2-year period. Fathers and mothers independently reported on constructive and destructive marital conflict tactics, as well as on their parenting behaviors in scenarios of children experiencing negative emotions. Results: Results indicated cross-person and within-person relations. For example, fathers' destructive conflict predicted mothers' distress reactions to children's negative emotions, supporting a spillover hypothesis. Mothers' destructive conflict behaviors predicted less unsupportive maternal parenting, supporting a compensatory hypothesis. Conclusion: Fathers' and mothers' marital conflict behaviors may have different implications for their own and their spouses' parenting. Implications: Intervention and prevention programs that target improving marital conflict interactions may also help promote positive parenting. The findings also support that both fathers and mothers should be included in these programs to increase the beneficial effects on parenting practices.","author":[{"dropping-particle":"","family":"Gao","given":"Mengyu (Miranda)","non-dropping-particle":"","parse-names":false,"suffix":""},{"dropping-particle":"","family":"Du","given":"Han","non-dropping-particle":"","parse-names":false,"suffix":""},{"dropping-particle":"","family":"Davies","given":"Patrick T.","non-dropping-particle":"","parse-names":false,"suffix":""},{"dropping-particle":"","family":"Cummings","given":"E. Mark","non-dropping-particle":"","parse-names":false,"suffix":""}],"container-title":"Family Relations","id":"ITEM-1","issued":{"date-parts":[["2019"]]},"title":"Marital Conflict Behaviors and Parenting: Dyadic Links Over Time","type":"article-journal"}},{"id":"jbQAzR7y/xUPEnGpS","uris":["http://www.mendeley.com/documents/?uuid=2c2fc897-46c3-4fd5-9381-2060211dc166"],"uri":["http://www.mendeley.com/documents/?uuid=2c2fc897-46c3-4fd5-9381-2060211dc166"],"itemData":{"DOI":"10.1111/j.1469-7610.2008.01945.x","ISSN":"00219630","author":[{"dropping-particle":"","family":"McCoy","given":"Kathleen P.","non-dropping-particle":"","parse-names":false,"suffix":""},{"dropping-particle":"","family":"Cummings","given":"E. Mark","non-dropping-particle":"","parse-names":false,"suffix":""},{"dropping-particle":"","family":"Davies","given":"Patrick T.","non-dropping-particle":"","parse-names":false,"suffix":""}],"container-title":"Journal of Child Psychology and Psychiatry","id":"ITEM-2","issue":"3","issued":{"date-parts":[["2009","3"]]},"page":"270-279","title":"Constructive and destructive marital conflict, emotional security and children’s prosocial behavior","type":"article-journal","volume":"50"}}],"schema":"https://github.com/citation-style-language/schema/raw/master/csl-citation.json"}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(Gao et al., 2019; McCoy et al., 2009)</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For example, constructive conflict has been associated with more supportive and warmer parenting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{"citationID":"6LE1ANNC","properties":{"formattedCitation":"(McCoy et al., 2013)","plainCitation":"(McCoy et al., 2013)","noteIndex":0},"citationItems":[{"id":"jbQAzR7y/AI6sMdc8","uris":["http://www.mendeley.com/documents/?uuid=877c4e40-2528-42d1-b7d1-62b768914943"],"uri":["http://www.mendeley.com/documents/?uuid=877c4e40-2528-42d1-b7d1-62b768914943"],"itemData":{"DOI":"10.1111/sode.12015","ISSN":"0961205X","abstract":"This study addresses the links between destructive and constructive marital conflict and mothers' and fathers' parenting to understand associations with children's social and school adjustment. Multi-method, longitudinal assessments of 235 mothers, fathers, and children (129 girls) were collected across kindergarten, first, and second grades (ages 5-7 at time 1; ages 7-9 at time 3). Whereas constructive marital conflict was related to both mothers' and fathers' warm parenting, destructive marital conflict was only linked to fathers' use of inconsistent discipline. In turn, both mothers' and fathers' use of psychological control was related to children's school adjustment, and mothers' warmth was related to children's social adjustment. Reciprocal links between constructs were also explored, supporting associations between destructive marital conflict and mothers' and fathers' inconsistent discipline. The merit of examining marital conflict and parenting as multidimensional constructs is discussed in relation to understanding the processes and pathways within families that affect children's functioning. © 2013 John Wiley &amp; Sons Ltd.","author":[{"dropping-particle":"","family":"McCoy","given":"Kathleen P.","non-dropping-particle":"","parse-names":false,"suffix":""},{"dropping-particle":"","family":"George","given":"Melissa R. W.","non-dropping-particle":"","parse-names":false,"suffix":""},{"dropping-particle":"","family":"Cummings","given":"E. Mark","non-dropping-particle":"","parse-names":false,"suffix":""},{"dropping-particle":"","family":"Davies","given":"Patrick T.","non-dropping-particle":"","parse-names":false,"suffix":""}],"container-title":"Social Development","id":"ITEM-1","issued":{"date-parts":[["2013","7"]]},"title":"Constructive and Destructive Marital Conflict, Parenting, and Children's School and Social Adjustment","type":"article-journal"}}],"schema":"https://github.com/citation-style-language/schema/raw/master/csl-citation.json"}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(McCoy et al., 2013)</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whereas destructive conflict has been associated with less supportive parenting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{"citationID":"K7JaP3r1","properties":{"formattedCitation":"(Gao et al., 2019; McCoy et al., 2013)","plainCitation":"(Gao et al., 2019; McCoy et al., 2013)","noteIndex":0},"citationItems":[{"id":"jbQAzR7y/6o61Z1zT","uris":["http://www.mendeley.com/documents/?uuid=f3235c5f-91f6-4933-9abf-7e214ae4d169"],"uri":["http://www.mendeley.com/documents/?uuid=f3235c5f-91f6-4933-9abf-7e214ae4d169"],"itemData":{"DOI":"10.1111/fare.12322","ISSN":"17413729","abstract":"Objective: To assess the effects of marital conflict on parenting practices for mothers and fathers and to examine whether these effects differ for within-person and cross-person links in parental dyads. Background: Existing findings are mixed regarding the nature and magnitude of the association between marital conflict and childrearing behaviors. Little is known about parental role differences in this regard between fathers and mothers and the mutual influence on the other's responding. Method: A sample of 235 families (fathers, mothers, and their kindergarten children) participated in the study over a 2-year period. Fathers and mothers independently reported on constructive and destructive marital conflict tactics, as well as on their parenting behaviors in scenarios of children experiencing negative emotions. Results: Results indicated cross-person and within-person relations. For example, fathers' destructive conflict predicted mothers' distress reactions to children's negative emotions, supporting a spillover hypothesis. Mothers' destructive conflict behaviors predicted less unsupportive maternal parenting, supporting a compensatory hypothesis. Conclusion: Fathers' and mothers' marital conflict behaviors may have different implications for their own and their spouses' parenting. Implications: Intervention and prevention programs that target improving marital conflict interactions may also help promote positive parenting. The findings also support that both fathers and mothers should be included in these programs to increase the beneficial effects on parenting practices.","author":[{"dropping-particle":"","family":"Gao","given":"Mengyu (Miranda)","non-dropping-particle":"","parse-names":false,"suffix":""},{"dropping-particle":"","family":"Du","given":"Han","non-dropping-particle":"","parse-names":false,"suffix":""},{"dropping-particle":"","family":"Davies","given":"Patrick T.","non-dropping-particle":"","parse-names":false,"suffix":""},{"dropping-particle":"","family":"Cummings","given":"E. Mark","non-dropping-particle":"","parse-names":false,"suffix":""}],"container-title":"Family Relations","id":"ITEM-1","issued":{"date-parts":[["2019"]]},"title":"Marital Conflict Behaviors and Parenting: Dyadic Links Over Time","type":"article-journal"}},{"id":"jbQAzR7y/AI6sMdc8","uris":["http://www.mendeley.com/documents/?uuid=877c4e40-2528-42d1-b7d1-62b768914943"],"uri":["http://www.mendeley.com/documents/?uuid=877c4e40-2528-42d1-b7d1-62b768914943"],"itemData":{"DOI":"10.1111/sode.12015","ISSN":"0961205X","abstract":"This study addresses the links between destructive and constructive marital conflict and mothers' and fathers' parenting to understand associations with children's social and school adjustment. Multi-method, longitudinal assessments of 235 mothers, fathers, and children (129 girls) were collected across kindergarten, first, and second grades (ages 5-7 at time 1; ages 7-9 at time 3). Whereas constructive marital conflict was related to both mothers' and fathers' warm parenting, destructive marital conflict was only linked to fathers' use of inconsistent discipline. In turn, both mothers' and fathers' use of psychological control was related to children's school adjustment, and mothers' warmth was related to children's social adjustment. Reciprocal links between constructs were also explored, supporting associations between destructive marital conflict and mothers' and fathers' inconsistent discipline. The merit of examining marital conflict and parenting as multidimensional constructs is discussed in relation to understanding the processes and pathways within families that affect children's functioning. © 2013 John Wiley &amp; Sons Ltd.","author":[{"dropping-particle":"","family":"McCoy","given":"Kathleen P.","non-dropping-particle":"","parse-names":false,"suffix":""},{"dropping-particle":"","family":"George","given":"Melissa R. W.","non-dropping-particle":"","parse-names":false,"suffix":""},{"dropping-particle":"","family":"Cummings","given":"E. Mark","non-dropping-particle":"","parse-names":false,"suffix":""},{"dropping-particle":"","family":"Davies","given":"Patrick T.","non-dropping-particle":"","parse-names":false,"suffix":""}],"container-title":"Social Development","id":"ITEM-2","issued":{"date-parts":[["2013","7"]]},"title":"Constructive and Destructive Marital Conflict, Parenting, and Children's School and Social Adjustment","type":"article-journal"}}],"schema":"https://github.com/citation-style-language/schema/raw/master/csl-citation.json"}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(Gao et al., 2019; McCoy et al., 2013)</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w:t>
      </w:r>
    </w:p>
    <w:p w14:paraId="2112A9AB"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20" w:name="_Hlk41403093"/>
      <w:bookmarkStart w:id="21" w:name="_Hlk41400656"/>
      <w:bookmarkStart w:id="22" w:name="_Hlk53558208"/>
      <w:r w:rsidRPr="00CF7751">
        <w:rPr>
          <w:rFonts w:ascii="Times New Roman" w:eastAsia="Times New Roman" w:hAnsi="Times New Roman" w:cs="Times New Roman"/>
          <w:sz w:val="24"/>
          <w:szCs w:val="24"/>
          <w:lang w:val="en-GB"/>
        </w:rPr>
        <w:t xml:space="preserve">Even though several past studies applied variable-focused approaches to studying conflict resolution strategies, there are various reasons to endorse a person-centred, dyadic approach; such an approach focuses on conflict resolution patterns </w:t>
      </w:r>
      <w:r w:rsidRPr="00CF7751">
        <w:rPr>
          <w:rFonts w:ascii="Times New Roman" w:eastAsia="Times New Roman" w:hAnsi="Times New Roman" w:cs="Times New Roman"/>
          <w:sz w:val="24"/>
          <w:szCs w:val="24"/>
          <w:lang w:val="en-GB"/>
        </w:rPr>
        <w:fldChar w:fldCharType="begin" w:fldLock="1"/>
      </w:r>
      <w:r w:rsidRPr="00CF7751">
        <w:rPr>
          <w:rFonts w:ascii="Times New Roman" w:eastAsia="Times New Roman" w:hAnsi="Times New Roman" w:cs="Times New Roman"/>
          <w:sz w:val="24"/>
          <w:szCs w:val="24"/>
          <w:lang w:val="en-GB"/>
        </w:rPr>
        <w:instrText xml:space="preserve"> ADDIN ZOTERO_ITEM CSL_CITATION {"citationID":"NkarflWT","properties":{"formattedCitation":"(Bogat et al., 2016)","plainCitation":"(Bogat et al., 2016)","noteIndex":0},"citationItems":[{"id":"jbQAzR7y/bUYO9TM3","uris":["http://www.mendeley.com/documents/?uuid=597a5658-2cf3-4a15-bb50-537cf8c19686"],"uri":["http://www.mendeley.com/documents/?uuid=597a5658-2cf3-4a15-bb50-537cf8c19686"],"itemData":{"DOI":"10.1002/9781119125556.devpsy118","author":[{"dropping-particle":"","family":"Bogat","given":"G Anne","non-dropping-particle":"","parse-names":false,"suffix":""},{"dropping-particle":"","family":"Eye","given":"Alexander","non-dropping-particle":"von","parse-names":false,"suffix":""},{"dropping-particle":"","family":"Bergman","given":"Lars R","non-dropping-particle":"","parse-names":false,"suffix":""}],"container-title":"Developmental Psychopathology","editor":[{"dropping-particle":"","family":"Cicchetti","given":"Dante","non-dropping-particle":"","parse-names":false,"suffix":""}],"id":"ITEM-1","issued":{"date-parts":[["2016","2","10"]]},"page":"1-49","publisher":"John Wiley &amp; Sons, Inc.","publisher-place":"Hoboken, NJ, USA","title":"Person-Oriented Approaches","type":"chapter"}}],"schema":"https://github.com/citation-style-language/schema/raw/master/csl-citation.json"} </w:instrText>
      </w:r>
      <w:r w:rsidRPr="00CF7751">
        <w:rPr>
          <w:rFonts w:ascii="Times New Roman" w:eastAsia="Times New Roman" w:hAnsi="Times New Roman" w:cs="Times New Roman"/>
          <w:sz w:val="24"/>
          <w:szCs w:val="24"/>
          <w:lang w:val="en-GB"/>
        </w:rPr>
        <w:fldChar w:fldCharType="separate"/>
      </w:r>
      <w:r w:rsidRPr="00CF7751">
        <w:rPr>
          <w:rFonts w:ascii="Times New Roman" w:eastAsia="Times New Roman" w:hAnsi="Times New Roman" w:cs="Times New Roman"/>
          <w:sz w:val="24"/>
          <w:szCs w:val="24"/>
        </w:rPr>
        <w:t>(Bogat et al., 2016)</w:t>
      </w:r>
      <w:r w:rsidRPr="00CF7751">
        <w:rPr>
          <w:rFonts w:ascii="Times New Roman" w:eastAsia="Times New Roman" w:hAnsi="Times New Roman" w:cs="Times New Roman"/>
          <w:sz w:val="24"/>
          <w:szCs w:val="24"/>
          <w:lang w:val="en-GB"/>
        </w:rPr>
        <w:fldChar w:fldCharType="end"/>
      </w:r>
      <w:r w:rsidRPr="00CF7751">
        <w:rPr>
          <w:rFonts w:ascii="Times New Roman" w:eastAsia="Times New Roman" w:hAnsi="Times New Roman" w:cs="Times New Roman"/>
          <w:sz w:val="24"/>
          <w:szCs w:val="24"/>
        </w:rPr>
        <w:t xml:space="preserve">. </w:t>
      </w:r>
      <w:bookmarkEnd w:id="20"/>
      <w:r w:rsidRPr="00CF7751">
        <w:rPr>
          <w:rFonts w:ascii="Times New Roman" w:eastAsia="Times New Roman" w:hAnsi="Times New Roman" w:cs="Times New Roman"/>
          <w:sz w:val="24"/>
          <w:szCs w:val="24"/>
        </w:rPr>
        <w:t xml:space="preserve">First, individuals may use both constructive and destructive tactics. A parent that almost exclusively and consistently employs destructive strategies can be expected to contribute to their family’s emotional climate differently compared to a parent that employs some destructive, but mostly constructive strategies. Second, the dyadic partners in a couple might not use the same constellation of conflict resolution strategies. The emotional climate in a family where both parents employ mostly constructive marital conflict strategies might be different compared to a family where one parent employs destructive marital conflict strategies and the other parent uses constructive marital conflict strategies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{"citationID":"1ZT3mSqJ","properties":{"formattedCitation":"(Gottman, 1993)","plainCitation":"(Gottman, 1993)","noteIndex":0},"citationItems":[{"id":"jbQAzR7y/nCWi4Ws0","uris":["http://www.mendeley.com/documents/?uuid=26e8e8b5-abcc-40b7-88d9-055eb035574b"],"uri":["http://www.mendeley.com/documents/?uuid=26e8e8b5-abcc-40b7-88d9-055eb035574b"],"itemData":{"DOI":"10.1037/0022-006X.61.1.6","ISSN":"1939-2117","author":[{"dropping-particle":"","family":"Gottman","given":"John M","non-dropping-particle":"","parse-names":false,"suffix":""}],"container-title":"Journal of Consulting and Clinical Psychology","id":"ITEM-1","issue":"1","issued":{"date-parts":[["1993"]]},"page":"6-15","publisher":"American Psychological Association","title":"The roles of conflict engagement, escalation, and avoidance in marital interaction: A longitudinal view of five types of couples.","type":"article-journal","volume":"61"}}],"schema":"https://github.com/citation-style-language/schema/raw/master/csl-citation.json"}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(Gottman, 1993)</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bookmarkStart w:id="23" w:name="_Hlk62218590"/>
      <w:r w:rsidRPr="00CF7751">
        <w:rPr>
          <w:rFonts w:ascii="Times New Roman" w:eastAsia="Times New Roman" w:hAnsi="Times New Roman" w:cs="Times New Roman"/>
          <w:sz w:val="24"/>
          <w:szCs w:val="24"/>
        </w:rPr>
        <w:t xml:space="preserve">A person-centered dyadic approach can simultaneously take into account (a) different aspects of conflict resolution (constructive and destructive behaviors); and (b) different reporters </w:t>
      </w:r>
      <w:r w:rsidRPr="00CF7751">
        <w:rPr>
          <w:rFonts w:ascii="Times New Roman" w:eastAsia="Times New Roman" w:hAnsi="Times New Roman" w:cs="Times New Roman"/>
          <w:sz w:val="24"/>
          <w:szCs w:val="24"/>
        </w:rPr>
        <w:lastRenderedPageBreak/>
        <w:t>(mothers and fathers). Thereby, such an approach might be better suited to tackle population heterogeneity, and provide a better insight in the family dynamics than segregated conflict resolution strategies.</w:t>
      </w:r>
      <w:bookmarkEnd w:id="23"/>
      <w:r w:rsidRPr="00CF7751">
        <w:rPr>
          <w:rFonts w:ascii="Times New Roman" w:eastAsia="Times New Roman" w:hAnsi="Times New Roman" w:cs="Times New Roman"/>
          <w:sz w:val="24"/>
          <w:szCs w:val="24"/>
        </w:rPr>
        <w:t xml:space="preserve"> Moreover, a person-centered approach is inductive and allows the unobserved subpopulations to emerge from patterns in the data, rather than imposing patterns on the data by the researcher.</w:t>
      </w:r>
    </w:p>
    <w:p w14:paraId="6403B885"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24" w:name="_Hlk41405457"/>
      <w:bookmarkEnd w:id="21"/>
      <w:bookmarkEnd w:id="22"/>
      <w:r w:rsidRPr="00CF7751">
        <w:rPr>
          <w:rFonts w:ascii="Times New Roman" w:eastAsia="Times New Roman" w:hAnsi="Times New Roman" w:cs="Times New Roman"/>
          <w:sz w:val="24"/>
          <w:szCs w:val="24"/>
        </w:rPr>
        <w:t xml:space="preserve">Indeed, the usefulness of applying person-centered typologies on studying marital conflict has been empirically supported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{"citationID":"z0OTahnY","properties":{"formattedCitation":"(Bogat et al., 2016; Wickrama et al., 2020)","plainCitation":"(Bogat et al., 2016; Wickrama et al., 2020)","noteIndex":0},"citationItems":[{"id":"jbQAzR7y/bUYO9TM3","uris":["http://www.mendeley.com/documents/?uuid=597a5658-2cf3-4a15-bb50-537cf8c19686"],"uri":["http://www.mendeley.com/documents/?uuid=597a5658-2cf3-4a15-bb50-537cf8c19686"],"itemData":{"DOI":"10.1002/9781119125556.devpsy118","author":[{"dropping-particle":"","family":"Bogat","given":"G Anne","non-dropping-particle":"","parse-names":false,"suffix":""},{"dropping-particle":"","family":"Eye","given":"Alexander","non-dropping-particle":"von","parse-names":false,"suffix":""},{"dropping-particle":"","family":"Bergman","given":"Lars R","non-dropping-particle":"","parse-names":false,"suffix":""}],"container-title":"Developmental Psychopathology","editor":[{"dropping-particle":"","family":"Cicchetti","given":"Dante","non-dropping-particle":"","parse-names":false,"suffix":""}],"id":"ITEM-1","issued":{"date-parts":[["2016","2","10"]]},"page":"1-49","publisher":"John Wiley &amp; Sons, Inc.","publisher-place":"Hoboken, NJ, USA","title":"Person-Oriented Approaches","type":"chapter"}},{"id":"jbQAzR7y/tUMsRnll","uris":["http://www.mendeley.com/documents/?uuid=8b56d7ac-2ae2-4ff9-a459-5d48ba1444ce"],"uri":["http://www.mendeley.com/documents/?uuid=8b56d7ac-2ae2-4ff9-a459-5d48ba1444ce"],"itemData":{"DOI":"10.1177/0265407519899726","ISSN":"0265-4075","abstract":"The current study, using prospective data over 25 years (1991?2015; N = 245 couples), investigates life course dyadic patterns of positive and negative marital trajectories (i.e., marital strength and strain, respectively) in middle-aged husbands and wives and an array of physical and mental health outcomes associated with these patterns. Spousal warmth, spouse?s constructive conflict resolution, and couple?s joint participation were used as indicators of marital strength, whereas spousal hostility, spouse?s destructive conflict resolution, and marital instability were used as indicators of marital strain. Four dyadic latent classes with heterogeneous trajectory patterns were identified using husbands? and wives? concurrent strength and strain marital trajectories (1991?2001), including a couple stable and moderately favorable group, a couple stable and highly favorable group, a couple stable and husband more favorable than wife group, and a husband improving with wife slightly worsening group. The best health outcomes in 2015 were generally reported by members of the couple stable and highly favorable group, whereas the worst health outcomes were found, on average, for members of the husband improving with wife slightly worsening group. Based on these findings, interventions should promote and develop resiliency factors, thereby aiding in the redirection or improvement of middle-aged spouses? marital trajectories, which can reduce detrimental positive?negative imbalances in marital strength and strain.","author":[{"dropping-particle":"","family":"Wickrama","given":"Kandauda A S","non-dropping-particle":"","parse-names":false,"suffix":""},{"dropping-particle":"","family":"Klopack","given":"Eric T","non-dropping-particle":"","parse-names":false,"suffix":""},{"dropping-particle":"","family":"O’Neal","given":"Catherine Walker","non-dropping-particle":"","parse-names":false,"suffix":""},{"dropping-particle":"","family":"Neppl","given":"Tricia","non-dropping-particle":"","parse-names":false,"suffix":""}],"container-title":"Journal of Social and Personal Relationships","id":"ITEM-2","issue":"5","issued":{"date-parts":[["2020","1","22"]]},"note":"doi: 10.1177/0265407519899726","page":"1472-1493","publisher":"SAGE Publications Ltd","title":"Patterning of midlife marital trajectories in enduring marriages in a dyadic context: Physical and mental health outcomes in later years","type":"article-journal","volume":"37"}}],"schema":"https://github.com/citation-style-language/schema/raw/master/csl-citation.json"}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(Bogat et al., 2016; Wickrama et al., 2020)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For example, taking into account the interactive effect of both partners’ conflict resolution behaviors predicted later divorce over and above the segregated behaviors of each partner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{"citationID":"EwksmbJt","properties":{"formattedCitation":"(Birditt et al., 2010)","plainCitation":"(Birditt et al., 2010)","noteIndex":0},"citationItems":[{"id":"jbQAzR7y/hILvm1NM","uris":["http://www.mendeley.com/documents/?uuid=34a1482d-b4d0-4cbd-bf79-74b10a7b80f9"],"uri":["http://www.mendeley.com/documents/?uuid=34a1482d-b4d0-4cbd-bf79-74b10a7b80f9"],"itemData":{"DOI":"10.1111/j.1741-3737.2010.00758.x","ISSN":"00222445","abstract":"This study examined self-reported marital conflict behaviors and their implications for divorce. Husbands and wives (N = 373 couples; 47% White American, 53% Black American) reported conflict behaviors in years 1, 3, 7, and 16 of their marriages. Individual behaviors (e.g., destructive behaviors) and patterns of behaviors between partners (e.g., withdrawal-constructive) in Year 1 predicted higher divorce rates. Wives' destructive and withdrawal behaviors decreased over time, whereas husbands' conflict behaviors remained stable. Husbands reported more constructive and less destructive behaviors than wives and Black American couples reported more withdrawal than White American couples. Findings support behavioral theories of marriage demonstrating that conflict behaviors predict divorce and accommodation theories indicating that conflict behaviors become less negative over time.","author":[{"dropping-particle":"","family":"Birditt","given":"Kira S.","non-dropping-particle":"","parse-names":false,"suffix":""},{"dropping-particle":"","family":"Brown","given":"Edna","non-dropping-particle":"","parse-names":false,"suffix":""},{"dropping-particle":"","family":"Orbuch","given":"Terri L.","non-dropping-particle":"","parse-names":false,"suffix":""},{"dropping-particle":"","family":"McIlvane","given":"Jessica M.","non-dropping-particle":"","parse-names":false,"suffix":""}],"container-title":"Journal of Marriage and Family","id":"ITEM-1","issue":"5","issued":{"date-parts":[["2010","9","29"]]},"page":"1188-1204","title":"Marital Conflict Behaviors and Implications for Divorce Over 16 Years","type":"article-journal","volume":"72"}}],"schema":"https://github.com/citation-style-language/schema/raw/master/csl-citation.json"}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(Birditt et al., 2010)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supporting a dyadic approach. Furthermore, based on both constructive and destructive conflict resolution behaviors of both mothers, and fathers, four groups of couples have been found, that is, Concordant Constructive, Mother Destructive, Father Destructive, and Concordant Destructive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{"citationID":"aLKeweoR","properties":{"formattedCitation":"(Kopystynska et al., 2017)","plainCitation":"(Kopystynska et al., 2017)","noteIndex":0},"citationItems":[{"id":"jbQAzR7y/oPZFMgGf","uris":["http://www.mendeley.com/documents/?uuid=36db73dc-2cea-4d0c-a131-6874ad0b01f4"],"uri":["http://www.mendeley.com/documents/?uuid=36db73dc-2cea-4d0c-a131-6874ad0b01f4"],"itemData":{"DOI":"10.1037/fam0000343","ISSN":"1939-1293","abstract":"© 2017 American Psychological Association. We examined the relations between interparental conflict (destructive and constructive), parenting behaviors (harshness and supportiveness) and children's emotional insecurity in early childhood when children were approximately 36 months of age. The sample consisted of low-income unmarried couples who were expectant/new parents who participated in the national Building Strong Families project. Interparental conflict was assessed through parents' reported perception of the other parent's conflict behavior. Parenting behaviors were measured through observational data, and children's emotional insecurity was based on parents' reports. Using latent profile analysis, three goals were addressed: (a) concordance or discord of mothers' and fathers' conflict behaviors, (b) the relation between couples' conflict behaviors and parenting, and (c) the association between couples' conflict behaviors and child emotional insecurity. Our findings revealed 4 profiles of couples that share similar characteristics, which in turn were differentially linked to aspects of parenting and child development. Further, results indicated that the vast majority of low-income unmarried couples engage in constructive conflict management behaviors. These findings highlight the need to consider the family unit when designing interventions or providing counseling.","author":[{"dropping-particle":"","family":"Kopystynska","given":"Olena","non-dropping-particle":"","parse-names":false,"suffix":""},{"dropping-particle":"","family":"Paschall","given":"Katherine W.","non-dropping-particle":"","parse-names":false,"suffix":""},{"dropping-particle":"","family":"Barnett","given":"Melissa A.","non-dropping-particle":"","parse-names":false,"suffix":""},{"dropping-particle":"","family":"Curran","given":"Melissa A.","non-dropping-particle":"","parse-names":false,"suffix":""}],"container-title":"Journal of Family Psychology","id":"ITEM-1","issue":"7","issued":{"date-parts":[["2017","10"]]},"page":"922-932","title":"Patterns of interparental conflict, parenting, and children’s emotional insecurity: A person-centered approach.","type":"article-journal","volume":"31"}}],"schema":"https://github.com/citation-style-language/schema/raw/master/csl-citation.json"}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(Kopystynska et al., 2017)</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Mothers in the Mother Destructive group were harsher towards their children compared to mothers in the Concordant Constructive group, a finding that supports the usefulness of dyadic patterns of marital conflict resolution behaviors. Therefore, person-centered typologies are a promising way to investigate how marital conflict resolution patterns can have implications for family functioning. </w:t>
      </w:r>
    </w:p>
    <w:p w14:paraId="7DCAB761"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25" w:name="_Hlk41412456"/>
      <w:r w:rsidRPr="00CF7751">
        <w:rPr>
          <w:rFonts w:ascii="Times New Roman" w:eastAsia="Times New Roman" w:hAnsi="Times New Roman" w:cs="Times New Roman"/>
          <w:sz w:val="24"/>
          <w:szCs w:val="24"/>
        </w:rPr>
        <w:t xml:space="preserve">In this study, we used a person-centered approach in families with an adolescent child, in order to derive patterns of dyadic marital conflict resolution of mothers and fathers, across adolescence. </w:t>
      </w:r>
    </w:p>
    <w:bookmarkEnd w:id="9"/>
    <w:bookmarkEnd w:id="10"/>
    <w:bookmarkEnd w:id="14"/>
    <w:bookmarkEnd w:id="24"/>
    <w:bookmarkEnd w:id="25"/>
    <w:p w14:paraId="64EA081C"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Daily Within-Family Mother-Adolescent Conflict Dynamics</w:t>
      </w:r>
    </w:p>
    <w:p w14:paraId="01460E64"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26" w:name="_Hlk53562170"/>
      <w:bookmarkStart w:id="27" w:name="_Hlk34401561"/>
      <w:r w:rsidRPr="00CF7751">
        <w:rPr>
          <w:rFonts w:ascii="Times New Roman" w:eastAsia="Times New Roman" w:hAnsi="Times New Roman" w:cs="Times New Roman"/>
          <w:sz w:val="24"/>
          <w:szCs w:val="24"/>
        </w:rPr>
        <w:t xml:space="preserve">It is well-established that conflict among family members, like marital conflict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{"citationID":"xPLNql1Y","properties":{"formattedCitation":"(Repetti et al., 2015)","plainCitation":"(Repetti et al., 2015)","noteIndex":0},"citationItems":[{"id":"jbQAzR7y/9dWv5DaG","uris":["http://www.mendeley.com/documents/?uuid=a043d92e-3687-4353-8ce7-6d6103e218e0"],"uri":["http://www.mendeley.com/documents/?uuid=a043d92e-3687-4353-8ce7-6d6103e218e0"],"itemData":{"DOI":"10.1111/jomf.12143","ISSN":"00222445","author":[{"dropping-particle":"","family":"Repetti","given":"R. L.","non-dropping-particle":"","parse-names":false,"suffix":""},{"dropping-particle":"","family":"Reynolds","given":"B. M.","non-dropping-particle":"","parse-names":false,"suffix":""},{"dropping-particle":"","family":"Sears","given":"M. S.","non-dropping-particle":"","parse-names":false,"suffix":""}],"container-title":"Journal of Marriage and Family","id":"ITEM-1","issue":"1","issued":{"date-parts":[["2015","2"]]},"page":"126-146","publisher":"Wiley Online Library","title":"Families Under the Microscope: Repeated Sampling of Perceptions, Experiences, Biology, and Behavior","type":"article-journal","volume":"77"}}],"schema":"https://github.com/citation-style-language/schema/raw/master/csl-citation.json"}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(Repetti et al., 2015)</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and parent-child conflict (e.g.,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{"citationID":"Ml155WKs","properties":{"formattedCitation":"(Laursen et al., 1998; Repetti et al., 2015)","plainCitation":"(Laursen et al., 1998; Repetti et al., 2015)","noteIndex":0},"citationItems":[{"id":"jbQAzR7y/r2Z12O5h","uris":["http://www.mendeley.com/documents/?uuid=f90aaea0-9e5e-40b5-9a8e-986d8b3c28b0"],"uri":["http://www.mendeley.com/documents/?uuid=f90aaea0-9e5e-40b5-9a8e-986d8b3c28b0"],"itemData":{"DOI":"10.2307/1132206","ISSN":"00093920","author":[{"dropping-particle":"","family":"Laursen","given":"B.","non-dropping-particle":"","parse-names":false,"suffix":""},{"dropping-particle":"","family":"Coy","given":"Katherine C","non-dropping-particle":"","parse-names":false,"suffix":""},{"dropping-particle":"","family":"Collins","given":"W.A.","non-dropping-particle":"","parse-names":false,"suffix":""}],"container-title":"Child Development","id":"ITEM-1","issue":"3","issued":{"date-parts":[["1998","6"]]},"page":"817","title":"Reconsidering Changes in Parent-Child Conflict across Adolescence: A Meta-Analysis","type":"article-journal","volume":"69"}},{"id":"jbQAzR7y/9dWv5DaG","uris":["http://www.mendeley.com/documents/?uuid=a043d92e-3687-4353-8ce7-6d6103e218e0"],"uri":["http://www.mendeley.com/documents/?uuid=a043d92e-3687-4353-8ce7-6d6103e218e0"],"itemData":{"DOI":"10.1111/jomf.12143","ISSN":"00222445","author":[{"dropping-particle":"","family":"Repetti","given":"R. L.","non-dropping-particle":"","parse-names":false,"suffix":""},{"dropping-particle":"","family":"Reynolds","given":"B. M.","non-dropping-particle":"","parse-names":false,"suffix":""},{"dropping-particle":"","family":"Sears","given":"M. S.","non-dropping-particle":"","parse-names":false,"suffix":""}],"container-title":"Journal of Marriage and Family","id":"ITEM-2","issue":"1","issued":{"date-parts":[["2015","2"]]},"page":"126-146","publisher":"Wiley Online Library","title":"Families Under the Microscope: Repeated Sampling of Perceptions, Experiences, Biology, and Behavior","type":"article-journal","volume":"77"}}],"schema":"https://github.com/citation-style-language/schema/raw/master/csl-citation.json"}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Laursen et al., 1998; Repetti et al., 2015)</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occurs in most families. Investigating parent-child conflict is particularly interesting during </w:t>
      </w:r>
      <w:r w:rsidRPr="00CF7751">
        <w:rPr>
          <w:rFonts w:ascii="Times New Roman" w:eastAsia="Times New Roman" w:hAnsi="Times New Roman" w:cs="Times New Roman"/>
          <w:sz w:val="24"/>
          <w:szCs w:val="24"/>
        </w:rPr>
        <w:lastRenderedPageBreak/>
        <w:t xml:space="preserve">adolescence, as conflicts become more intense during this period, especially for the mother-adolescent dyad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{"citationID":"gUJ7Y3RF","properties":{"formattedCitation":"(Mastrotheodoros, Van der Graaff, et al., 2020)","plainCitation":"(Mastrotheodoros, Van der Graaff, et al., 2020)","noteIndex":0},"citationItems":[{"id":"jbQAzR7y/xvQdMEr5","uris":["http://www.mendeley.com/documents/?uuid=cba306eb-2dcb-3329-bd9b-6c28969fe9d9"],"uri":["http://www.mendeley.com/documents/?uuid=cba306eb-2dcb-3329-bd9b-6c28969fe9d9"],"itemData":{"DOI":"10.1007/s10964-019-01054-7","ISSN":"0047-2891","author":[{"dropping-particle":"","family":"Mastrotheodoros","given":"Stefanos","non-dropping-particle":"","parse-names":false,"suffix":""},{"dropping-particle":"","family":"Graaff","given":"Jolien","non-dropping-particle":"Van der","parse-names":false,"suffix":""},{"dropping-particle":"","family":"Deković","given":"Maja","non-dropping-particle":"","parse-names":false,"suffix":""},{"dropping-particle":"","family":"Meeus","given":"Wim H. J.","non-dropping-particle":"","parse-names":false,"suffix":""},{"dropping-particle":"","family":"Branje","given":"Susan","non-dropping-particle":"","parse-names":false,"suffix":""}],"container-title":"Journal of Youth and Adolescence","id":"ITEM-1","issue":"1","issued":{"date-parts":[["2020","1","26"]]},"page":"119-135","title":"Parent–Adolescent Conflict across Adolescence: Trajectories of Informant Discrepancies and Associations with Personality Types","type":"article-journal","volume":"49"}}],"schema":"https://github.com/citation-style-language/schema/raw/master/csl-citation.json"}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(Mastrotheodoros, Van der Graaff, et al., 2020)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However, there is less agreement regarding how marital conflict affects mother-adolescent conflict. </w:t>
      </w:r>
      <w:bookmarkEnd w:id="26"/>
      <w:r w:rsidRPr="00CF7751">
        <w:rPr>
          <w:rFonts w:ascii="Times New Roman" w:eastAsia="Times New Roman" w:hAnsi="Times New Roman" w:cs="Times New Roman"/>
          <w:sz w:val="24"/>
          <w:szCs w:val="24"/>
        </w:rPr>
        <w:t xml:space="preserve">Three hypotheses offer contradicting propositions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{"citationID":"ZnpuwFHC","properties":{"formattedCitation":"(Krishnakumar &amp; Buehler, 2000)","plainCitation":"(Krishnakumar &amp; Buehler, 2000)","noteIndex":0},"citationItems":[{"id":"jbQAzR7y/t2ewVfuL","uris":["http://www.mendeley.com/documents/?uuid=0f877511-8f6a-3399-a30c-1a4a675944c3"],"uri":["http://www.mendeley.com/documents/?uuid=0f877511-8f6a-3399-a30c-1a4a675944c3"],"itemData":{"DOI":"10.1111/j.1741-3729.2000.00025.x","ISSN":"0197-6664","author":[{"dropping-particle":"","family":"Krishnakumar","given":"Ambika","non-dropping-particle":"","parse-names":false,"suffix":""},{"dropping-particle":"","family":"Buehler","given":"Cheryl","non-dropping-particle":"","parse-names":false,"suffix":""}],"container-title":"Family Relations","id":"ITEM-1","issue":"1","issued":{"date-parts":[["2000","1"]]},"page":"25-44","publisher":"Wiley/Blackwell (10.1111)","title":"Interparental Conflict and Parenting Behaviors: A Meta-Analytic Review","type":"article-journal","volume":"49"}}],"schema":"https://github.com/citation-style-language/schema/raw/master/csl-citation.json"}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(Krishnakumar &amp; Buehler, 2000)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assuming positive (</w:t>
      </w:r>
      <w:r w:rsidRPr="00CF7751">
        <w:rPr>
          <w:rFonts w:ascii="Times New Roman" w:eastAsia="Times New Roman" w:hAnsi="Times New Roman" w:cs="Times New Roman"/>
          <w:i/>
          <w:sz w:val="24"/>
          <w:szCs w:val="24"/>
        </w:rPr>
        <w:t xml:space="preserve">spillover hypothesis;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{"citationID":"B86cGv6s","properties":{"formattedCitation":"(Erel &amp; Burman, 1995)","plainCitation":"(Erel &amp; Burman, 1995)","noteIndex":0},"citationItems":[{"id":"jbQAzR7y/TcDkJWro","uris":["http://www.mendeley.com/documents/?uuid=0c6ca970-251b-4e40-93eb-e67882a9f13c"],"uri":["http://www.mendeley.com/documents/?uuid=0c6ca970-251b-4e40-93eb-e67882a9f13c"],"itemData":{"DOI":"10.1037/0033-2909.118.1.108","ISSN":"1939-1455","author":[{"dropping-particle":"","family":"Erel","given":"Osnat","non-dropping-particle":"","parse-names":false,"suffix":""},{"dropping-particle":"","family":"Burman","given":"Bonnie","non-dropping-particle":"","parse-names":false,"suffix":""}],"container-title":"Psychological Bulletin","id":"ITEM-1","issue":"1","issued":{"date-parts":[["1995"]]},"page":"108-132","publisher":"American Psychological Association","title":"Interrelatedness of marital relations and parent-child relations: A meta-analytic review.","type":"article-journal","volume":"118"}}],"schema":"https://github.com/citation-style-language/schema/raw/master/csl-citation.json"}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Erel &amp; Burman, 1995)</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negative (</w:t>
      </w:r>
      <w:r w:rsidRPr="00CF7751">
        <w:rPr>
          <w:rFonts w:ascii="Times New Roman" w:eastAsia="Times New Roman" w:hAnsi="Times New Roman" w:cs="Times New Roman"/>
          <w:i/>
          <w:sz w:val="24"/>
          <w:szCs w:val="24"/>
        </w:rPr>
        <w:t>compensatory hypothesis</w:t>
      </w:r>
      <w:r w:rsidRPr="00CF7751">
        <w:rPr>
          <w:rFonts w:ascii="Times New Roman" w:eastAsia="Times New Roman" w:hAnsi="Times New Roman" w:cs="Times New Roman"/>
          <w:iCs/>
          <w:sz w:val="24"/>
          <w:szCs w:val="24"/>
        </w:rPr>
        <w:t>;</w:t>
      </w:r>
      <w:r w:rsidRPr="00CF7751">
        <w:rPr>
          <w:rFonts w:ascii="Times New Roman" w:eastAsia="Times New Roman" w:hAnsi="Times New Roman" w:cs="Times New Roman"/>
          <w:sz w:val="24"/>
          <w:szCs w:val="24"/>
        </w:rPr>
        <w:t xml:space="preserve">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{"citationID":"OYkTDbZB","properties":{"formattedCitation":"(Krishnakumar &amp; Buehler, 2000)","plainCitation":"(Krishnakumar &amp; Buehler, 2000)","noteIndex":0},"citationItems":[{"id":"jbQAzR7y/t2ewVfuL","uris":["http://www.mendeley.com/documents/?uuid=0f877511-8f6a-3399-a30c-1a4a675944c3"],"uri":["http://www.mendeley.com/documents/?uuid=0f877511-8f6a-3399-a30c-1a4a675944c3"],"itemData":{"DOI":"10.1111/j.1741-3729.2000.00025.x","ISSN":"0197-6664","author":[{"dropping-particle":"","family":"Krishnakumar","given":"Ambika","non-dropping-particle":"","parse-names":false,"suffix":""},{"dropping-particle":"","family":"Buehler","given":"Cheryl","non-dropping-particle":"","parse-names":false,"suffix":""}],"container-title":"Family Relations","id":"ITEM-1","issue":"1","issued":{"date-parts":[["2000","1"]]},"page":"25-44","publisher":"Wiley/Blackwell (10.1111)","title":"Interparental Conflict and Parenting Behaviors: A Meta-Analytic Review","type":"article-journal","volume":"49"}}],"schema":"https://github.com/citation-style-language/schema/raw/master/csl-citation.json"}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Krishnakumar &amp; Buehler, 2000)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or null (</w:t>
      </w:r>
      <w:r w:rsidRPr="00CF7751">
        <w:rPr>
          <w:rFonts w:ascii="Times New Roman" w:eastAsia="Times New Roman" w:hAnsi="Times New Roman" w:cs="Times New Roman"/>
          <w:i/>
          <w:sz w:val="24"/>
          <w:szCs w:val="24"/>
        </w:rPr>
        <w:t>compartmentalization hypothesis</w:t>
      </w:r>
      <w:r w:rsidRPr="00CF7751">
        <w:rPr>
          <w:rFonts w:ascii="Times New Roman" w:eastAsia="Times New Roman" w:hAnsi="Times New Roman" w:cs="Times New Roman"/>
          <w:iCs/>
          <w:sz w:val="24"/>
          <w:szCs w:val="24"/>
        </w:rPr>
        <w:t>;</w:t>
      </w:r>
      <w:r w:rsidRPr="00CF7751">
        <w:rPr>
          <w:rFonts w:ascii="Times New Roman" w:eastAsia="Times New Roman" w:hAnsi="Times New Roman" w:cs="Times New Roman"/>
          <w:sz w:val="24"/>
          <w:szCs w:val="24"/>
        </w:rPr>
        <w:t xml:space="preserve"> </w:t>
      </w:r>
      <w:r w:rsidRPr="00CF7751">
        <w:rPr>
          <w:rFonts w:ascii="Times New Roman" w:eastAsia="Times New Roman" w:hAnsi="Times New Roman" w:cs="Times New Roman"/>
          <w:noProof/>
          <w:sz w:val="24"/>
          <w:szCs w:val="24"/>
        </w:rPr>
        <w:t xml:space="preserve">Krishnakumar &amp; Buehler, 2000) associations between marital conflict and mother-adolescent conflict. </w:t>
      </w:r>
      <w:bookmarkStart w:id="28" w:name="_Hlk32856451"/>
      <w:r w:rsidRPr="00CF7751">
        <w:rPr>
          <w:rFonts w:ascii="Times New Roman" w:eastAsia="Times New Roman" w:hAnsi="Times New Roman" w:cs="Times New Roman"/>
          <w:noProof/>
          <w:sz w:val="24"/>
          <w:szCs w:val="24"/>
        </w:rPr>
        <w:t xml:space="preserve">Even though it is often assumed that such associations imply marital effects on children, family systems are dynamic </w:t>
      </w:r>
      <w:r w:rsidRPr="00CF7751">
        <w:rPr>
          <w:rFonts w:ascii="Times New Roman" w:eastAsia="Times New Roman" w:hAnsi="Times New Roman" w:cs="Times New Roman"/>
          <w:noProof/>
          <w:sz w:val="24"/>
          <w:szCs w:val="24"/>
        </w:rPr>
        <w:fldChar w:fldCharType="begin" w:fldLock="1"/>
      </w:r>
      <w:r w:rsidRPr="00CF7751">
        <w:rPr>
          <w:rFonts w:ascii="Times New Roman" w:eastAsia="Times New Roman" w:hAnsi="Times New Roman" w:cs="Times New Roman"/>
          <w:noProof/>
          <w:sz w:val="24"/>
          <w:szCs w:val="24"/>
        </w:rPr>
        <w:instrText xml:space="preserve"> ADDIN ZOTERO_ITEM CSL_CITATION {"citationID":"UFpZ15ZV","properties":{"formattedCitation":"(Cox et al., 2001)","plainCitation":"(Cox et al., 2001)","noteIndex":0},"citationItems":[{"id":"jbQAzR7y/7i89Ahhl","uris":["http://www.mendeley.com/documents/?uuid=d4f397bd-8a91-45cb-a92c-88ef2688b100"],"uri":["http://www.mendeley.com/documents/?uuid=d4f397bd-8a91-45cb-a92c-88ef2688b100"],"itemData":{"DOI":"10.1017/CBO9780511527838.011","author":[{"dropping-particle":"","family":"Cox","given":"Martha J","non-dropping-particle":"","parse-names":false,"suffix":""},{"dropping-particle":"","family":"Paley","given":"Blair","non-dropping-particle":"","parse-names":false,"suffix":""},{"dropping-particle":"","family":"Harter","given":"Kristina","non-dropping-particle":"","parse-names":false,"suffix":""}],"container-title":"Interparental Conflict and Child Development","editor":[{"dropping-particle":"","family":"Grych","given":"John H.","non-dropping-particle":"","parse-names":false,"suffix":""},{"dropping-particle":"","family":"Fincham","given":"Frank D.","non-dropping-particle":"","parse-names":false,"suffix":""}],"id":"ITEM-1","issued":{"date-parts":[["2001"]]},"page":"249-272","publisher":"Cambridge University Press","publisher-place":"Cambridge","title":"Interparental Conflict and Parent–Child Relationships","type":"chapter"}}],"schema":"https://github.com/citation-style-language/schema/raw/master/csl-citation.json"} </w:instrText>
      </w:r>
      <w:r w:rsidRPr="00CF7751">
        <w:rPr>
          <w:rFonts w:ascii="Times New Roman" w:eastAsia="Times New Roman" w:hAnsi="Times New Roman" w:cs="Times New Roman"/>
          <w:noProof/>
          <w:sz w:val="24"/>
          <w:szCs w:val="24"/>
        </w:rPr>
        <w:fldChar w:fldCharType="separate"/>
      </w:r>
      <w:r w:rsidRPr="00CF7751">
        <w:rPr>
          <w:rFonts w:ascii="Times New Roman" w:eastAsia="Times New Roman" w:hAnsi="Times New Roman" w:cs="Times New Roman"/>
          <w:sz w:val="24"/>
          <w:szCs w:val="24"/>
        </w:rPr>
        <w:t>(Cox et al., 2001)</w:t>
      </w:r>
      <w:r w:rsidRPr="00CF7751">
        <w:rPr>
          <w:rFonts w:ascii="Times New Roman" w:eastAsia="Times New Roman" w:hAnsi="Times New Roman" w:cs="Times New Roman"/>
          <w:noProof/>
          <w:sz w:val="24"/>
          <w:szCs w:val="24"/>
        </w:rPr>
        <w:fldChar w:fldCharType="end"/>
      </w:r>
      <w:r w:rsidRPr="00CF7751">
        <w:rPr>
          <w:rFonts w:ascii="Times New Roman" w:eastAsia="Times New Roman" w:hAnsi="Times New Roman" w:cs="Times New Roman"/>
          <w:noProof/>
          <w:sz w:val="24"/>
          <w:szCs w:val="24"/>
        </w:rPr>
        <w:t xml:space="preserve"> and children might affect parents as well. Based on the circular causality principle (Lobraico, Brinberg, Ram, &amp; Fosco, 2019; Minuchin, 1974), we can expect bidirectional effects of daily conflict between the marital and the parent-child dyads. Indeed, empirical research has found that the parent-child relationship may also have an effect on the marital relationship </w:t>
      </w:r>
      <w:r w:rsidRPr="00CF7751">
        <w:rPr>
          <w:rFonts w:ascii="Times New Roman" w:eastAsia="Times New Roman" w:hAnsi="Times New Roman" w:cs="Times New Roman"/>
          <w:noProof/>
          <w:sz w:val="24"/>
          <w:szCs w:val="24"/>
        </w:rPr>
        <w:fldChar w:fldCharType="begin" w:fldLock="1"/>
      </w:r>
      <w:r w:rsidRPr="00CF7751">
        <w:rPr>
          <w:rFonts w:ascii="Times New Roman" w:eastAsia="Times New Roman" w:hAnsi="Times New Roman" w:cs="Times New Roman"/>
          <w:noProof/>
          <w:sz w:val="24"/>
          <w:szCs w:val="24"/>
        </w:rPr>
        <w:instrText xml:space="preserve"> ADDIN ZOTERO_ITEM CSL_CITATION {"citationID":"BbEbWQ31","properties":{"formattedCitation":"(Mastrotheodoros et al., 2019a; Sears et al., 2016; Whiteman et al., 2007)","plainCitation":"(Mastrotheodoros et al., 2019a; Sears et al., 2016; Whiteman et al., 2007)","noteIndex":0},"citationItems":[{"id":"jbQAzR7y/RL03vBav","uris":["http://www.mendeley.com/documents/?uuid=5f8402ca-b966-47b3-a31c-8552ea5a446a"],"uri":["http://www.mendeley.com/documents/?uuid=5f8402ca-b966-47b3-a31c-8552ea5a446a"],"itemData":{"DOI":"10.1111/j.1741-3737.2007.00427.x","ISSN":"0022-2445","author":[{"dropping-particle":"","family":"Whiteman","given":"Shawn D","non-dropping-particle":"","parse-names":false,"suffix":""},{"dropping-particle":"","family":"McHale","given":"Susan M","non-dropping-particle":"","parse-names":false,"suffix":""},{"dropping-particle":"","family":"Crouter","given":"Ann C","non-dropping-particle":"","parse-names":false,"suffix":""}],"container-title":"Journal of Marriage and Family","id":"ITEM-1","issue":"4","issued":{"date-parts":[["2007","11"]]},"page":"1005-1020","publisher":"Wiley Online Library","title":"Longitudinal Changes in Marital Relationships: The Role of Offspring?s Pubertal Development","type":"article-journal","volume":"69"}},{"id":"jbQAzR7y/ioD3W1N3","uris":["http://www.mendeley.com/documents/?uuid=2a4611cd-2f4d-4e8b-89d0-4a6131b67a6d"],"uri":["http://www.mendeley.com/documents/?uuid=2a4611cd-2f4d-4e8b-89d0-4a6131b67a6d"],"itemData":{"DOI":"10.1111/jomf.12528","ISSN":"00222445","abstract":"Objective: This study investigates the longitudinal , cross-lagged associations among inter-parental conflict management strategies and the parent-adolescent relationship. Background: The following three main hypotheses explain how interparental conflict affects parent-adolescent relationship: the spillover, the compensatory, and the compartmentaliza-tion hypotheses. A common key aspect of these hypotheses is the focus on changes within a family; they hypothesize what happens within a family when interparental conflict shakes the family's equilibrium. Although extant research supported the spillover hypothesis, this key aspect was often ignored, and conclusions were based on comparing families with each other. This study investigated how interparental conflict is longitudinally associated with the quality of the parent-child relationship, controlling for stable between-family differences. Method: Data consisted of six waves of an ongoing study with 497 Dutch adolescents (M = 13.03, 43.1% girls), their mothers, and their fathers. Parents reported on conflict strategies ; parents and adolescents reported on parental support, parent-adolescent negative interaction, and parental behavioral control. Random-intercept cross-lagged panel models were applied. Results: Most associations were found at the between-person level: Destructive conflict was related to poor parent-adolescent relationships. Few within-person associations were found: Changes in destructive conflict only were associated positively with changes in father-adolescent negative interaction. Conclusions: Associations between inter-parental conflict and the parent-adolescent relationship are mostly due to stable between-family Journal of Marriage and Family (2018) 1","author":[{"dropping-particle":"","family":"Mastrotheodoros","given":"Stefanos","non-dropping-particle":"","parse-names":false,"suffix":""},{"dropping-particle":"","family":"Graaff","given":"Jolien","non-dropping-particle":"Van der","parse-names":false,"suffix":""},{"dropping-particle":"","family":"Deković","given":"Maja","non-dropping-particle":"","parse-names":false,"suffix":""},{"dropping-particle":"","family":"Meeus","given":"Wim H. J.","non-dropping-particle":"","parse-names":false,"suffix":""},{"dropping-particle":"","family":"Branje","given":"Susan J. T.","non-dropping-particle":"","parse-names":false,"suffix":""}],"container-title":"Journal of Marriage and Family","id":"ITEM-2","issue":"1","issued":{"date-parts":[["2019","2"]]},"page":"185-203","publisher":"Wiley Online Library","title":"Interparental Conflict Management Strategies and Parent-Adolescent Relationships: Disentangling Between-Person From Within-Person Effects Across Adolescence","type":"article-journal","volume":"81"}},{"id":"jbQAzR7y/Qjq1h4TN","uris":["http://www.mendeley.com/documents/?uuid=1bba652b-559d-479d-8e52-71cbc6147f70"],"uri":["http://www.mendeley.com/documents/?uuid=1bba652b-559d-479d-8e52-71cbc6147f70"],"itemData":{"DOI":"10.1111/jomf.12265","ISSN":"00222445","abstract":"© 2016 National Council on Family Relations.Conflict with a spouse or child may generate spillover, defined as short-term affective changes in parents that affect their behavior with other family members. In a diverse sample of 86 parents, this 56-day diary study examined daily bidirectional spillover between conflict in the marital or parent-child dyad and parents' irritable, frictional behavior with their child or spouse, respectively. Tests of daily associations between conflict and parent behavior revealed robust spillover effects according to parent as well as spouse and child reports. Parents' daily negative mood and child externalizing behavior contributed to several but not all of these associations. Daily spillover findings were largely unaffected by parents' neuroticism, suggesting that parents' day-to-day fluctuations in negative mood, not average levels of negative affectivity, promoted spillover. Significant direct effects of conflict on parent behavior even when controlling for negative mood, however, implicate additional cognitive or social processes as contributors to conflict spillover in families.","author":[{"dropping-particle":"","family":"Sears","given":"Meredith S.","non-dropping-particle":"","parse-names":false,"suffix":""},{"dropping-particle":"","family":"Repetti","given":"R. L.","non-dropping-particle":"","parse-names":false,"suffix":""},{"dropping-particle":"","family":"Reynolds","given":"Bridget M.","non-dropping-particle":"","parse-names":false,"suffix":""},{"dropping-particle":"","family":"Robles","given":"Theodore F.","non-dropping-particle":"","parse-names":false,"suffix":""},{"dropping-particle":"","family":"Krull","given":"Jennifer L.","non-dropping-particle":"","parse-names":false,"suffix":""}],"container-title":"Journal of Marriage and Family","id":"ITEM-3","issue":"1","issued":{"date-parts":[["2016","2"]]},"page":"127-141","title":"Spillover in the Home: The Effects of Family Conflict on Parents' Behavior","type":"article-journal","volume":"78"}}],"schema":"https://github.com/citation-style-language/schema/raw/master/csl-citation.json"} </w:instrText>
      </w:r>
      <w:r w:rsidRPr="00CF7751">
        <w:rPr>
          <w:rFonts w:ascii="Times New Roman" w:eastAsia="Times New Roman" w:hAnsi="Times New Roman" w:cs="Times New Roman"/>
          <w:noProof/>
          <w:sz w:val="24"/>
          <w:szCs w:val="24"/>
        </w:rPr>
        <w:fldChar w:fldCharType="separate"/>
      </w:r>
      <w:r w:rsidRPr="00CF7751">
        <w:rPr>
          <w:rFonts w:ascii="Times New Roman" w:eastAsia="Times New Roman" w:hAnsi="Times New Roman" w:cs="Times New Roman"/>
          <w:sz w:val="24"/>
          <w:szCs w:val="24"/>
        </w:rPr>
        <w:t>(Mastrotheodoros et al., 2019a; Sears et al., 2016; Whiteman et al., 2007)</w:t>
      </w:r>
      <w:r w:rsidRPr="00CF7751">
        <w:rPr>
          <w:rFonts w:ascii="Times New Roman" w:eastAsia="Times New Roman" w:hAnsi="Times New Roman" w:cs="Times New Roman"/>
          <w:noProof/>
          <w:sz w:val="24"/>
          <w:szCs w:val="24"/>
        </w:rPr>
        <w:fldChar w:fldCharType="end"/>
      </w:r>
      <w:r w:rsidRPr="00CF7751">
        <w:rPr>
          <w:rFonts w:ascii="Times New Roman" w:eastAsia="Times New Roman" w:hAnsi="Times New Roman" w:cs="Times New Roman"/>
          <w:noProof/>
          <w:sz w:val="24"/>
          <w:szCs w:val="24"/>
        </w:rPr>
        <w:t>.</w:t>
      </w:r>
    </w:p>
    <w:p w14:paraId="77A2BB3C"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29" w:name="_Hlk32850337"/>
      <w:bookmarkStart w:id="30" w:name="_Hlk34403535"/>
      <w:bookmarkStart w:id="31" w:name="_Hlk32325059"/>
      <w:bookmarkEnd w:id="28"/>
      <w:r w:rsidRPr="00CF7751">
        <w:rPr>
          <w:rFonts w:ascii="Times New Roman" w:eastAsia="Times New Roman" w:hAnsi="Times New Roman" w:cs="Times New Roman"/>
          <w:sz w:val="24"/>
          <w:szCs w:val="24"/>
        </w:rPr>
        <w:t xml:space="preserve">Although the theories do not specify the time scale in which the postulated effects of marital conflict on parent-adolescent conflict would emerge, most studies have applied daily diary methods to investigate the three hypotheses. </w:t>
      </w:r>
      <w:bookmarkEnd w:id="29"/>
      <w:r w:rsidRPr="00CF7751">
        <w:rPr>
          <w:rFonts w:ascii="Times New Roman" w:eastAsia="Times New Roman" w:hAnsi="Times New Roman" w:cs="Times New Roman"/>
          <w:sz w:val="24"/>
          <w:szCs w:val="24"/>
        </w:rPr>
        <w:t xml:space="preserve">Some of these studies supported the spillover hypothesis: in days that mothers reported more conflict with their spouses or partners, they also reported more conflict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{"citationID":"Ksk1XyUP","properties":{"formattedCitation":"(Nelson et al., 2017)","plainCitation":"(Nelson et al., 2017)","noteIndex":0},"citationItems":[{"id":"jbQAzR7y/aPy9BJtW","uris":["http://www.mendeley.com/documents/?uuid=db97ed98-cfe1-42ed-b808-d8ee3c53b3bb"],"uri":["http://www.mendeley.com/documents/?uuid=db97ed98-cfe1-42ed-b808-d8ee3c53b3bb"],"itemData":{"DOI":"10.1037/fam0000276","ISSN":"1939-1293","abstract":"© 2016 American Psychological Association. This study examined whether daily variations in levels of mothers' work, home, and relationship stress were related to collaborative and oppositional qualities of mother-child conflict interactions across 1 week. Mothers reported on 1 specific conflict interaction with their 5- to 8-year-old child and their work, home, and relationship stress through online surveys each day for 7 consecutive days. Diary data from 142 mothers were analyzed in 6 multilevel models, each including within- and between-family levels of a stressor predicting collaborative or oppositional conflict qualities. Results suggested that families in the sample differed from each other, and also varied during the week, in collaborative and oppositional conflict qualities as well as stress in all 3 domains. Mothers reported a greater degree of oppositional conflict qualities on days characterized by higher perceptions of home chaos. Additionally, mothers who reported higher average levels of negativity in romantic relationships endorsed oppositional conflict qualities to a greater extent than mothers with lower relationship negativity. Two multilevel models including all 3 stressors in relation to collaborative and oppositional conflict revealed that for mothers managing multiple roles, average romantic relationship stress was the most important unique contributor to mother-child conflict qualities and daily relationship stress was particularly influential among mothers with sons compared to those with daughters. Results support the spillover hypothesis of stress within the family system and are discussed in terms of mothers' coping mechanisms and emotional engagement.","author":[{"dropping-particle":"","family":"Nelson","given":"Jackie A.","non-dropping-particle":"","parse-names":false,"suffix":""},{"dropping-particle":"","family":"Boyer","given":"Brittany P.","non-dropping-particle":"","parse-names":false,"suffix":""},{"dropping-particle":"","family":"Villarreal","given":"Deyaun L.","non-dropping-particle":"","parse-names":false,"suffix":""},{"dropping-particle":"","family":"Smith","given":"Olivia A.","non-dropping-particle":"","parse-names":false,"suffix":""}],"container-title":"Journal of Family Psychology","id":"ITEM-1","issue":"4","issued":{"date-parts":[["2017","6"]]},"page":"431-441","title":"Relations between mothers’ daily work, home, and relationship stress with characteristics of mother–child conflict interactions.","type":"article-journal","volume":"31"}}],"schema":"https://github.com/citation-style-language/schema/raw/master/csl-citation.json"}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(Nelson et al., 2017)</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and lower relationship quality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{"citationID":"L2W1yJ5C","properties":{"formattedCitation":"(Kouros et al., 2014)","plainCitation":"(Kouros et al., 2014)","noteIndex":0},"citationItems":[{"id":"jbQAzR7y/UGwwwEvH","uris":["http://www.mendeley.com/documents/?uuid=60e0bf2d-638f-40a1-90b7-533e14141290"],"uri":["http://www.mendeley.com/documents/?uuid=60e0bf2d-638f-40a1-90b7-533e14141290"],"itemData":{"DOI":"10.1037/a0036804","ISSN":"1939-1293","author":[{"dropping-particle":"","family":"Kouros","given":"Chrystyna D","non-dropping-particle":"","parse-names":false,"suffix":""},{"dropping-particle":"","family":"Papp","given":"Lauren M","non-dropping-particle":"","parse-names":false,"suffix":""},{"dropping-particle":"","family":"Goeke-Morey","given":"Marcie C","non-dropping-particle":"","parse-names":false,"suffix":""},{"dropping-particle":"","family":"Cummings","given":"E Mark","non-dropping-particle":"","parse-names":false,"suffix":""}],"container-title":"Journal of Family Psychology","id":"ITEM-1","issue":"3","issued":{"date-parts":[["2014"]]},"page":"315-325","publisher":"American Psychological Association","title":"Spillover between marital quality and parent–child relationship quality: Parental depressive symptoms as moderators.","type":"article-journal","volume":"28"}}],"schema":"https://github.com/citation-style-language/schema/raw/master/csl-citation.json"}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(Kouros et al., 2014)</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with their adolescents. </w:t>
      </w:r>
      <w:bookmarkStart w:id="32" w:name="_Hlk52953517"/>
      <w:r w:rsidRPr="00CF7751">
        <w:rPr>
          <w:rFonts w:ascii="Times New Roman" w:eastAsia="Times New Roman" w:hAnsi="Times New Roman" w:cs="Times New Roman"/>
          <w:sz w:val="24"/>
          <w:szCs w:val="24"/>
        </w:rPr>
        <w:t xml:space="preserve">Similarly, daily positive and negative experiences of parents in the marital relationship were positively associated with positive and negative adolescent emotions, respectively, supporting the spillover hypothesis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{"citationID":"YvozWDSs","properties":{"formattedCitation":"(Merrilees et al., 2018)","plainCitation":"(Merrilees et al., 2018)","noteIndex":0},"citationItems":[{"id":"jbQAzR7y/Y5yAkbKO","uris":["http://www.mendeley.com/documents/?uuid=8d913f28-e36f-4648-92ad-3161751dde44"],"uri":["http://www.mendeley.com/documents/?uuid=8d913f28-e36f-4648-92ad-3161751dde44"],"itemData":{"DOI":"10.1007/s10826-017-0983-2","ISSN":"1062-1024","author":[{"dropping-particle":"","family":"Merrilees","given":"Christine E","non-dropping-particle":"","parse-names":false,"suffix":""},{"dropping-particle":"","family":"McCormick","given":"Meghan P","non-dropping-particle":"","parse-names":false,"suffix":""},{"dropping-particle":"","family":"Hsueh","given":"JoAnn","non-dropping-particle":"","parse-names":false,"suffix":""},{"dropping-particle":"","family":"Chou","given":"Patricia","non-dropping-particle":"","parse-names":false,"suffix":""},{"dropping-particle":"","family":"Cummings","given":"E Mark","non-dropping-particle":"","parse-names":false,"suffix":""}],"container-title":"Journal of Child and Family Studies","id":"ITEM-1","issue":"5","issued":{"date-parts":[["2018","5","8"]]},"page":"1460-1472","publisher":"Springer","title":"Interparental Interactions and Adolescent Mood: A Daily Diary Approach","type":"article-journal","volume":"27"}}],"schema":"https://github.com/citation-style-language/schema/raw/master/csl-citation.json"}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(Merrilees et al.,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bookmarkEnd w:id="32"/>
      <w:r w:rsidRPr="00CF7751">
        <w:rPr>
          <w:rFonts w:ascii="Times New Roman" w:eastAsia="Times New Roman" w:hAnsi="Times New Roman" w:cs="Times New Roman"/>
          <w:sz w:val="24"/>
          <w:szCs w:val="24"/>
        </w:rPr>
        <w:t xml:space="preserve">One of these studies also found support for compensation: mothers reported that relationship quality with their adolescent children improved following days with marital conflict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{"citationID":"2Qt7mY3p","properties":{"formattedCitation":"(Kouros et al., 2014)","plainCitation":"(Kouros et al., 2014)","noteIndex":0},"citationItems":[{"id":"jbQAzR7y/UGwwwEvH","uris":["http://www.mendeley.com/documents/?uuid=60e0bf2d-638f-40a1-90b7-533e14141290"],"uri":["http://www.mendeley.com/documents/?uuid=60e0bf2d-638f-40a1-90b7-533e14141290"],"itemData":{"DOI":"10.1037/a0036804","ISSN":"1939-1293","author":[{"dropping-particle":"","family":"Kouros","given":"Chrystyna D","non-dropping-particle":"","parse-names":false,"suffix":""},{"dropping-particle":"","family":"Papp","given":"Lauren M","non-dropping-particle":"","parse-names":false,"suffix":""},{"dropping-particle":"","family":"Goeke-Morey","given":"Marcie C","non-dropping-particle":"","parse-names":false,"suffix":""},{"dropping-particle":"","family":"Cummings","given":"E Mark","non-dropping-particle":"","parse-names":false,"suffix":""}],"container-title":"Journal of Family Psychology","id":"ITEM-1","issue":"3","issued":{"date-parts":[["2014"]]},"page":"315-325","publisher":"American Psychological Association","title":"Spillover between marital quality and parent–child relationship quality: Parental depressive symptoms as moderators.","type":"article-journal","volume":"28"}}],"schema":"https://github.com/citation-style-language/schema/raw/master/csl-citation.json"}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(Kouros et al., 2014)</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Finally, other studies found evidence for compartmentalization: </w:t>
      </w:r>
      <w:r w:rsidRPr="00CF7751">
        <w:rPr>
          <w:rFonts w:ascii="Times New Roman" w:eastAsia="Times New Roman" w:hAnsi="Times New Roman" w:cs="Times New Roman"/>
          <w:sz w:val="24"/>
          <w:szCs w:val="24"/>
        </w:rPr>
        <w:lastRenderedPageBreak/>
        <w:t xml:space="preserve">marital conflict was not found to significantly affect adolescent-mother conflict the next day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{"citationID":"zWqVXAUu","properties":{"formattedCitation":"(Mastrotheodoros, Van Lissa, et al., 2020)","plainCitation":"(Mastrotheodoros, Van Lissa, et al., 2020)","noteIndex":0},"citationItems":[{"id":"jbQAzR7y/e7kIqinV","uris":["http://www.mendeley.com/documents/?uuid=65bff46f-8906-4561-b4aa-4d8b692dd828"],"uri":["http://www.mendeley.com/documents/?uuid=65bff46f-8906-4561-b4aa-4d8b692dd828"],"itemData":{"DOI":"10.1037/fam0000649","author":[{"dropping-particle":"","family":"Mastrotheodoros","given":"Stefanos","non-dropping-particle":"","parse-names":false,"suffix":""},{"dropping-particle":"","family":"Lissa","given":"Caspar J","non-dropping-particle":"Van","parse-names":false,"suffix":""},{"dropping-particle":"","family":"Graaff","given":"Jolien","non-dropping-particle":"Van der","parse-names":false,"suffix":""},{"dropping-particle":"","family":"Deković","given":"Maja","non-dropping-particle":"","parse-names":false,"suffix":""},{"dropping-particle":"","family":"Meeus","given":"Wim H. J.","non-dropping-particle":"","parse-names":false,"suffix":""},{"dropping-particle":"","family":"Branje","given":"S.J.T.","non-dropping-particle":"","parse-names":false,"suffix":""}],"container-title":"Journal of Family Psychology","id":"ITEM-1","issued":{"date-parts":[["2020"]]},"title":"Day-to-Day Spillover and Long-term Transmission of Interparental Conflict to Adolescent-Mother Conflict: The Role of Mood.","type":"article-journal"}}],"schema":"https://github.com/citation-style-language/schema/raw/master/csl-citation.json"}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(Mastrotheodoros, Van Lissa, et al., 2020)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In short, daily diary studies have offered support for all three hypotheses regarding effects of marital conflict on parent-adolescent conflict or relationship quality. </w:t>
      </w:r>
    </w:p>
    <w:p w14:paraId="38F5F3BF"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33" w:name="_Hlk52811752"/>
      <w:bookmarkStart w:id="34" w:name="_Hlk41411841"/>
      <w:bookmarkEnd w:id="30"/>
      <w:r w:rsidRPr="00CF7751">
        <w:rPr>
          <w:rFonts w:ascii="Times New Roman" w:eastAsia="Times New Roman" w:hAnsi="Times New Roman" w:cs="Times New Roman"/>
          <w:sz w:val="24"/>
          <w:szCs w:val="24"/>
        </w:rPr>
        <w:t xml:space="preserve">In several daily diary studies that examined conflict processes, significant variance was found around the average daily-level effects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{"citationID":"oWcSV9Gm","properties":{"formattedCitation":"(Mastrotheodoros, Van Lissa, et al., 2020)","plainCitation":"(Mastrotheodoros, Van Lissa, et al., 2020)","noteIndex":0},"citationItems":[{"id":"jbQAzR7y/e7kIqinV","uris":["http://www.mendeley.com/documents/?uuid=65bff46f-8906-4561-b4aa-4d8b692dd828"],"uri":["http://www.mendeley.com/documents/?uuid=65bff46f-8906-4561-b4aa-4d8b692dd828"],"itemData":{"DOI":"10.1037/fam0000649","author":[{"dropping-particle":"","family":"Mastrotheodoros","given":"Stefanos","non-dropping-particle":"","parse-names":false,"suffix":""},{"dropping-particle":"","family":"Lissa","given":"Caspar J","non-dropping-particle":"Van","parse-names":false,"suffix":""},{"dropping-particle":"","family":"Graaff","given":"Jolien","non-dropping-particle":"Van der","parse-names":false,"suffix":""},{"dropping-particle":"","family":"Deković","given":"Maja","non-dropping-particle":"","parse-names":false,"suffix":""},{"dropping-particle":"","family":"Meeus","given":"Wim H. J.","non-dropping-particle":"","parse-names":false,"suffix":""},{"dropping-particle":"","family":"Branje","given":"S.J.T.","non-dropping-particle":"","parse-names":false,"suffix":""}],"container-title":"Journal of Family Psychology","id":"ITEM-1","issued":{"date-parts":[["2020"]]},"title":"Day-to-Day Spillover and Long-term Transmission of Interparental Conflict to Adolescent-Mother Conflict: The Role of Mood.","type":"article-journal"}}],"schema":"https://github.com/citation-style-language/schema/raw/master/csl-citation.json"}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(Mastrotheodoros, Van Lissa, et al., 2020)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This variance indicates that the average effect does not necessarily apply to all families, and that different effects (spillover, compensation, and compartmentalization) might hold for different groups of families within the same study. </w:t>
      </w:r>
      <w:bookmarkEnd w:id="33"/>
      <w:r w:rsidRPr="00CF7751">
        <w:rPr>
          <w:rFonts w:ascii="Times New Roman" w:eastAsia="Times New Roman" w:hAnsi="Times New Roman" w:cs="Times New Roman"/>
          <w:sz w:val="24"/>
          <w:szCs w:val="24"/>
        </w:rPr>
        <w:t xml:space="preserve">That is, marital conflict might be associated with mother-adolescent conflict positively in some families, negatively in other families, and not at all (null effects) in other families, indicating between-family heterogeneity in within-family dynamics. The question that arises then is which factors may explain such between-family differences. </w:t>
      </w:r>
    </w:p>
    <w:p w14:paraId="4E94AAA5"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35" w:name="_Hlk32327474"/>
      <w:bookmarkEnd w:id="27"/>
      <w:r w:rsidRPr="00CF7751">
        <w:rPr>
          <w:rFonts w:ascii="Times New Roman" w:eastAsia="Times New Roman" w:hAnsi="Times New Roman" w:cs="Times New Roman"/>
          <w:sz w:val="24"/>
          <w:szCs w:val="24"/>
        </w:rPr>
        <w:t xml:space="preserve">In this study, we focused on the heterogeneity in bidirectional day-to-day effects between marital conflict intensity and mother-adolescent conflict intensity. Specifically, we tested the hypothesis that the dispositional marital conflict resolution patterns might </w:t>
      </w:r>
      <w:bookmarkStart w:id="36" w:name="_Hlk32842643"/>
      <w:r w:rsidRPr="00CF7751">
        <w:rPr>
          <w:rFonts w:ascii="Times New Roman" w:eastAsia="Times New Roman" w:hAnsi="Times New Roman" w:cs="Times New Roman"/>
          <w:sz w:val="24"/>
          <w:szCs w:val="24"/>
        </w:rPr>
        <w:t>explain heterogeneity in within-family dynamics</w:t>
      </w:r>
      <w:bookmarkEnd w:id="36"/>
      <w:r w:rsidRPr="00CF7751">
        <w:rPr>
          <w:rFonts w:ascii="Times New Roman" w:eastAsia="Times New Roman" w:hAnsi="Times New Roman" w:cs="Times New Roman"/>
          <w:sz w:val="24"/>
          <w:szCs w:val="24"/>
        </w:rPr>
        <w:t xml:space="preserve">. </w:t>
      </w:r>
    </w:p>
    <w:p w14:paraId="386367FD" w14:textId="77777777" w:rsidR="00CF7751" w:rsidRPr="00CF7751" w:rsidRDefault="00CF7751" w:rsidP="00CF7751">
      <w:pPr>
        <w:spacing w:after="0" w:line="480" w:lineRule="auto"/>
        <w:rPr>
          <w:rFonts w:ascii="Times New Roman" w:eastAsia="Calibri" w:hAnsi="Times New Roman" w:cs="Times New Roman"/>
          <w:b/>
          <w:sz w:val="24"/>
          <w:szCs w:val="24"/>
        </w:rPr>
      </w:pPr>
      <w:bookmarkStart w:id="37" w:name="_Hlk41428580"/>
      <w:bookmarkEnd w:id="31"/>
      <w:bookmarkEnd w:id="34"/>
      <w:bookmarkEnd w:id="35"/>
      <w:r w:rsidRPr="00CF7751">
        <w:rPr>
          <w:rFonts w:ascii="Times New Roman" w:eastAsia="Calibri" w:hAnsi="Times New Roman" w:cs="Times New Roman"/>
          <w:b/>
          <w:sz w:val="24"/>
          <w:szCs w:val="24"/>
        </w:rPr>
        <w:t>Marital Conflict Patterns and Heterogeneity in Within-Family Conflict Dynamics</w:t>
      </w:r>
    </w:p>
    <w:bookmarkEnd w:id="37"/>
    <w:p w14:paraId="58992BE7"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Between-family dispositional characteristics have recently attracted empirical attention as candidate features of family life that may explain between-family heterogeneity in within-family dynamics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{"citationID":"jRJ2FodB","properties":{"formattedCitation":"(Fosco &amp; Lydon\\uc0\\u8208{}Staley, 2019; Jarvis et al., 2019)","plainCitation":"(Fosco &amp; Lydon‐Staley, 2019; Jarvis et al., 2019)","noteIndex":0},"citationItems":[{"id":"jbQAzR7y/cxIBEqZi","uris":["http://www.mendeley.com/documents/?uuid=3c0ee820-a9a0-429a-905a-c81c8c57fe3a"],"uri":["http://www.mendeley.com/documents/?uuid=3c0ee820-a9a0-429a-905a-c81c8c57fe3a"],"itemData":{"DOI":"10.1111/famp.12515","ISSN":"0014-7370","author":[{"dropping-particle":"","family":"Fosco","given":"Gregory M.","non-dropping-particle":"","parse-names":false,"suffix":""},{"dropping-particle":"","family":"Lydon‐Staley","given":"David M.","non-dropping-particle":"","parse-names":false,"suffix":""}],"container-title":"Family Process","id":"ITEM-1","issued":{"date-parts":[["2019","12","4"]]},"page":"famp.12515","title":"Implications of Family Cohesion and Conflict for Adolescent Mood and Well‐Being: Examining Within‐ and Between‐Family Processes on a Daily Timescale","type":"article-journal"}},{"id":"jbQAzR7y/ad6powT4","uris":["http://www.mendeley.com/documents/?uuid=ac015187-6d1c-487d-a3fb-708943e5d75b"],"uri":["http://www.mendeley.com/documents/?uuid=ac015187-6d1c-487d-a3fb-708943e5d75b"],"itemData":{"DOI":"10.1177/0265407519826743","ISSN":"0265-4075","abstract":"We test the hypothesis that partners’ tendency to “keep score” in a relationship—as reflected in their exchange orientation—will moderate the effect of daily conflicts on their relationship evaluations. Cohabitating romantic partners ( N = 82 couples) participated in a 28-day daily diary study. Partners higher in exchange orientation showed lower intimacy with their partner on days with conflict compared to days without conflict; the effect was attenuated for partners lower in exchange orientation. This result held even while adjusting for daily negative affect. We conclude that close monitoring of costs and benefits in a relationship, a characteristic of partners with high exchange orientation, may lead partners to overreact to simple daily conflicts, to the detriment of relationship evaluations.","author":[{"dropping-particle":"","family":"Jarvis","given":"Shoshana N.","non-dropping-particle":"","parse-names":false,"suffix":""},{"dropping-particle":"","family":"McClure","given":"M. Joy","non-dropping-particle":"","parse-names":false,"suffix":""},{"dropping-particle":"","family":"Bolger","given":"Niall","non-dropping-particle":"","parse-names":false,"suffix":""}],"container-title":"Journal of Social and Personal Relationships","id":"ITEM-2","issue":"11-12","issued":{"date-parts":[["2019","11","19"]]},"page":"3575-3587","title":"Exploring how exchange orientation affects conflict and intimacy in the daily life of romantic couples","type":"article-journal","volume":"36"}}],"schema":"https://github.com/citation-style-language/schema/raw/master/csl-citation.json"}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(Fosco &amp; Lydon‐Staley, 2019; Jarvis et al., 2019)</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The dyadic patterns of marital conflict that characterize a family across years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{"citationID":"YBugLblZ","properties":{"formattedCitation":"(Gottman, 1993; Whitton et al., 2018)","plainCitation":"(Gottman, 1993; Whitton et al., 2018)","noteIndex":0},"citationItems":[{"id":"jbQAzR7y/nCWi4Ws0","uris":["http://www.mendeley.com/documents/?uuid=26e8e8b5-abcc-40b7-88d9-055eb035574b"],"uri":["http://www.mendeley.com/documents/?uuid=26e8e8b5-abcc-40b7-88d9-055eb035574b"],"itemData":{"DOI":"10.1037/0022-006X.61.1.6","ISSN":"1939-2117","author":[{"dropping-particle":"","family":"Gottman","given":"John M","non-dropping-particle":"","parse-names":false,"suffix":""}],"container-title":"Journal of Consulting and Clinical Psychology","id":"ITEM-1","issue":"1","issued":{"date-parts":[["1993"]]},"page":"6-15","publisher":"American Psychological Association","title":"The roles of conflict engagement, escalation, and avoidance in marital interaction: A longitudinal view of five types of couples.","type":"article-journal","volume":"61"}},{"id":"jbQAzR7y/a6NABbsp","uris":["http://www.mendeley.com/documents/?uuid=1f05335e-80ea-41e4-ba32-e873535acc70"],"uri":["http://www.mendeley.com/documents/?uuid=1f05335e-80ea-41e4-ba32-e873535acc70"],"itemData":{"DOI":"10.1017/9781316417867.024","ISBN":"9781316417867","author":[{"dropping-particle":"","family":"Whitton","given":"Sarah W","non-dropping-particle":"","parse-names":false,"suffix":""},{"dropping-particle":"","family":"James-Kangal","given":"Neslihan","non-dropping-particle":"","parse-names":false,"suffix":""},{"dropping-particle":"","family":"Rhoades","given":"Galena K.","non-dropping-particle":"","parse-names":false,"suffix":""},{"dropping-particle":"","family":"Markman","given":"Howard J.","non-dropping-particle":"","parse-names":false,"suffix":""}],"container-title":"The Cambridge Handbook of Personal Relationships","editor":[{"dropping-particle":"","family":"Vangelisti","given":"A","non-dropping-particle":"","parse-names":false,"suffix":""},{"dropping-particle":"","family":"Perlman","given":"D.","non-dropping-particle":"","parse-names":false,"suffix":""}],"id":"ITEM-2","issued":{"date-parts":[["2018"]]},"page":"297-310","publisher":"Cambridge University Press","publisher-place":"Cambridge","title":"Understanding Couple Conflict","type":"chapter"}}],"schema":"https://github.com/citation-style-language/schema/raw/master/csl-citation.json"}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(Gottman, 1993; Whitton et al.,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may be one reason for between-family differences in within-family associations between marital conflict and mother-adolescent conflict. According to family systems theory, the marital sub-system and the parent-child sub-system are interdependent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{"citationID":"FE79laA5","properties":{"formattedCitation":"(Minuchin, 1974)","plainCitation":"(Minuchin, 1974)","noteIndex":0},"citationItems":[{"id":"jbQAzR7y/jpZKDc51","uris":["http://www.mendeley.com/documents/?uuid=19902cd9-bc0a-4f10-b7c9-9029923d720a"],"uri":["http://www.mendeley.com/documents/?uuid=19902cd9-bc0a-4f10-b7c9-9029923d720a"],"itemData":{"ISBN":"ISBN 0-674-29236-7","author":[{"dropping-particle":"","family":"Minuchin","given":"S","non-dropping-particle":"","parse-names":false,"suffix":""}],"id":"ITEM-1","issued":{"date-parts":[["1974"]]},"publisher":"Harvard University Press","publisher-place":"Cambridge, MA","title":"Families and family therapy","type":"book"}}],"schema":"https://github.com/citation-style-language/schema/raw/master/csl-citation.json"}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(Minuchin, 1974)</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r w:rsidRPr="00CF7751">
        <w:rPr>
          <w:rFonts w:ascii="Times New Roman" w:eastAsia="Times New Roman" w:hAnsi="Times New Roman" w:cs="Times New Roman"/>
          <w:sz w:val="24"/>
          <w:szCs w:val="24"/>
        </w:rPr>
        <w:lastRenderedPageBreak/>
        <w:t xml:space="preserve">Couples that employ destructive conflict patterns might have difficulty maintaining the boundaries of the marital sub-system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{"citationID":"L70nJo84","properties":{"formattedCitation":"(Fosco et al., 2014)","plainCitation":"(Fosco et al., 2014)","noteIndex":0},"citationItems":[{"id":"jbQAzR7y/IJAavGzN","uris":["http://www.mendeley.com/documents/?uuid=9a3e73d9-ecc0-44ba-90ca-2ab9e2577a4f"],"uri":["http://www.mendeley.com/documents/?uuid=9a3e73d9-ecc0-44ba-90ca-2ab9e2577a4f"],"itemData":{"DOI":"10.1037/cfp0000025","ISSN":"2160-410X","abstract":"This study tests interparental boundary problems (IBPs), parent hostility with adolescents, and adolescent hostility with parents within a reciprocal influence model and tests each as risk factors for adolescent aggression problems. Prospective, longitudinal analyses were conducted with multiinformant data from 768 adolescents and their families, from 6th to 9th grade. Guided by spillover and social learning perspectives, our findings suggest that IBPs have a robust, negative influence on both parent and adolescent hostility. In turn, adolescent hostility was the best predictor of global adolescent aggression problems. Two indirect effects were found that link IBPs and adolescent aggression problems; however, findings indicate that adolescent hostile behavior in the family is the key risk indicator for adolescents’ later aggression problems. Model invariance tests revealed that this model was not different for boys and girls, or for adolescents in families with 2 biological parents and youth in families with 2 caregivers (e.g., stepparent families). (PsycINFO Database Record (c) 2014 APA, all rights reserved). (journal abstract)","author":[{"dropping-particle":"","family":"Fosco","given":"Gregory M.","non-dropping-particle":"","parse-names":false,"suffix":""},{"dropping-particle":"","family":"Lippold","given":"Melissa","non-dropping-particle":"","parse-names":false,"suffix":""},{"dropping-particle":"","family":"Feinberg","given":"Mark E.","non-dropping-particle":"","parse-names":false,"suffix":""}],"container-title":"Couple and Family Psychology: Research and Practice","id":"ITEM-1","issue":"3","issued":{"date-parts":[["2014"]]},"page":"141-155","title":"Interparental boundary problems, parent–adolescent hostility, and adolescent–parent hostility: A family process model for adolescent aggression problems.","type":"article-journal","volume":"3"}}],"schema":"https://github.com/citation-style-language/schema/raw/master/csl-citation.json"}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(Fosco et al., 2014)</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Therefore, there are higher chances that the marital conflict will transcend the boundaries of the parental sub-system and will affect the parent-child relationship. </w:t>
      </w:r>
    </w:p>
    <w:p w14:paraId="07361257"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Empirical research has supported the hypothesis that family dispositional characteristics, like patterns of marital conflict resolution, play an important role in explaining daily fluctuations in family life. For example, in couples with higher marital aggression, dyadic boundaries are more permeable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{"citationID":"3DHNeFN9","properties":{"formattedCitation":"(Timmons et al., 2017)","plainCitation":"(Timmons et al., 2017)","noteIndex":0},"citationItems":[{"id":"jbQAzR7y/Br5lEdjl","uris":["http://www.mendeley.com/documents/?uuid=5cebbb6a-bbe2-461f-80d1-3bef90d6a96d"],"uri":["http://www.mendeley.com/documents/?uuid=5cebbb6a-bbe2-461f-80d1-3bef90d6a96d"],"itemData":{"DOI":"10.1037/fam0000227","ISSN":"1939-1293","author":[{"dropping-particle":"","family":"Timmons","given":"Adela C.","non-dropping-particle":"","parse-names":false,"suffix":""},{"dropping-particle":"","family":"Arbel","given":"Reout","non-dropping-particle":"","parse-names":false,"suffix":""},{"dropping-particle":"","family":"Margolin","given":"Gayla","non-dropping-particle":"","parse-names":false,"suffix":""}],"container-title":"Journal of Family Psychology","id":"ITEM-1","issue":"1","issued":{"date-parts":[["2017","2"]]},"page":"93-104","title":"Daily patterns of stress and conflict in couples: Associations with marital aggression and family-of-origin aggression.","type":"article-journal","volume":"31"}}],"schema":"https://github.com/citation-style-language/schema/raw/master/csl-citation.json"}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(Timmons et al., 2017)</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which might contribute to spillover of conflict within the same family. </w:t>
      </w:r>
      <w:bookmarkStart w:id="38" w:name="_Hlk41428756"/>
      <w:r w:rsidRPr="00CF7751">
        <w:rPr>
          <w:rFonts w:ascii="Times New Roman" w:eastAsia="Times New Roman" w:hAnsi="Times New Roman" w:cs="Times New Roman"/>
          <w:sz w:val="24"/>
          <w:szCs w:val="24"/>
        </w:rPr>
        <w:t xml:space="preserve">Also, lower dispositional family cohesion moderated the negative effect of daily fluctuations in cohesion on adolescent adjustment, implying, again, more “permeable” family boundaries in those sub-optimally functioning families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{"citationID":"UZ2sabZk","properties":{"formattedCitation":"(Fosco &amp; Lydon\\uc0\\u8208{}Staley, 2019)","plainCitation":"(Fosco &amp; Lydon‐Staley, 2019)","noteIndex":0},"citationItems":[{"id":"jbQAzR7y/cxIBEqZi","uris":["http://www.mendeley.com/documents/?uuid=3c0ee820-a9a0-429a-905a-c81c8c57fe3a"],"uri":["http://www.mendeley.com/documents/?uuid=3c0ee820-a9a0-429a-905a-c81c8c57fe3a"],"itemData":{"DOI":"10.1111/famp.12515","ISSN":"0014-7370","author":[{"dropping-particle":"","family":"Fosco","given":"Gregory M.","non-dropping-particle":"","parse-names":false,"suffix":""},{"dropping-particle":"","family":"Lydon‐Staley","given":"David M.","non-dropping-particle":"","parse-names":false,"suffix":""}],"container-title":"Family Process","id":"ITEM-1","issued":{"date-parts":[["2019","12","4"]]},"page":"famp.12515","title":"Implications of Family Cohesion and Conflict for Adolescent Mood and Well‐Being: Examining Within‐ and Between‐Family Processes on a Daily Timescale","type":"article-journal"}}],"schema":"https://github.com/citation-style-language/schema/raw/master/csl-citation.json"}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(Fosco &amp; Lydon‐Staley, 2019)</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w:t>
      </w:r>
      <w:bookmarkEnd w:id="38"/>
      <w:r w:rsidRPr="00CF7751">
        <w:rPr>
          <w:rFonts w:ascii="Times New Roman" w:eastAsia="Times New Roman" w:hAnsi="Times New Roman" w:cs="Times New Roman"/>
          <w:sz w:val="24"/>
          <w:szCs w:val="24"/>
        </w:rPr>
        <w:t xml:space="preserve"> Therefore, the dyadic patterns parents use to resolve conflict might constitute a dispositional aspect of the marital subsystem which might make daily conflict spillover more or less probable. Despite extant evidence, whether dyadic patterns of marital conflict affect the within-family, day-to-day associations among marital conflict intensity and mother-adolescent conflict intensity remains unexplored.</w:t>
      </w:r>
    </w:p>
    <w:p w14:paraId="406A49C7"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The Present Study</w:t>
      </w:r>
    </w:p>
    <w:p w14:paraId="489D3DA5"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In sum, previous theoretical accounts and empirical evidence support the idea that differences between families exist in whether marital conflict spills over to mother-adolescent conflict. Furthermore, theory and research point to the possibility that marital subsystem characteristics, like the dyadic patterns of marital conflict resolution, might influence the daily dynamics among marital conflict intensity and mother-adolescent conflict intensity. In other words, between-family differences in marital conflict resolution patterns might help explain within-family processes of daily conflict spillover in the family. This possibility has not been empirically tested. </w:t>
      </w:r>
      <w:bookmarkStart w:id="39" w:name="_Hlk41397576"/>
      <w:r w:rsidRPr="00CF7751">
        <w:rPr>
          <w:rFonts w:ascii="Times New Roman" w:eastAsia="Times New Roman" w:hAnsi="Times New Roman" w:cs="Times New Roman"/>
          <w:sz w:val="24"/>
          <w:szCs w:val="24"/>
        </w:rPr>
        <w:t xml:space="preserve">Therefore, the current multi-informant, longitudinal daily diary </w:t>
      </w:r>
      <w:r w:rsidRPr="00CF7751">
        <w:rPr>
          <w:rFonts w:ascii="Times New Roman" w:eastAsia="Times New Roman" w:hAnsi="Times New Roman" w:cs="Times New Roman"/>
          <w:sz w:val="24"/>
          <w:szCs w:val="24"/>
        </w:rPr>
        <w:lastRenderedPageBreak/>
        <w:t xml:space="preserve">study aimed at answering the following questions: 1. What are the dyadic patterns of marital conflict resolution behaviors that differentiate families at the between-family level? (RQ1) We expected that at least four dyadic patterns of marital conflict resolution would emerge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{"citationID":"RY9h0Tmp","properties":{"formattedCitation":"(Kopystynska et al., 2017; Whitton et al., 2018)","plainCitation":"(Kopystynska et al., 2017; Whitton et al., 2018)","noteIndex":0},"citationItems":[{"id":"jbQAzR7y/oPZFMgGf","uris":["http://www.mendeley.com/documents/?uuid=36db73dc-2cea-4d0c-a131-6874ad0b01f4"],"uri":["http://www.mendeley.com/documents/?uuid=36db73dc-2cea-4d0c-a131-6874ad0b01f4"],"itemData":{"DOI":"10.1037/fam0000343","ISSN":"1939-1293","abstract":"© 2017 American Psychological Association. We examined the relations between interparental conflict (destructive and constructive), parenting behaviors (harshness and supportiveness) and children's emotional insecurity in early childhood when children were approximately 36 months of age. The sample consisted of low-income unmarried couples who were expectant/new parents who participated in the national Building Strong Families project. Interparental conflict was assessed through parents' reported perception of the other parent's conflict behavior. Parenting behaviors were measured through observational data, and children's emotional insecurity was based on parents' reports. Using latent profile analysis, three goals were addressed: (a) concordance or discord of mothers' and fathers' conflict behaviors, (b) the relation between couples' conflict behaviors and parenting, and (c) the association between couples' conflict behaviors and child emotional insecurity. Our findings revealed 4 profiles of couples that share similar characteristics, which in turn were differentially linked to aspects of parenting and child development. Further, results indicated that the vast majority of low-income unmarried couples engage in constructive conflict management behaviors. These findings highlight the need to consider the family unit when designing interventions or providing counseling.","author":[{"dropping-particle":"","family":"Kopystynska","given":"Olena","non-dropping-particle":"","parse-names":false,"suffix":""},{"dropping-particle":"","family":"Paschall","given":"Katherine W.","non-dropping-particle":"","parse-names":false,"suffix":""},{"dropping-particle":"","family":"Barnett","given":"Melissa A.","non-dropping-particle":"","parse-names":false,"suffix":""},{"dropping-particle":"","family":"Curran","given":"Melissa A.","non-dropping-particle":"","parse-names":false,"suffix":""}],"container-title":"Journal of Family Psychology","id":"ITEM-1","issue":"7","issued":{"date-parts":[["2017","10"]]},"page":"922-932","title":"Patterns of interparental conflict, parenting, and children’s emotional insecurity: A person-centered approach.","type":"article-journal","volume":"31"}},{"id":"jbQAzR7y/a6NABbsp","uris":["http://www.mendeley.com/documents/?uuid=1f05335e-80ea-41e4-ba32-e873535acc70"],"uri":["http://www.mendeley.com/documents/?uuid=1f05335e-80ea-41e4-ba32-e873535acc70"],"itemData":{"DOI":"10.1017/9781316417867.024","ISBN":"9781316417867","author":[{"dropping-particle":"","family":"Whitton","given":"Sarah W","non-dropping-particle":"","parse-names":false,"suffix":""},{"dropping-particle":"","family":"James-Kangal","given":"Neslihan","non-dropping-particle":"","parse-names":false,"suffix":""},{"dropping-particle":"","family":"Rhoades","given":"Galena K.","non-dropping-particle":"","parse-names":false,"suffix":""},{"dropping-particle":"","family":"Markman","given":"Howard J.","non-dropping-particle":"","parse-names":false,"suffix":""}],"container-title":"The Cambridge Handbook of Personal Relationships","editor":[{"dropping-particle":"","family":"Vangelisti","given":"A","non-dropping-particle":"","parse-names":false,"suffix":""},{"dropping-particle":"","family":"Perlman","given":"D.","non-dropping-particle":"","parse-names":false,"suffix":""}],"id":"ITEM-2","issued":{"date-parts":[["2018"]]},"page":"297-310","publisher":"Cambridge University Press","publisher-place":"Cambridge","title":"Understanding Couple Conflict","type":"chapter"}}],"schema":"https://github.com/citation-style-language/schema/raw/master/csl-citation.json"}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(Kopystynska et al., 2017; Whitton et al.,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indicating: a) families where both spouses use mainly constructive behaviors, b) families where both spouses use mainly destructive behaviors, c) families where the mother, but not the father, uses mainly constructive behaviors, and d) families where the father, but not the mother, uses mainly constructive behaviors. </w:t>
      </w:r>
      <w:bookmarkStart w:id="40" w:name="_Hlk52813684"/>
      <w:r w:rsidRPr="00CF7751">
        <w:rPr>
          <w:rFonts w:ascii="Times New Roman" w:eastAsia="Times New Roman" w:hAnsi="Times New Roman" w:cs="Times New Roman"/>
          <w:sz w:val="24"/>
          <w:szCs w:val="24"/>
        </w:rPr>
        <w:t xml:space="preserve">2. Do these between-family differences in dyadic marital conflict resolution patterns moderate the degree to which daily conflict within one family dyad affects daily conflict in another family dyad? (RQ2) We expected that marital conflict patterns would moderate the within-family dynamics of daily conflict, such that a stronger spillover effect of daily marital conflict on daily mother-adolescent conflict would be observed in families in which parents employ primarily destructive conflict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{"citationID":"Tng56q2L","properties":{"formattedCitation":"(Fosco et al., 2014)","plainCitation":"(Fosco et al., 2014)","noteIndex":0},"citationItems":[{"id":"jbQAzR7y/IJAavGzN","uris":["http://www.mendeley.com/documents/?uuid=9a3e73d9-ecc0-44ba-90ca-2ab9e2577a4f"],"uri":["http://www.mendeley.com/documents/?uuid=9a3e73d9-ecc0-44ba-90ca-2ab9e2577a4f"],"itemData":{"DOI":"10.1037/cfp0000025","ISSN":"2160-410X","abstract":"This study tests interparental boundary problems (IBPs), parent hostility with adolescents, and adolescent hostility with parents within a reciprocal influence model and tests each as risk factors for adolescent aggression problems. Prospective, longitudinal analyses were conducted with multiinformant data from 768 adolescents and their families, from 6th to 9th grade. Guided by spillover and social learning perspectives, our findings suggest that IBPs have a robust, negative influence on both parent and adolescent hostility. In turn, adolescent hostility was the best predictor of global adolescent aggression problems. Two indirect effects were found that link IBPs and adolescent aggression problems; however, findings indicate that adolescent hostile behavior in the family is the key risk indicator for adolescents’ later aggression problems. Model invariance tests revealed that this model was not different for boys and girls, or for adolescents in families with 2 biological parents and youth in families with 2 caregivers (e.g., stepparent families). (PsycINFO Database Record (c) 2014 APA, all rights reserved). (journal abstract)","author":[{"dropping-particle":"","family":"Fosco","given":"Gregory M.","non-dropping-particle":"","parse-names":false,"suffix":""},{"dropping-particle":"","family":"Lippold","given":"Melissa","non-dropping-particle":"","parse-names":false,"suffix":""},{"dropping-particle":"","family":"Feinberg","given":"Mark E.","non-dropping-particle":"","parse-names":false,"suffix":""}],"container-title":"Couple and Family Psychology: Research and Practice","id":"ITEM-1","issue":"3","issued":{"date-parts":[["2014"]]},"page":"141-155","title":"Interparental boundary problems, parent–adolescent hostility, and adolescent–parent hostility: A family process model for adolescent aggression problems.","type":"article-journal","volume":"3"}}],"schema":"https://github.com/citation-style-language/schema/raw/master/csl-citation.json"}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(Fosco et al., 2014)</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w:t>
      </w:r>
      <w:bookmarkStart w:id="41" w:name="_Hlk7782682"/>
      <w:bookmarkEnd w:id="3"/>
      <w:bookmarkEnd w:id="39"/>
    </w:p>
    <w:bookmarkEnd w:id="40"/>
    <w:p w14:paraId="5352C16D"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r w:rsidRPr="00CF7751">
        <w:rPr>
          <w:rFonts w:ascii="Times New Roman" w:eastAsia="Times New Roman" w:hAnsi="Times New Roman" w:cs="Times New Roman"/>
          <w:b/>
          <w:sz w:val="24"/>
          <w:szCs w:val="24"/>
        </w:rPr>
        <w:t>Method</w:t>
      </w:r>
    </w:p>
    <w:p w14:paraId="28D34E50"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Participants</w:t>
      </w:r>
    </w:p>
    <w:p w14:paraId="4D701320"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Verdana" w:hAnsi="Times New Roman" w:cs="Times New Roman"/>
          <w:sz w:val="24"/>
          <w:szCs w:val="24"/>
        </w:rPr>
      </w:pPr>
      <w:bookmarkStart w:id="42" w:name="_Hlk32917726"/>
      <w:bookmarkStart w:id="43" w:name="_Hlk34407243"/>
      <w:r w:rsidRPr="00CF7751">
        <w:rPr>
          <w:rFonts w:ascii="Times New Roman" w:eastAsia="Verdana" w:hAnsi="Times New Roman" w:cs="Times New Roman"/>
          <w:sz w:val="24"/>
          <w:szCs w:val="24"/>
        </w:rPr>
        <w:t>The</w:t>
      </w:r>
      <w:r w:rsidRPr="00CF7751">
        <w:rPr>
          <w:rFonts w:ascii="Calibri" w:eastAsia="Calibri" w:hAnsi="Calibri" w:cs="SimSun"/>
        </w:rPr>
        <w:t xml:space="preserve"> </w:t>
      </w:r>
      <w:r w:rsidRPr="00CF7751">
        <w:rPr>
          <w:rFonts w:ascii="Times New Roman" w:eastAsia="Calibri" w:hAnsi="Times New Roman" w:cs="Times New Roman"/>
          <w:sz w:val="24"/>
          <w:szCs w:val="24"/>
        </w:rPr>
        <w:t>sample consisted of 419 adolescents</w:t>
      </w:r>
      <w:r w:rsidRPr="00CF7751">
        <w:rPr>
          <w:rFonts w:ascii="Times New Roman" w:eastAsia="Verdana" w:hAnsi="Times New Roman" w:cs="Times New Roman"/>
          <w:sz w:val="24"/>
          <w:szCs w:val="24"/>
        </w:rPr>
        <w:t xml:space="preserve"> (44.6% girls, </w:t>
      </w:r>
      <w:r w:rsidRPr="00CF7751">
        <w:rPr>
          <w:rFonts w:ascii="Times New Roman" w:eastAsia="Verdana" w:hAnsi="Times New Roman" w:cs="Times New Roman"/>
          <w:i/>
          <w:sz w:val="24"/>
          <w:szCs w:val="24"/>
        </w:rPr>
        <w:t>M</w:t>
      </w:r>
      <w:r w:rsidRPr="00CF7751">
        <w:rPr>
          <w:rFonts w:ascii="Times New Roman" w:eastAsia="Verdana" w:hAnsi="Times New Roman" w:cs="Times New Roman"/>
          <w:sz w:val="24"/>
          <w:szCs w:val="24"/>
          <w:vertAlign w:val="subscript"/>
        </w:rPr>
        <w:t>age</w:t>
      </w:r>
      <w:r w:rsidRPr="00CF7751">
        <w:rPr>
          <w:rFonts w:ascii="Times New Roman" w:eastAsia="Verdana" w:hAnsi="Times New Roman" w:cs="Times New Roman"/>
          <w:sz w:val="24"/>
          <w:szCs w:val="24"/>
        </w:rPr>
        <w:t xml:space="preserve"> = 13.02, </w:t>
      </w:r>
      <w:r w:rsidRPr="00CF7751">
        <w:rPr>
          <w:rFonts w:ascii="Times New Roman" w:eastAsia="Verdana" w:hAnsi="Times New Roman" w:cs="Times New Roman"/>
          <w:i/>
          <w:sz w:val="24"/>
          <w:szCs w:val="24"/>
        </w:rPr>
        <w:t>SD</w:t>
      </w:r>
      <w:r w:rsidRPr="00CF7751">
        <w:rPr>
          <w:rFonts w:ascii="Times New Roman" w:eastAsia="Verdana" w:hAnsi="Times New Roman" w:cs="Times New Roman"/>
          <w:sz w:val="24"/>
          <w:szCs w:val="24"/>
        </w:rPr>
        <w:t xml:space="preserve"> = 0.44, at T1; </w:t>
      </w:r>
      <w:r w:rsidRPr="00CF7751">
        <w:rPr>
          <w:rFonts w:ascii="Times New Roman" w:eastAsia="Verdana" w:hAnsi="Times New Roman" w:cs="Times New Roman"/>
          <w:i/>
          <w:sz w:val="24"/>
          <w:szCs w:val="24"/>
        </w:rPr>
        <w:t>M</w:t>
      </w:r>
      <w:r w:rsidRPr="00CF7751">
        <w:rPr>
          <w:rFonts w:ascii="Times New Roman" w:eastAsia="Verdana" w:hAnsi="Times New Roman" w:cs="Times New Roman"/>
          <w:sz w:val="24"/>
          <w:szCs w:val="24"/>
          <w:vertAlign w:val="subscript"/>
        </w:rPr>
        <w:t>age</w:t>
      </w:r>
      <w:r w:rsidRPr="00CF7751">
        <w:rPr>
          <w:rFonts w:ascii="Times New Roman" w:eastAsia="Verdana" w:hAnsi="Times New Roman" w:cs="Times New Roman"/>
          <w:sz w:val="24"/>
          <w:szCs w:val="24"/>
        </w:rPr>
        <w:t xml:space="preserve"> = 17.02, </w:t>
      </w:r>
      <w:r w:rsidRPr="00CF7751">
        <w:rPr>
          <w:rFonts w:ascii="Times New Roman" w:eastAsia="Verdana" w:hAnsi="Times New Roman" w:cs="Times New Roman"/>
          <w:i/>
          <w:sz w:val="24"/>
          <w:szCs w:val="24"/>
        </w:rPr>
        <w:t>SD</w:t>
      </w:r>
      <w:r w:rsidRPr="00CF7751">
        <w:rPr>
          <w:rFonts w:ascii="Times New Roman" w:eastAsia="Verdana" w:hAnsi="Times New Roman" w:cs="Times New Roman"/>
          <w:sz w:val="24"/>
          <w:szCs w:val="24"/>
        </w:rPr>
        <w:t xml:space="preserve"> = 0.44, at T5), their mothers (</w:t>
      </w:r>
      <w:r w:rsidRPr="00CF7751">
        <w:rPr>
          <w:rFonts w:ascii="Times New Roman" w:eastAsia="Verdana" w:hAnsi="Times New Roman" w:cs="Times New Roman"/>
          <w:i/>
          <w:iCs/>
          <w:sz w:val="24"/>
          <w:szCs w:val="24"/>
        </w:rPr>
        <w:t>N</w:t>
      </w:r>
      <w:r w:rsidRPr="00CF7751">
        <w:rPr>
          <w:rFonts w:ascii="Times New Roman" w:eastAsia="Verdana" w:hAnsi="Times New Roman" w:cs="Times New Roman"/>
          <w:sz w:val="24"/>
          <w:szCs w:val="24"/>
        </w:rPr>
        <w:t xml:space="preserve"> = 419, </w:t>
      </w:r>
      <w:r w:rsidRPr="00CF7751">
        <w:rPr>
          <w:rFonts w:ascii="Times New Roman" w:eastAsia="Verdana" w:hAnsi="Times New Roman" w:cs="Times New Roman"/>
          <w:i/>
          <w:sz w:val="24"/>
          <w:szCs w:val="24"/>
        </w:rPr>
        <w:t>M</w:t>
      </w:r>
      <w:r w:rsidRPr="00CF7751">
        <w:rPr>
          <w:rFonts w:ascii="Times New Roman" w:eastAsia="Verdana" w:hAnsi="Times New Roman" w:cs="Times New Roman"/>
          <w:sz w:val="24"/>
          <w:szCs w:val="24"/>
          <w:vertAlign w:val="subscript"/>
        </w:rPr>
        <w:t>age</w:t>
      </w:r>
      <w:r w:rsidRPr="00CF7751">
        <w:rPr>
          <w:rFonts w:ascii="Times New Roman" w:eastAsia="Verdana" w:hAnsi="Times New Roman" w:cs="Times New Roman"/>
          <w:sz w:val="24"/>
          <w:szCs w:val="24"/>
        </w:rPr>
        <w:t xml:space="preserve"> = 44.48, </w:t>
      </w:r>
      <w:r w:rsidRPr="00CF7751">
        <w:rPr>
          <w:rFonts w:ascii="Times New Roman" w:eastAsia="Verdana" w:hAnsi="Times New Roman" w:cs="Times New Roman"/>
          <w:i/>
          <w:sz w:val="24"/>
          <w:szCs w:val="24"/>
        </w:rPr>
        <w:t>SD</w:t>
      </w:r>
      <w:r w:rsidRPr="00CF7751">
        <w:rPr>
          <w:rFonts w:ascii="Times New Roman" w:eastAsia="Verdana" w:hAnsi="Times New Roman" w:cs="Times New Roman"/>
          <w:sz w:val="24"/>
          <w:szCs w:val="24"/>
        </w:rPr>
        <w:t xml:space="preserve"> = 4.17, at T1), and their fathers (</w:t>
      </w:r>
      <w:r w:rsidRPr="00CF7751">
        <w:rPr>
          <w:rFonts w:ascii="Times New Roman" w:eastAsia="Verdana" w:hAnsi="Times New Roman" w:cs="Times New Roman"/>
          <w:i/>
          <w:iCs/>
          <w:sz w:val="24"/>
          <w:szCs w:val="24"/>
        </w:rPr>
        <w:t>N</w:t>
      </w:r>
      <w:r w:rsidRPr="00CF7751">
        <w:rPr>
          <w:rFonts w:ascii="Times New Roman" w:eastAsia="Verdana" w:hAnsi="Times New Roman" w:cs="Times New Roman"/>
          <w:sz w:val="24"/>
          <w:szCs w:val="24"/>
        </w:rPr>
        <w:t xml:space="preserve"> = 419, </w:t>
      </w:r>
      <w:r w:rsidRPr="00CF7751">
        <w:rPr>
          <w:rFonts w:ascii="Times New Roman" w:eastAsia="Verdana" w:hAnsi="Times New Roman" w:cs="Times New Roman"/>
          <w:i/>
          <w:sz w:val="24"/>
          <w:szCs w:val="24"/>
        </w:rPr>
        <w:t>M</w:t>
      </w:r>
      <w:r w:rsidRPr="00CF7751">
        <w:rPr>
          <w:rFonts w:ascii="Times New Roman" w:eastAsia="Verdana" w:hAnsi="Times New Roman" w:cs="Times New Roman"/>
          <w:sz w:val="24"/>
          <w:szCs w:val="24"/>
          <w:vertAlign w:val="subscript"/>
        </w:rPr>
        <w:t>age</w:t>
      </w:r>
      <w:r w:rsidRPr="00CF7751">
        <w:rPr>
          <w:rFonts w:ascii="Times New Roman" w:eastAsia="Verdana" w:hAnsi="Times New Roman" w:cs="Times New Roman"/>
          <w:sz w:val="24"/>
          <w:szCs w:val="24"/>
        </w:rPr>
        <w:t xml:space="preserve"> = 46.76, </w:t>
      </w:r>
      <w:r w:rsidRPr="00CF7751">
        <w:rPr>
          <w:rFonts w:ascii="Times New Roman" w:eastAsia="Verdana" w:hAnsi="Times New Roman" w:cs="Times New Roman"/>
          <w:i/>
          <w:sz w:val="24"/>
          <w:szCs w:val="24"/>
        </w:rPr>
        <w:t>SD</w:t>
      </w:r>
      <w:r w:rsidRPr="00CF7751">
        <w:rPr>
          <w:rFonts w:ascii="Times New Roman" w:eastAsia="Verdana" w:hAnsi="Times New Roman" w:cs="Times New Roman"/>
          <w:sz w:val="24"/>
          <w:szCs w:val="24"/>
        </w:rPr>
        <w:t xml:space="preserve"> = 4.99, at T1) who took part in five annual assessments of an ongoing longitudinal study</w:t>
      </w:r>
      <w:r w:rsidRPr="00CF7751">
        <w:rPr>
          <w:rFonts w:ascii="Times New Roman" w:eastAsia="Calibri" w:hAnsi="Times New Roman" w:cs="Times New Roman"/>
          <w:sz w:val="24"/>
          <w:szCs w:val="24"/>
        </w:rPr>
        <w:t xml:space="preserve"> </w:t>
      </w:r>
      <w:r w:rsidRPr="00CF7751">
        <w:rPr>
          <w:rFonts w:ascii="Times New Roman" w:eastAsia="Verdana" w:hAnsi="Times New Roman" w:cs="Times New Roman"/>
          <w:sz w:val="24"/>
          <w:szCs w:val="24"/>
        </w:rPr>
        <w:t xml:space="preserve">(RADAR, </w:t>
      </w:r>
      <w:r w:rsidRPr="00CF7751">
        <w:rPr>
          <w:rFonts w:ascii="Times New Roman" w:eastAsia="Verdana" w:hAnsi="Times New Roman" w:cs="Times New Roman"/>
          <w:sz w:val="24"/>
          <w:szCs w:val="24"/>
        </w:rPr>
        <w:fldChar w:fldCharType="begin"/>
      </w:r>
      <w:r w:rsidRPr="00CF7751">
        <w:rPr>
          <w:rFonts w:ascii="Times New Roman" w:eastAsia="Verdana" w:hAnsi="Times New Roman" w:cs="Times New Roman"/>
          <w:sz w:val="24"/>
          <w:szCs w:val="24"/>
        </w:rPr>
        <w:instrText xml:space="preserve"> ADDIN ZOTERO_ITEM CSL_CITATION {"citationID":"SY2lCHuR","properties":{"formattedCitation":"(Branje &amp; Meeus, 2018)","plainCitation":"(Branje &amp; Meeus, 2018)","noteIndex":0},"citationItems":[{"id":2695,"uris":["http://zotero.org/users/7128733/items/6XIGKGLJ"],"uri":["http://zotero.org/users/7128733/items/6XIGKGLJ"],"itemData":{"id":2695,"type":"article","publisher":"DANS","title":"Research on Adolescent Development and Relationships (Young cohort).","URL":"https://doi.org/10.17026/dans-zrb-v5wp","author":[{"family":"Branje","given":"S. J. T."},{"family":"Meeus","given":"W. H. J."}],"issued":{"date-parts":[["2018"]]}}}],"schema":"https://github.com/citation-style-language/schema/raw/master/csl-citation.json"} </w:instrText>
      </w:r>
      <w:r w:rsidRPr="00CF7751">
        <w:rPr>
          <w:rFonts w:ascii="Times New Roman" w:eastAsia="Verdana" w:hAnsi="Times New Roman" w:cs="Times New Roman"/>
          <w:sz w:val="24"/>
          <w:szCs w:val="24"/>
        </w:rPr>
        <w:fldChar w:fldCharType="separate"/>
      </w:r>
      <w:r w:rsidRPr="00CF7751">
        <w:rPr>
          <w:rFonts w:ascii="Times New Roman" w:eastAsia="Calibri" w:hAnsi="Times New Roman" w:cs="Times New Roman"/>
          <w:sz w:val="24"/>
        </w:rPr>
        <w:t>Branje &amp; Meeus, 2018)</w:t>
      </w:r>
      <w:r w:rsidRPr="00CF7751">
        <w:rPr>
          <w:rFonts w:ascii="Times New Roman" w:eastAsia="Verdana" w:hAnsi="Times New Roman" w:cs="Times New Roman"/>
          <w:sz w:val="24"/>
          <w:szCs w:val="24"/>
        </w:rPr>
        <w:fldChar w:fldCharType="end"/>
      </w:r>
      <w:r w:rsidRPr="00CF7751">
        <w:rPr>
          <w:rFonts w:ascii="Times New Roman" w:eastAsia="Verdana" w:hAnsi="Times New Roman" w:cs="Times New Roman"/>
          <w:sz w:val="24"/>
          <w:szCs w:val="24"/>
        </w:rPr>
        <w:t xml:space="preserve"> in the Netherlands, from 2006 to 2010. From the initial number of families participating in the study (</w:t>
      </w:r>
      <w:r w:rsidRPr="00CF7751">
        <w:rPr>
          <w:rFonts w:ascii="Times New Roman" w:eastAsia="Verdana" w:hAnsi="Times New Roman" w:cs="Times New Roman"/>
          <w:i/>
          <w:iCs/>
          <w:sz w:val="24"/>
          <w:szCs w:val="24"/>
        </w:rPr>
        <w:t>N</w:t>
      </w:r>
      <w:r w:rsidRPr="00CF7751">
        <w:rPr>
          <w:rFonts w:ascii="Times New Roman" w:eastAsia="Verdana" w:hAnsi="Times New Roman" w:cs="Times New Roman"/>
          <w:sz w:val="24"/>
          <w:szCs w:val="24"/>
        </w:rPr>
        <w:t xml:space="preserve"> = 497), only the families that stayed intact across the five years were chosen for the current study.</w:t>
      </w:r>
      <w:bookmarkEnd w:id="42"/>
      <w:r w:rsidRPr="00CF7751">
        <w:rPr>
          <w:rFonts w:ascii="Times New Roman" w:eastAsia="Verdana" w:hAnsi="Times New Roman" w:cs="Times New Roman"/>
          <w:sz w:val="24"/>
          <w:szCs w:val="24"/>
        </w:rPr>
        <w:t xml:space="preserve"> </w:t>
      </w:r>
      <w:bookmarkEnd w:id="43"/>
      <w:r w:rsidRPr="00CF7751">
        <w:rPr>
          <w:rFonts w:ascii="Times New Roman" w:eastAsia="Verdana" w:hAnsi="Times New Roman" w:cs="Times New Roman"/>
          <w:sz w:val="24"/>
          <w:szCs w:val="24"/>
        </w:rPr>
        <w:t xml:space="preserve">Adolescents were recruited from randomly selected elementary schools from the province of Utrecht as well as from three other big cities in the Netherlands. During the first measurement wave, adolescents were in 7th Grade. Most adolescents were native Dutch (94.8%) and came from households with medium or high socioeconomic status (91.4%). </w:t>
      </w:r>
      <w:r w:rsidRPr="00CF7751">
        <w:rPr>
          <w:rFonts w:ascii="Times New Roman" w:eastAsia="Verdana" w:hAnsi="Times New Roman" w:cs="Times New Roman"/>
          <w:sz w:val="24"/>
          <w:szCs w:val="24"/>
        </w:rPr>
        <w:lastRenderedPageBreak/>
        <w:t>More information on the sample selection procedures can be found in Branje &amp; Meeus (2018).</w:t>
      </w:r>
    </w:p>
    <w:p w14:paraId="5F9A9814"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Procedure</w:t>
      </w:r>
    </w:p>
    <w:p w14:paraId="48C90EDB"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Verdana" w:hAnsi="Times New Roman" w:cs="Times New Roman"/>
          <w:sz w:val="24"/>
          <w:szCs w:val="24"/>
        </w:rPr>
      </w:pPr>
      <w:r w:rsidRPr="00CF7751">
        <w:rPr>
          <w:rFonts w:ascii="Times New Roman" w:eastAsia="Verdana" w:hAnsi="Times New Roman" w:cs="Times New Roman"/>
          <w:sz w:val="24"/>
          <w:szCs w:val="24"/>
        </w:rPr>
        <w:t xml:space="preserve">The study was approved by the medical ethics committee of Utrecht University. </w:t>
      </w:r>
      <w:bookmarkStart w:id="44" w:name="_Hlk9263392"/>
      <w:r w:rsidRPr="00CF7751">
        <w:rPr>
          <w:rFonts w:ascii="Times New Roman" w:eastAsia="Verdana" w:hAnsi="Times New Roman" w:cs="Times New Roman"/>
          <w:sz w:val="24"/>
          <w:szCs w:val="24"/>
        </w:rPr>
        <w:t xml:space="preserve">Before the start of the study, parents were required to provide informed consent, and adolescents to provide assent. </w:t>
      </w:r>
      <w:bookmarkEnd w:id="44"/>
      <w:r w:rsidRPr="00CF7751">
        <w:rPr>
          <w:rFonts w:ascii="Times New Roman" w:eastAsia="Verdana" w:hAnsi="Times New Roman" w:cs="Times New Roman"/>
          <w:sz w:val="24"/>
          <w:szCs w:val="24"/>
        </w:rPr>
        <w:t xml:space="preserve">Data were collected via annual home visits during which participants filled-in self-report questionnaires, and procedures were the same for all five waves. </w:t>
      </w:r>
    </w:p>
    <w:p w14:paraId="644BCE5C"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b/>
          <w:bCs/>
          <w:sz w:val="24"/>
          <w:szCs w:val="24"/>
        </w:rPr>
      </w:pPr>
      <w:bookmarkStart w:id="45" w:name="_Hlk41311547"/>
      <w:bookmarkStart w:id="46" w:name="_Hlk41312028"/>
      <w:r w:rsidRPr="00CF7751">
        <w:rPr>
          <w:rFonts w:ascii="Times New Roman" w:eastAsia="Verdana" w:hAnsi="Times New Roman" w:cs="Times New Roman"/>
          <w:sz w:val="24"/>
          <w:szCs w:val="24"/>
        </w:rPr>
        <w:t xml:space="preserve">To assess annual marital conflict resolution, mothers and fathers filled out questionnaires during annual home visits that, for the most part, took place between February and March each year. Trained research assistants provided verbal instructions in addition to written instructions that accompanied the questionnaires. To assess daily marital conflict and daily mother-adolescent conflict, mothers and adolescents were asked to fill in an online daily diary for five consecutive days, in June, September, and December each year, for five consecutive years, resulting in 75 daily diaries in total (5 days*3 weeks*5 years). </w:t>
      </w:r>
      <w:bookmarkEnd w:id="45"/>
      <w:r w:rsidRPr="00CF7751">
        <w:rPr>
          <w:rFonts w:ascii="Times New Roman" w:eastAsia="Verdana" w:hAnsi="Times New Roman" w:cs="Times New Roman"/>
          <w:sz w:val="24"/>
          <w:szCs w:val="24"/>
        </w:rPr>
        <w:t>Confidentiality was guaranteed, and the data were processed anonymously. Each wave families received 100 euros for their participation.</w:t>
      </w:r>
    </w:p>
    <w:bookmarkEnd w:id="46"/>
    <w:p w14:paraId="4B38815A"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Measures</w:t>
      </w:r>
    </w:p>
    <w:p w14:paraId="51C7430B" w14:textId="77777777" w:rsidR="00CF7751" w:rsidRPr="00CF7751" w:rsidRDefault="00CF7751" w:rsidP="00CF7751">
      <w:pPr>
        <w:spacing w:after="0" w:line="480" w:lineRule="auto"/>
        <w:ind w:firstLine="708"/>
        <w:rPr>
          <w:rFonts w:ascii="Times New Roman" w:eastAsia="Calibri" w:hAnsi="Times New Roman" w:cs="Times New Roman"/>
          <w:b/>
          <w:sz w:val="24"/>
          <w:szCs w:val="24"/>
        </w:rPr>
      </w:pPr>
      <w:r w:rsidRPr="00CF7751">
        <w:rPr>
          <w:rFonts w:ascii="Times New Roman" w:eastAsia="Calibri" w:hAnsi="Times New Roman" w:cs="Times New Roman"/>
          <w:b/>
          <w:sz w:val="24"/>
          <w:szCs w:val="24"/>
        </w:rPr>
        <w:t>Interparental conflict management.</w:t>
      </w:r>
    </w:p>
    <w:p w14:paraId="6463E5AB"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Verdana" w:hAnsi="Times New Roman" w:cs="Times New Roman"/>
          <w:sz w:val="24"/>
          <w:szCs w:val="24"/>
        </w:rPr>
      </w:pPr>
      <w:r w:rsidRPr="00CF7751">
        <w:rPr>
          <w:rFonts w:ascii="Times New Roman" w:eastAsia="Verdana" w:hAnsi="Times New Roman" w:cs="Times New Roman"/>
          <w:sz w:val="24"/>
          <w:szCs w:val="24"/>
        </w:rPr>
        <w:t xml:space="preserve">We used the Conflict Resolution Styles Inventory (CRSI, </w:t>
      </w:r>
      <w:proofErr w:type="spellStart"/>
      <w:r w:rsidRPr="00CF7751">
        <w:rPr>
          <w:rFonts w:ascii="Times New Roman" w:eastAsia="Verdana" w:hAnsi="Times New Roman" w:cs="Times New Roman"/>
          <w:sz w:val="24"/>
          <w:szCs w:val="24"/>
        </w:rPr>
        <w:t>Kurdek</w:t>
      </w:r>
      <w:proofErr w:type="spellEnd"/>
      <w:r w:rsidRPr="00CF7751">
        <w:rPr>
          <w:rFonts w:ascii="Times New Roman" w:eastAsia="Verdana" w:hAnsi="Times New Roman" w:cs="Times New Roman"/>
          <w:sz w:val="24"/>
          <w:szCs w:val="24"/>
        </w:rPr>
        <w:t xml:space="preserve">, 1994) to assess marital conflict resolution annually. The CRSI consists of 20 items, and measures four conflict resolution strategies with 5 items each: Conflict Engagement, Compliance, Withdrawal, and Problem Solving. The CRSI has been translated and used in Dutch and has shown good psychometric properties </w:t>
      </w:r>
      <w:r w:rsidRPr="00CF7751">
        <w:rPr>
          <w:rFonts w:ascii="Times New Roman" w:eastAsia="Verdana" w:hAnsi="Times New Roman" w:cs="Times New Roman"/>
          <w:sz w:val="24"/>
          <w:szCs w:val="24"/>
        </w:rPr>
        <w:fldChar w:fldCharType="begin"/>
      </w:r>
      <w:r w:rsidRPr="00CF7751">
        <w:rPr>
          <w:rFonts w:ascii="Times New Roman" w:eastAsia="Verdana" w:hAnsi="Times New Roman" w:cs="Times New Roman"/>
          <w:sz w:val="24"/>
          <w:szCs w:val="24"/>
        </w:rPr>
        <w:instrText xml:space="preserve"> ADDIN ZOTERO_ITEM CSL_CITATION {"citationID":"aghn0CsC","properties":{"formattedCitation":"(Van Doorn et al., 2007)","plainCitation":"(Van Doorn et al., 2007)","noteIndex":0},"citationItems":[{"id":1160,"uris":["http://zotero.org/users/7128733/items/WDECY8LT"],"uri":["http://zotero.org/users/7128733/items/WDECY8LT"],"itemData":{"id":1160,"type":"article-journal","container-title":"Journal of Family Psychology","DOI":"10.1037/0893-3200.21.3.426","issue":"3","page":"426-434","title":"Longitudinal transmission of conflict resolution styles from marital relationships to adolescent-parent relationships.","volume":"21","author":[{"family":"Van Doorn","given":"Muriel D."},{"family":"Branje","given":"S.J.T."},{"family":"Meeus","given":"Wim H. J."}],"issued":{"date-parts":[["2007"]]}}}],"schema":"https://github.com/citation-style-language/schema/raw/master/csl-citation.json"} </w:instrText>
      </w:r>
      <w:r w:rsidRPr="00CF7751">
        <w:rPr>
          <w:rFonts w:ascii="Times New Roman" w:eastAsia="Verdana" w:hAnsi="Times New Roman" w:cs="Times New Roman"/>
          <w:sz w:val="24"/>
          <w:szCs w:val="24"/>
        </w:rPr>
        <w:fldChar w:fldCharType="separate"/>
      </w:r>
      <w:r w:rsidRPr="00CF7751">
        <w:rPr>
          <w:rFonts w:ascii="Times New Roman" w:eastAsia="Verdana" w:hAnsi="Times New Roman" w:cs="Times New Roman"/>
          <w:sz w:val="24"/>
          <w:szCs w:val="24"/>
        </w:rPr>
        <w:t>(Van Doorn et al., 2007)</w:t>
      </w:r>
      <w:r w:rsidRPr="00CF7751">
        <w:rPr>
          <w:rFonts w:ascii="Times New Roman" w:eastAsia="Verdana" w:hAnsi="Times New Roman" w:cs="Times New Roman"/>
          <w:sz w:val="24"/>
          <w:szCs w:val="24"/>
        </w:rPr>
        <w:fldChar w:fldCharType="end"/>
      </w:r>
      <w:r w:rsidRPr="00CF7751">
        <w:rPr>
          <w:rFonts w:ascii="Times New Roman" w:eastAsia="Verdana" w:hAnsi="Times New Roman" w:cs="Times New Roman"/>
          <w:sz w:val="24"/>
          <w:szCs w:val="24"/>
        </w:rPr>
        <w:t>. The items are addressed using a Likert scale from 1 (</w:t>
      </w:r>
      <w:r w:rsidRPr="00CF7751">
        <w:rPr>
          <w:rFonts w:ascii="Times New Roman" w:eastAsia="Verdana" w:hAnsi="Times New Roman" w:cs="Times New Roman"/>
          <w:i/>
          <w:iCs/>
          <w:sz w:val="24"/>
          <w:szCs w:val="24"/>
        </w:rPr>
        <w:t>never</w:t>
      </w:r>
      <w:r w:rsidRPr="00CF7751">
        <w:rPr>
          <w:rFonts w:ascii="Times New Roman" w:eastAsia="Verdana" w:hAnsi="Times New Roman" w:cs="Times New Roman"/>
          <w:sz w:val="24"/>
          <w:szCs w:val="24"/>
        </w:rPr>
        <w:t>) to 5 (</w:t>
      </w:r>
      <w:r w:rsidRPr="00CF7751">
        <w:rPr>
          <w:rFonts w:ascii="Times New Roman" w:eastAsia="Verdana" w:hAnsi="Times New Roman" w:cs="Times New Roman"/>
          <w:i/>
          <w:iCs/>
          <w:sz w:val="24"/>
          <w:szCs w:val="24"/>
        </w:rPr>
        <w:t>always</w:t>
      </w:r>
      <w:r w:rsidRPr="00CF7751">
        <w:rPr>
          <w:rFonts w:ascii="Times New Roman" w:eastAsia="Verdana" w:hAnsi="Times New Roman" w:cs="Times New Roman"/>
          <w:sz w:val="24"/>
          <w:szCs w:val="24"/>
        </w:rPr>
        <w:t xml:space="preserve">), and all items were preceded by the quote “During </w:t>
      </w:r>
      <w:r w:rsidRPr="00CF7751">
        <w:rPr>
          <w:rFonts w:ascii="Times New Roman" w:eastAsia="Verdana" w:hAnsi="Times New Roman" w:cs="Times New Roman"/>
          <w:sz w:val="24"/>
          <w:szCs w:val="24"/>
        </w:rPr>
        <w:lastRenderedPageBreak/>
        <w:t xml:space="preserve">an argument or conflict with my husband/wife I do the following things.” </w:t>
      </w:r>
      <w:bookmarkStart w:id="47" w:name="_Hlk53559785"/>
      <w:bookmarkStart w:id="48" w:name="_Hlk28959610"/>
      <w:r w:rsidRPr="00CF7751">
        <w:rPr>
          <w:rFonts w:ascii="Times New Roman" w:eastAsia="Verdana" w:hAnsi="Times New Roman" w:cs="Times New Roman"/>
          <w:sz w:val="24"/>
          <w:szCs w:val="24"/>
        </w:rPr>
        <w:t>Example items for each subscale are “Personally attack him/her,” and “Exploding and getting out of control.” (</w:t>
      </w:r>
      <w:r w:rsidRPr="00CF7751">
        <w:rPr>
          <w:rFonts w:ascii="Times New Roman" w:eastAsia="Verdana" w:hAnsi="Times New Roman" w:cs="Times New Roman"/>
          <w:i/>
          <w:iCs/>
          <w:sz w:val="24"/>
          <w:szCs w:val="24"/>
        </w:rPr>
        <w:t>Conflict Engagement</w:t>
      </w:r>
      <w:r w:rsidRPr="00CF7751">
        <w:rPr>
          <w:rFonts w:ascii="Times New Roman" w:eastAsia="Verdana" w:hAnsi="Times New Roman" w:cs="Times New Roman"/>
          <w:sz w:val="24"/>
          <w:szCs w:val="24"/>
        </w:rPr>
        <w:t>); “Not being willing to stick up for myself,” and “Giving in with little attempt to present my side of the issue.” (</w:t>
      </w:r>
      <w:r w:rsidRPr="00CF7751">
        <w:rPr>
          <w:rFonts w:ascii="Times New Roman" w:eastAsia="Verdana" w:hAnsi="Times New Roman" w:cs="Times New Roman"/>
          <w:i/>
          <w:iCs/>
          <w:sz w:val="24"/>
          <w:szCs w:val="24"/>
        </w:rPr>
        <w:t>Compliance</w:t>
      </w:r>
      <w:r w:rsidRPr="00CF7751">
        <w:rPr>
          <w:rFonts w:ascii="Times New Roman" w:eastAsia="Verdana" w:hAnsi="Times New Roman" w:cs="Times New Roman"/>
          <w:sz w:val="24"/>
          <w:szCs w:val="24"/>
        </w:rPr>
        <w:t>); “Focusing on the problem at hand,” and “Sitting down and discussing differences constructively.” (</w:t>
      </w:r>
      <w:r w:rsidRPr="00CF7751">
        <w:rPr>
          <w:rFonts w:ascii="Times New Roman" w:eastAsia="Verdana" w:hAnsi="Times New Roman" w:cs="Times New Roman"/>
          <w:i/>
          <w:iCs/>
          <w:sz w:val="24"/>
          <w:szCs w:val="24"/>
        </w:rPr>
        <w:t>Problem Solving</w:t>
      </w:r>
      <w:r w:rsidRPr="00CF7751">
        <w:rPr>
          <w:rFonts w:ascii="Times New Roman" w:eastAsia="Verdana" w:hAnsi="Times New Roman" w:cs="Times New Roman"/>
          <w:sz w:val="24"/>
          <w:szCs w:val="24"/>
        </w:rPr>
        <w:t>); “Remaining silent for long periods of time,” and “Withdrawing, acting distant and not interested.” (</w:t>
      </w:r>
      <w:r w:rsidRPr="00CF7751">
        <w:rPr>
          <w:rFonts w:ascii="Times New Roman" w:eastAsia="Verdana" w:hAnsi="Times New Roman" w:cs="Times New Roman"/>
          <w:i/>
          <w:iCs/>
          <w:sz w:val="24"/>
          <w:szCs w:val="24"/>
        </w:rPr>
        <w:t>Withdrawal</w:t>
      </w:r>
      <w:r w:rsidRPr="00CF7751">
        <w:rPr>
          <w:rFonts w:ascii="Times New Roman" w:eastAsia="Verdana" w:hAnsi="Times New Roman" w:cs="Times New Roman"/>
          <w:sz w:val="24"/>
          <w:szCs w:val="24"/>
        </w:rPr>
        <w:t xml:space="preserve">). Mothers reported about their own conflict resolution behavior in arguments with their husbands, and fathers reported about their own conflict resolution behavior in arguments with their wives. To obtain a more robust measure of marital conflict resolution, we used repeated measures of the mother- and father-reported four subscales across five years (see Analytic Plan). </w:t>
      </w:r>
      <w:bookmarkEnd w:id="47"/>
      <w:r w:rsidRPr="00CF7751">
        <w:rPr>
          <w:rFonts w:ascii="Times New Roman" w:eastAsia="Verdana" w:hAnsi="Times New Roman" w:cs="Times New Roman"/>
          <w:sz w:val="24"/>
          <w:szCs w:val="24"/>
        </w:rPr>
        <w:t xml:space="preserve">In each of the five waves </w:t>
      </w:r>
      <w:bookmarkEnd w:id="48"/>
      <w:r w:rsidRPr="00CF7751">
        <w:rPr>
          <w:rFonts w:ascii="Times New Roman" w:eastAsia="Verdana" w:hAnsi="Times New Roman" w:cs="Times New Roman"/>
          <w:sz w:val="24"/>
          <w:szCs w:val="24"/>
        </w:rPr>
        <w:t xml:space="preserve">internal consistency coefficients were good across scales, reporters, and waves, ranging between </w:t>
      </w:r>
      <w:r w:rsidRPr="00CF7751">
        <w:rPr>
          <w:rFonts w:ascii="Times New Roman" w:eastAsia="Verdana" w:hAnsi="Times New Roman" w:cs="Times New Roman"/>
          <w:i/>
          <w:iCs/>
          <w:sz w:val="24"/>
          <w:szCs w:val="24"/>
        </w:rPr>
        <w:t>α</w:t>
      </w:r>
      <w:r w:rsidRPr="00CF7751">
        <w:rPr>
          <w:rFonts w:ascii="Times New Roman" w:eastAsia="Verdana" w:hAnsi="Times New Roman" w:cs="Times New Roman"/>
          <w:sz w:val="24"/>
          <w:szCs w:val="24"/>
        </w:rPr>
        <w:t xml:space="preserve"> = .75 and </w:t>
      </w:r>
      <w:r w:rsidRPr="00CF7751">
        <w:rPr>
          <w:rFonts w:ascii="Times New Roman" w:eastAsia="Verdana" w:hAnsi="Times New Roman" w:cs="Times New Roman"/>
          <w:i/>
          <w:iCs/>
          <w:sz w:val="24"/>
          <w:szCs w:val="24"/>
        </w:rPr>
        <w:t>α</w:t>
      </w:r>
      <w:r w:rsidRPr="00CF7751">
        <w:rPr>
          <w:rFonts w:ascii="Times New Roman" w:eastAsia="Verdana" w:hAnsi="Times New Roman" w:cs="Times New Roman"/>
          <w:sz w:val="24"/>
          <w:szCs w:val="24"/>
        </w:rPr>
        <w:t xml:space="preserve"> = .90. </w:t>
      </w:r>
    </w:p>
    <w:p w14:paraId="676EC7CE" w14:textId="77777777" w:rsidR="00CF7751" w:rsidRPr="00CF7751" w:rsidRDefault="00CF7751" w:rsidP="00CF7751">
      <w:pPr>
        <w:spacing w:after="0" w:line="480" w:lineRule="auto"/>
        <w:ind w:firstLine="708"/>
        <w:rPr>
          <w:rFonts w:ascii="Times New Roman" w:eastAsia="Calibri" w:hAnsi="Times New Roman" w:cs="Times New Roman"/>
          <w:b/>
          <w:sz w:val="24"/>
          <w:szCs w:val="24"/>
        </w:rPr>
      </w:pPr>
      <w:r w:rsidRPr="00CF7751">
        <w:rPr>
          <w:rFonts w:ascii="Times New Roman" w:eastAsia="Calibri" w:hAnsi="Times New Roman" w:cs="Times New Roman"/>
          <w:b/>
          <w:sz w:val="24"/>
          <w:szCs w:val="24"/>
        </w:rPr>
        <w:t>Daily interparental and mother-adolescent conflict.</w:t>
      </w:r>
    </w:p>
    <w:p w14:paraId="1FF41F40"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We used 2 adapted items from the Negative Interactions subscale of the Network of Relationships Inventory – short form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{"citationID":"ZI2dPZQF","properties":{"formattedCitation":"(De Goede et al., 2009; Furman &amp; Buhrmester, 1985)","plainCitation":"(De Goede et al., 2009; Furman &amp; Buhrmester, 1985)","noteIndex":0},"citationItems":[{"id":"jbQAzR7y/2TmeMyp2","uris":["http://www.mendeley.com/documents/?uuid=43222e03-a6ac-401d-8a0b-81d330c019fe"],"uri":["http://www.mendeley.com/documents/?uuid=43222e03-a6ac-401d-8a0b-81d330c019fe"],"itemData":{"DOI":"10.1007/s10964-008-9286-7","ISSN":"0047-2891","author":[{"dropping-particle":"","family":"Goede","given":"Irene H A","non-dropping-particle":"De","parse-names":false,"suffix":""},{"dropping-particle":"","family":"Branje","given":"S.J.T.","non-dropping-particle":"","parse-names":false,"suffix":""},{"dropping-particle":"","family":"Meeus","given":"Wim H J","non-dropping-particle":"","parse-names":false,"suffix":""}],"container-title":"Journal of Youth and Adolescence","id":"ITEM-1","issue":"1","issued":{"date-parts":[["2009","1","18"]]},"page":"75-88","publisher":"Springer","title":"Developmental Changes in Adolescents’ Perceptions of Relationships with Their Parents","type":"article-journal","volume":"38"}},{"id":"jbQAzR7y/mvgeKWDj","uris":["http://www.mendeley.com/documents/?uuid=faf1d057-b27f-45cc-8f40-838564deede1"],"uri":["http://www.mendeley.com/documents/?uuid=faf1d057-b27f-45cc-8f40-838564deede1"],"itemData":{"DOI":"10.1037/0012-1649.21.6.1016","ISBN":"0012-1649\\r1939-0599","ISSN":"1939-0599","abstract":"Relatively few investigators have compared and contrasted the characteristics of different kinds of relationships in children's social networks. In the present study, 199 fifth- and sixth-grade children completed Network of Relationships Inventories, which assessed 10 qualities of their relationships with mothers, fathers, siblings, grandparents, friends, and teachers. Consistent with Weiss's (1974) theory, children reported seeking different provisions from different individuals. Mothers and fathers were turned to most often for affection, enhancement of worth, a sense of reliable aid, and instrumental aid. Next to parents, grandparents were turned to most often for affection and enhancement of worth, and teachers were turned to most often for instrumental aid. Friends were the greatest source of companionship, and friends and mothers received the highest ratings of intimacy. Additionally, children reported having more power in their relationships with other children than in those with adults. Conflict was perceived as occurring most often in sibling relationships. Chil- dren reported being most satisfied with their relationships with mothers, and they thought that their relationships with mothers and fathers were most important. Discussion centers around the bases for the children's differentiations of their re- lationships and the implications for understanding social networks.","author":[{"dropping-particle":"","family":"Furman","given":"Wyndol","non-dropping-particle":"","parse-names":false,"suffix":""},{"dropping-particle":"","family":"Buhrmester","given":"Duane","non-dropping-particle":"","parse-names":false,"suffix":""}],"container-title":"Developmental Psychology","id":"ITEM-2","issue":"6","issued":{"date-parts":[["1985"]]},"page":"1016-1024","title":"Children's perceptions of the personal relationships in their social networks.","type":"article-journal","volume":"21"}}],"schema":"https://github.com/citation-style-language/schema/raw/master/csl-citation.json"}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(De Goede et al., 2009; Furman &amp; Buhrmester, 1985)</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to assess marital conflict and mother-adolescent conflict on the daily level. The two items mothers and adolescents addressed were: “How much did you and your partner/child/mother get upset with or mad at each other today?”, and “How much did you and your partner/child/mother argue with each other today?”. Mothers reported about conflict with their partners (Mother-Father report, MF), and mothers and adolescents reported about mother-adolescent conflict (Mother-Adolescent, MA; Adolescent-Mother, AM). Answers were given on a 7-point Likert scale, ranging from 1 (</w:t>
      </w:r>
      <w:r w:rsidRPr="00CF7751">
        <w:rPr>
          <w:rFonts w:ascii="Times New Roman" w:eastAsia="Times New Roman" w:hAnsi="Times New Roman" w:cs="Times New Roman"/>
          <w:i/>
          <w:iCs/>
          <w:sz w:val="24"/>
          <w:szCs w:val="24"/>
        </w:rPr>
        <w:t>Not at all</w:t>
      </w:r>
      <w:r w:rsidRPr="00CF7751">
        <w:rPr>
          <w:rFonts w:ascii="Times New Roman" w:eastAsia="Times New Roman" w:hAnsi="Times New Roman" w:cs="Times New Roman"/>
          <w:sz w:val="24"/>
          <w:szCs w:val="24"/>
        </w:rPr>
        <w:t>)</w:t>
      </w:r>
      <w:r w:rsidRPr="00CF7751">
        <w:rPr>
          <w:rFonts w:ascii="Times New Roman" w:eastAsia="Times New Roman" w:hAnsi="Times New Roman" w:cs="Times New Roman"/>
          <w:i/>
          <w:sz w:val="24"/>
          <w:szCs w:val="24"/>
        </w:rPr>
        <w:t xml:space="preserve"> </w:t>
      </w:r>
      <w:r w:rsidRPr="00CF7751">
        <w:rPr>
          <w:rFonts w:ascii="Times New Roman" w:eastAsia="Times New Roman" w:hAnsi="Times New Roman" w:cs="Times New Roman"/>
          <w:sz w:val="24"/>
          <w:szCs w:val="24"/>
        </w:rPr>
        <w:t>to 7 (</w:t>
      </w:r>
      <w:r w:rsidRPr="00CF7751">
        <w:rPr>
          <w:rFonts w:ascii="Times New Roman" w:eastAsia="Times New Roman" w:hAnsi="Times New Roman" w:cs="Times New Roman"/>
          <w:i/>
          <w:iCs/>
          <w:sz w:val="24"/>
          <w:szCs w:val="24"/>
        </w:rPr>
        <w:t>Very much</w:t>
      </w:r>
      <w:r w:rsidRPr="00CF7751">
        <w:rPr>
          <w:rFonts w:ascii="Times New Roman" w:eastAsia="Times New Roman" w:hAnsi="Times New Roman" w:cs="Times New Roman"/>
          <w:sz w:val="24"/>
          <w:szCs w:val="24"/>
        </w:rPr>
        <w:t xml:space="preserve">). Internal reliability was good across days, across years, and for all informants: </w:t>
      </w:r>
      <w:r w:rsidRPr="00CF7751">
        <w:rPr>
          <w:rFonts w:ascii="Times New Roman" w:eastAsia="Times New Roman" w:hAnsi="Times New Roman" w:cs="Times New Roman"/>
          <w:i/>
          <w:sz w:val="24"/>
          <w:szCs w:val="24"/>
        </w:rPr>
        <w:t>α</w:t>
      </w:r>
      <w:r w:rsidRPr="00CF7751">
        <w:rPr>
          <w:rFonts w:ascii="Times New Roman" w:eastAsia="Times New Roman" w:hAnsi="Times New Roman" w:cs="Times New Roman"/>
          <w:sz w:val="24"/>
          <w:szCs w:val="24"/>
        </w:rPr>
        <w:t xml:space="preserve">’s .81 - .88 (MF report); .80 - .86 (MA report); .83 - .85 (AM report). The MA and the AM reports correlated </w:t>
      </w:r>
      <w:r w:rsidRPr="00CF7751">
        <w:rPr>
          <w:rFonts w:ascii="Times New Roman" w:eastAsia="Times New Roman" w:hAnsi="Times New Roman" w:cs="Times New Roman"/>
          <w:sz w:val="24"/>
          <w:szCs w:val="24"/>
        </w:rPr>
        <w:lastRenderedPageBreak/>
        <w:t xml:space="preserve">strongly (from .46 to .48 across waves), therefore we combined them into one score of mother-adolescent conflict. </w:t>
      </w:r>
    </w:p>
    <w:p w14:paraId="735FA5ED"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Attrition and Missing Values</w:t>
      </w:r>
    </w:p>
    <w:p w14:paraId="376D6079" w14:textId="77777777" w:rsidR="00CF7751" w:rsidRPr="00CF7751" w:rsidRDefault="00CF7751" w:rsidP="00CF7751">
      <w:pPr>
        <w:spacing w:after="0" w:line="480" w:lineRule="auto"/>
        <w:ind w:firstLine="720"/>
        <w:rPr>
          <w:rFonts w:ascii="Times New Roman" w:eastAsia="Calibri" w:hAnsi="Times New Roman" w:cs="Times New Roman"/>
          <w:b/>
          <w:sz w:val="24"/>
          <w:szCs w:val="24"/>
        </w:rPr>
      </w:pPr>
      <w:r w:rsidRPr="00CF7751">
        <w:rPr>
          <w:rFonts w:ascii="Times New Roman" w:eastAsia="Verdana" w:hAnsi="Times New Roman" w:cs="Times New Roman"/>
          <w:sz w:val="24"/>
          <w:szCs w:val="24"/>
        </w:rPr>
        <w:t xml:space="preserve">The majority of adolescents (84.7%), mothers (84.7%), and fathers (76.1%) were still involved in the study at Wave 5, and the average participation rate across the five waves was 91.3%, 91.2%, and 90% for adolescents, mothers, and fathers, respectively. </w:t>
      </w:r>
      <w:bookmarkStart w:id="49" w:name="_Hlk9285035"/>
      <w:r w:rsidRPr="00CF7751">
        <w:rPr>
          <w:rFonts w:ascii="Times New Roman" w:eastAsia="Verdana" w:hAnsi="Times New Roman" w:cs="Times New Roman"/>
          <w:sz w:val="24"/>
          <w:szCs w:val="24"/>
        </w:rPr>
        <w:t xml:space="preserve">Little’s MCAR test </w:t>
      </w:r>
      <w:r w:rsidRPr="00CF7751">
        <w:rPr>
          <w:rFonts w:ascii="Times New Roman" w:eastAsia="Verdana" w:hAnsi="Times New Roman" w:cs="Times New Roman"/>
          <w:sz w:val="24"/>
          <w:szCs w:val="24"/>
        </w:rPr>
        <w:fldChar w:fldCharType="begin" w:fldLock="1"/>
      </w:r>
      <w:r w:rsidRPr="00CF7751">
        <w:rPr>
          <w:rFonts w:ascii="Times New Roman" w:eastAsia="Verdana" w:hAnsi="Times New Roman" w:cs="Times New Roman"/>
          <w:sz w:val="24"/>
          <w:szCs w:val="24"/>
        </w:rPr>
        <w:instrText xml:space="preserve"> ADDIN ZOTERO_ITEM CSL_CITATION {"citationID":"ePRhc7HQ","properties":{"formattedCitation":"(R. J. A. Little, 1988)","plainCitation":"(R. J. A. Little, 1988)","noteIndex":0},"citationItems":[{"id":"jbQAzR7y/JGCCb4zL","uris":["http://www.mendeley.com/documents/?uuid=05c8e4ce-c773-463b-9213-bac40e4227e6"],"uri":["http://www.mendeley.com/documents/?uuid=05c8e4ce-c773-463b-9213-bac40e4227e6"],"itemData":{"DOI":"10.1080/01621459.1988.10478722","ISSN":"0162-1459","author":[{"dropping-particle":"","family":"Little","given":"Roderick J. A.","non-dropping-particle":"","parse-names":false,"suffix":""}],"container-title":"Journal of the American Statistical Association","id":"ITEM-1","issue":"404","issued":{"date-parts":[["1988","12"]]},"page":"1198-1202","title":"A Test of Missing Completely at Random for Multivariate Data with Missing Values","type":"article-journal","volume":"83"}}],"schema":"https://github.com/citation-style-language/schema/raw/master/csl-citation.json"} </w:instrText>
      </w:r>
      <w:r w:rsidRPr="00CF7751">
        <w:rPr>
          <w:rFonts w:ascii="Times New Roman" w:eastAsia="Verdana" w:hAnsi="Times New Roman" w:cs="Times New Roman"/>
          <w:sz w:val="24"/>
          <w:szCs w:val="24"/>
        </w:rPr>
        <w:fldChar w:fldCharType="separate"/>
      </w:r>
      <w:r w:rsidRPr="00CF7751">
        <w:rPr>
          <w:rFonts w:ascii="Times New Roman" w:eastAsia="Calibri" w:hAnsi="Times New Roman" w:cs="Times New Roman"/>
          <w:sz w:val="24"/>
        </w:rPr>
        <w:t>(Little, 1988)</w:t>
      </w:r>
      <w:r w:rsidRPr="00CF7751">
        <w:rPr>
          <w:rFonts w:ascii="Times New Roman" w:eastAsia="Verdana" w:hAnsi="Times New Roman" w:cs="Times New Roman"/>
          <w:sz w:val="24"/>
          <w:szCs w:val="24"/>
        </w:rPr>
        <w:fldChar w:fldCharType="end"/>
      </w:r>
      <w:r w:rsidRPr="00CF7751">
        <w:rPr>
          <w:rFonts w:ascii="Times New Roman" w:eastAsia="Verdana" w:hAnsi="Times New Roman" w:cs="Times New Roman"/>
          <w:sz w:val="24"/>
          <w:szCs w:val="24"/>
        </w:rPr>
        <w:t xml:space="preserve"> was not significant [</w:t>
      </w:r>
      <w:r w:rsidRPr="00CF7751">
        <w:rPr>
          <w:rFonts w:ascii="Times New Roman" w:eastAsia="Verdana" w:hAnsi="Times New Roman" w:cs="Times New Roman"/>
          <w:i/>
          <w:sz w:val="24"/>
          <w:szCs w:val="24"/>
        </w:rPr>
        <w:t>χ</w:t>
      </w:r>
      <w:r w:rsidRPr="00CF7751">
        <w:rPr>
          <w:rFonts w:ascii="Times New Roman" w:eastAsia="Verdana" w:hAnsi="Times New Roman" w:cs="Times New Roman"/>
          <w:sz w:val="24"/>
          <w:szCs w:val="24"/>
          <w:vertAlign w:val="superscript"/>
        </w:rPr>
        <w:t>2</w:t>
      </w:r>
      <w:r w:rsidRPr="00CF7751">
        <w:rPr>
          <w:rFonts w:ascii="Times New Roman" w:eastAsia="Verdana" w:hAnsi="Times New Roman" w:cs="Times New Roman"/>
          <w:sz w:val="24"/>
          <w:szCs w:val="24"/>
        </w:rPr>
        <w:t xml:space="preserve"> (767) = 812, </w:t>
      </w:r>
      <w:r w:rsidRPr="00CF7751">
        <w:rPr>
          <w:rFonts w:ascii="Times New Roman" w:eastAsia="Verdana" w:hAnsi="Times New Roman" w:cs="Times New Roman"/>
          <w:i/>
          <w:sz w:val="24"/>
          <w:szCs w:val="24"/>
        </w:rPr>
        <w:t>p</w:t>
      </w:r>
      <w:r w:rsidRPr="00CF7751">
        <w:rPr>
          <w:rFonts w:ascii="Times New Roman" w:eastAsia="Verdana" w:hAnsi="Times New Roman" w:cs="Times New Roman"/>
          <w:sz w:val="24"/>
          <w:szCs w:val="24"/>
        </w:rPr>
        <w:t xml:space="preserve"> = 0.125], indicating that the assumption of missingness being completely at random was tenable. </w:t>
      </w:r>
      <w:bookmarkEnd w:id="49"/>
      <w:r w:rsidRPr="00CF7751">
        <w:rPr>
          <w:rFonts w:ascii="Times New Roman" w:eastAsia="Verdana" w:hAnsi="Times New Roman" w:cs="Times New Roman"/>
          <w:sz w:val="24"/>
          <w:szCs w:val="24"/>
        </w:rPr>
        <w:t>Therefore, data from all 419 families could be included in the analyses using Full Information Maximum Likelihood.</w:t>
      </w:r>
    </w:p>
    <w:p w14:paraId="7A1AC0AB"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Analytic Plan</w:t>
      </w:r>
    </w:p>
    <w:p w14:paraId="6F5E6198" w14:textId="77777777" w:rsidR="00CF7751" w:rsidRPr="00CF7751" w:rsidRDefault="00CF7751" w:rsidP="00CF7751">
      <w:pPr>
        <w:tabs>
          <w:tab w:val="left" w:pos="875"/>
        </w:tabs>
        <w:autoSpaceDE w:val="0"/>
        <w:autoSpaceDN w:val="0"/>
        <w:adjustRightInd w:val="0"/>
        <w:spacing w:after="0" w:line="480" w:lineRule="auto"/>
        <w:ind w:firstLine="720"/>
        <w:rPr>
          <w:rFonts w:ascii="Times New Roman" w:eastAsia="Times New Roman" w:hAnsi="Times New Roman" w:cs="Times New Roman"/>
          <w:sz w:val="24"/>
          <w:szCs w:val="24"/>
        </w:rPr>
      </w:pPr>
      <w:bookmarkStart w:id="50" w:name="_Hlk41312844"/>
      <w:bookmarkStart w:id="51" w:name="_Hlk9284847"/>
      <w:r w:rsidRPr="00CF7751">
        <w:rPr>
          <w:rFonts w:ascii="Times New Roman" w:eastAsia="Times New Roman" w:hAnsi="Times New Roman" w:cs="Times New Roman"/>
          <w:sz w:val="24"/>
          <w:szCs w:val="24"/>
        </w:rPr>
        <w:t>As preliminary analyses, to test the appropriateness of the CRSI for dyadic longitudinal modeling with our data, we applied the following steps</w:t>
      </w:r>
      <w:bookmarkEnd w:id="50"/>
      <w:r w:rsidRPr="00CF7751">
        <w:rPr>
          <w:rFonts w:ascii="Times New Roman" w:eastAsia="Times New Roman" w:hAnsi="Times New Roman" w:cs="Times New Roman"/>
          <w:sz w:val="24"/>
          <w:szCs w:val="24"/>
        </w:rPr>
        <w:t xml:space="preserve">. First, we examined the factor structure of the CRSI using Confirmatory Factor Analyses separately for the 5 annual assessments, and for mothers and fathers. Second, we tested the longitudinal measurement invariance of the CRSI across the five years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{"citationID":"Woqk7RoJ","properties":{"formattedCitation":"(van de Schoot et al., 2012a)","plainCitation":"(van de Schoot et al., 2012a)","noteIndex":0},"citationItems":[{"id":"jbQAzR7y/GBtfxqYo","uris":["http://www.mendeley.com/documents/?uuid=8b896557-82b3-4e55-bbd3-31252384c685"],"uri":["http://www.mendeley.com/documents/?uuid=8b896557-82b3-4e55-bbd3-31252384c685"],"itemData":{"DOI":"10.1080/17405629.2012.686740","ISSN":"1740-5629","author":[{"dropping-particle":"","family":"Schoot","given":"Rens","non-dropping-particle":"van de","parse-names":false,"suffix":""},{"dropping-particle":"","family":"Lugtig","given":"Peter","non-dropping-particle":"","parse-names":false,"suffix":""},{"dropping-particle":"","family":"Hox","given":"Joop","non-dropping-particle":"","parse-names":false,"suffix":""}],"container-title":"European Journal of Developmental Psychology","id":"ITEM-1","issue":"4","issued":{"date-parts":[["2012","7"]]},"page":"486-492","publisher":"Taylor &amp; Francis","title":"A checklist for testing measurement invariance","type":"article-journal","volume":"9"}}],"schema":"https://github.com/citation-style-language/schema/raw/master/csl-citation.json"}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(van de Schoot et al., 2012)</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separately for mothers and fathers, using the </w:t>
      </w:r>
      <w:proofErr w:type="spellStart"/>
      <w:r w:rsidRPr="00CF7751">
        <w:rPr>
          <w:rFonts w:ascii="Times New Roman" w:eastAsia="Times New Roman" w:hAnsi="Times New Roman" w:cs="Times New Roman"/>
          <w:sz w:val="24"/>
          <w:szCs w:val="24"/>
        </w:rPr>
        <w:t>measEq.syntax</w:t>
      </w:r>
      <w:proofErr w:type="spellEnd"/>
      <w:r w:rsidRPr="00CF7751">
        <w:rPr>
          <w:rFonts w:ascii="Times New Roman" w:eastAsia="Times New Roman" w:hAnsi="Times New Roman" w:cs="Times New Roman"/>
          <w:sz w:val="24"/>
          <w:szCs w:val="24"/>
        </w:rPr>
        <w:t xml:space="preserve"> function of the </w:t>
      </w:r>
      <w:proofErr w:type="spellStart"/>
      <w:r w:rsidRPr="00CF7751">
        <w:rPr>
          <w:rFonts w:ascii="Times New Roman" w:eastAsia="Times New Roman" w:hAnsi="Times New Roman" w:cs="Times New Roman"/>
          <w:sz w:val="24"/>
          <w:szCs w:val="24"/>
        </w:rPr>
        <w:t>semTools</w:t>
      </w:r>
      <w:proofErr w:type="spellEnd"/>
      <w:r w:rsidRPr="00CF7751">
        <w:rPr>
          <w:rFonts w:ascii="Times New Roman" w:eastAsia="Times New Roman" w:hAnsi="Times New Roman" w:cs="Times New Roman"/>
          <w:sz w:val="24"/>
          <w:szCs w:val="24"/>
        </w:rPr>
        <w:t xml:space="preserve"> package in R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{"citationID":"zGFJeFNk","properties":{"formattedCitation":"(Jorgensen et al., 2018)","plainCitation":"(Jorgensen et al., 2018)","noteIndex":0},"citationItems":[{"id":"jbQAzR7y/g7NaSCig","uris":["http://www.mendeley.com/documents/?uuid=5b5e20eb-f442-48b6-9e89-5ee52cc50944"],"uri":["http://www.mendeley.com/documents/?uuid=5b5e20eb-f442-48b6-9e89-5ee52cc50944"],"itemData":{"author":[{"dropping-particle":"","family":"Jorgensen","given":"Terrence D","non-dropping-particle":"","parse-names":false,"suffix":""},{"dropping-particle":"","family":"Pornprasertmanit","given":"S","non-dropping-particle":"","parse-names":false,"suffix":""},{"dropping-particle":"","family":"Schoemann","given":"A M","non-dropping-particle":"","parse-names":false,"suffix":""},{"dropping-particle":"","family":"Rosseel","given":"Y","non-dropping-particle":"","parse-names":false,"suffix":""},{"dropping-particle":"","family":"Miller","given":"P","non-dropping-particle":"","parse-names":false,"suffix":""},{"dropping-particle":"","family":"Quick","given":"C","non-dropping-particle":"","parse-names":false,"suffix":""},{"dropping-particle":"","family":"Garnier-Villarreal","given":"M","non-dropping-particle":"","parse-names":false,"suffix":""}],"container-title":"R package version 0.5-0","id":"ITEM-1","issued":{"date-parts":[["2018"]]},"title":"semTools: Useful tools for structural equation modeling","type":"article-journal"}}],"schema":"https://github.com/citation-style-language/schema/raw/master/csl-citation.json"}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(Jorgensen et al.,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bookmarkStart w:id="52" w:name="_Hlk41313609"/>
      <w:r w:rsidRPr="00CF7751">
        <w:rPr>
          <w:rFonts w:ascii="Times New Roman" w:eastAsia="Times New Roman" w:hAnsi="Times New Roman" w:cs="Times New Roman"/>
          <w:sz w:val="24"/>
          <w:szCs w:val="24"/>
        </w:rPr>
        <w:t>In these increasingly restricted models, changes in model fit were deemed acceptable if deltas (</w:t>
      </w:r>
      <w:r w:rsidRPr="00CF7751">
        <w:rPr>
          <w:rFonts w:ascii="Times New Roman" w:eastAsia="Times New Roman" w:hAnsi="Times New Roman" w:cs="Times New Roman"/>
          <w:sz w:val="24"/>
          <w:szCs w:val="24"/>
          <w:lang w:val="el-GR"/>
        </w:rPr>
        <w:t>Δ</w:t>
      </w:r>
      <w:r w:rsidRPr="00CF7751">
        <w:rPr>
          <w:rFonts w:ascii="Times New Roman" w:eastAsia="Times New Roman" w:hAnsi="Times New Roman" w:cs="Times New Roman"/>
          <w:sz w:val="24"/>
          <w:szCs w:val="24"/>
        </w:rPr>
        <w:t xml:space="preserve">s) were within the cutoffs recommended by Chen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{"citationID":"on7YQInD","properties":{"formattedCitation":"(Chen, 2007)","plainCitation":"(Chen, 2007)","noteIndex":0},"citationItems":[{"id":"jbQAzR7y/KvpvtYFu","uris":["http://www.mendeley.com/documents/?uuid=4941a9c5-4cf5-4917-9f1f-47af6a8e0735"],"uri":["http://www.mendeley.com/documents/?uuid=4941a9c5-4cf5-4917-9f1f-47af6a8e0735"],"itemData":{"DOI":"10.1080/10705510701301834","ISSN":"1070-5511","author":[{"dropping-particle":"","family":"Chen","given":"Fang Fang","non-dropping-particle":"","parse-names":false,"suffix":""}],"container-title":"Structural Equation Modeling: A Multidisciplinary Journal","id":"ITEM-1","issue":"3","issued":{"date-parts":[["2007","7","31"]]},"page":"464-504","title":"Sensitivity of Goodness of Fit Indexes to Lack of Measurement Invariance","type":"article-journal","volume":"14"}}],"schema":"https://github.com/citation-style-language/schema/raw/master/csl-citation.json"}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(Chen, 2007)</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r w:rsidRPr="00CF7751">
        <w:rPr>
          <w:rFonts w:ascii="Times New Roman" w:eastAsia="Calibri" w:hAnsi="Times New Roman" w:cs="SimSun"/>
          <w:szCs w:val="20"/>
        </w:rPr>
        <w:t xml:space="preserve">ΔCFI ≤ -.010, ΔRMSEA ≤ .015, and ΔSRMR ≤ .030. </w:t>
      </w:r>
      <w:bookmarkEnd w:id="52"/>
      <w:r w:rsidRPr="00CF7751">
        <w:rPr>
          <w:rFonts w:ascii="Times New Roman" w:eastAsia="Times New Roman" w:hAnsi="Times New Roman" w:cs="Times New Roman"/>
          <w:sz w:val="24"/>
          <w:szCs w:val="24"/>
        </w:rPr>
        <w:t xml:space="preserve">Given the non-normality of the scales, we chose a maximum likelihood estimator with robust standard errors. </w:t>
      </w:r>
      <w:bookmarkStart w:id="53" w:name="_Hlk41313541"/>
    </w:p>
    <w:bookmarkEnd w:id="51"/>
    <w:bookmarkEnd w:id="53"/>
    <w:p w14:paraId="12D2FFA1" w14:textId="77777777" w:rsidR="00CF7751" w:rsidRPr="00CF7751" w:rsidRDefault="00CF7751" w:rsidP="00CF7751">
      <w:pPr>
        <w:tabs>
          <w:tab w:val="left" w:pos="875"/>
        </w:tabs>
        <w:autoSpaceDE w:val="0"/>
        <w:autoSpaceDN w:val="0"/>
        <w:adjustRightInd w:val="0"/>
        <w:spacing w:after="0" w:line="480" w:lineRule="auto"/>
        <w:ind w:firstLine="720"/>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To answer the first research question on the dyadic patterns of mother-reported and father-reported conflict resolution strategies, we applied the following steps. </w:t>
      </w:r>
      <w:bookmarkStart w:id="54" w:name="_Hlk41319333"/>
      <w:r w:rsidRPr="00CF7751">
        <w:rPr>
          <w:rFonts w:ascii="Times New Roman" w:eastAsia="Times New Roman" w:hAnsi="Times New Roman" w:cs="Times New Roman"/>
          <w:sz w:val="24"/>
          <w:szCs w:val="24"/>
        </w:rPr>
        <w:t xml:space="preserve">First, we estimated univariate Latent Growth Curve Models (LGCM,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{"citationID":"oWMR8TVv","properties":{"formattedCitation":"(Wang &amp; Wang, 2012)","plainCitation":"(Wang &amp; Wang, 2012)","noteIndex":0},"citationItems":[{"id":"jbQAzR7y/piqh4ARs","uris":["http://www.mendeley.com/documents/?uuid=0c8eefff-fefe-467f-9c02-3aedb00cb401"],"uri":["http://www.mendeley.com/documents/?uuid=0c8eefff-fefe-467f-9c02-3aedb00cb401"],"itemData":{"DOI":"10.1002/9781118356258","ISBN":"9781118356258","author":[{"dropping-particle":"","family":"Wang","given":"Jichuan","non-dropping-particle":"","parse-names":false,"suffix":""},{"dropping-particle":"","family":"Wang","given":"Xiaoqian","non-dropping-particle":"","parse-names":false,"suffix":""}],"id":"ITEM-1","issued":{"date-parts":[["2012","9","7"]]},"publisher":"John Wiley &amp; Sons, Ltd","publisher-place":"Chichester, UK","title":"Structural Equation Modeling","type":"book"}}],"schema":"https://github.com/citation-style-language/schema/raw/master/csl-citation.json"}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(Wang &amp; Wang, 2012)</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in </w:t>
      </w:r>
      <w:proofErr w:type="spellStart"/>
      <w:r w:rsidRPr="00CF7751">
        <w:rPr>
          <w:rFonts w:ascii="Times New Roman" w:eastAsia="Times New Roman" w:hAnsi="Times New Roman" w:cs="Times New Roman"/>
          <w:sz w:val="24"/>
          <w:szCs w:val="24"/>
        </w:rPr>
        <w:t>lavaan</w:t>
      </w:r>
      <w:proofErr w:type="spellEnd"/>
      <w:r w:rsidRPr="00CF7751">
        <w:rPr>
          <w:rFonts w:ascii="Times New Roman" w:eastAsia="Times New Roman" w:hAnsi="Times New Roman" w:cs="Times New Roman"/>
          <w:sz w:val="24"/>
          <w:szCs w:val="24"/>
        </w:rPr>
        <w:t xml:space="preserve">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{"citationID":"PeOPVnc6","properties":{"formattedCitation":"(Rosseel, 2012)","plainCitation":"(Rosseel, 2012)","noteIndex":0},"citationItems":[{"id":"jbQAzR7y/M97Fc97X","uris":["http://www.mendeley.com/documents/?uuid=f84d285b-c679-47d8-93eb-d6a3acf6e4a4"],"uri":["http://www.mendeley.com/documents/?uuid=f84d285b-c679-47d8-93eb-d6a3acf6e4a4"],"itemData":{"DOI":"10.18637/jss.v048.i02","ISSN":"1548-7660","author":[{"dropping-particle":"","family":"Rosseel","given":"Yves","non-dropping-particle":"","parse-names":false,"suffix":""}],"container-title":"Journal of Statistical Software","id":"ITEM-1","issue":"2","issued":{"date-parts":[["2012"]]},"page":"1-36","title":"lavaan : An R Package for Structural Equation Modeling","type":"article-journal","volume":"48"}}],"schema":"https://github.com/citation-style-language/schema/raw/master/csl-citation.json"}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w:t>
      </w:r>
      <w:proofErr w:type="spellStart"/>
      <w:r w:rsidRPr="00CF7751">
        <w:rPr>
          <w:rFonts w:ascii="Times New Roman" w:eastAsia="Calibri" w:hAnsi="Times New Roman" w:cs="Times New Roman"/>
          <w:sz w:val="24"/>
        </w:rPr>
        <w:t>Rosseel</w:t>
      </w:r>
      <w:proofErr w:type="spellEnd"/>
      <w:r w:rsidRPr="00CF7751">
        <w:rPr>
          <w:rFonts w:ascii="Times New Roman" w:eastAsia="Calibri" w:hAnsi="Times New Roman" w:cs="Times New Roman"/>
          <w:sz w:val="24"/>
        </w:rPr>
        <w:t>, 2012)</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for each of the four subscales of the CRSI (Problem Solving, Conflict Engagement, Compliance, Withdrawal), and separately for mother and father reports (eight </w:t>
      </w:r>
      <w:r w:rsidRPr="00CF7751">
        <w:rPr>
          <w:rFonts w:ascii="Times New Roman" w:eastAsia="Times New Roman" w:hAnsi="Times New Roman" w:cs="Times New Roman"/>
          <w:sz w:val="24"/>
          <w:szCs w:val="24"/>
        </w:rPr>
        <w:lastRenderedPageBreak/>
        <w:t>LGCMs in total).</w:t>
      </w:r>
      <w:bookmarkStart w:id="55" w:name="_Hlk52901551"/>
      <w:r w:rsidRPr="00CF7751">
        <w:rPr>
          <w:rFonts w:ascii="Times New Roman" w:eastAsia="Times New Roman" w:hAnsi="Times New Roman" w:cs="Times New Roman"/>
          <w:sz w:val="24"/>
          <w:szCs w:val="24"/>
        </w:rPr>
        <w:t xml:space="preserve"> </w:t>
      </w:r>
      <w:bookmarkStart w:id="56" w:name="_Hlk52901624"/>
      <w:r w:rsidRPr="00CF7751">
        <w:rPr>
          <w:rFonts w:ascii="Times New Roman" w:eastAsia="Times New Roman" w:hAnsi="Times New Roman" w:cs="Times New Roman"/>
          <w:sz w:val="24"/>
          <w:szCs w:val="24"/>
        </w:rPr>
        <w:t xml:space="preserve">Conducting univariate LGCMs is a recommended first step before applying Latent Class Growth Analysis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{"citationID":"xwxzbqx9","properties":{"formattedCitation":"(Jung &amp; Wickrama, 2008)","plainCitation":"(Jung &amp; Wickrama, 2008)","noteIndex":0},"citationItems":[{"id":"jbQAzR7y/KslL1HqR","uris":["http://www.mendeley.com/documents/?uuid=4caf5e2b-b9cc-4d87-8834-4c7ec67eede4"],"uri":["http://www.mendeley.com/documents/?uuid=4caf5e2b-b9cc-4d87-8834-4c7ec67eede4"],"itemData":{"DOI":"10.1111/j.1751-9004.2007.00054.x","ISSN":"1751-9004","author":[{"dropping-particle":"","family":"Jung","given":"Tony","non-dropping-particle":"","parse-names":false,"suffix":""},{"dropping-particle":"","family":"Wickrama","given":"K A S","non-dropping-particle":"","parse-names":false,"suffix":""}],"container-title":"Social and Personality Psychology Compass","id":"ITEM-1","issue":"1","issued":{"date-parts":[["2008","1"]]},"page":"302-317","publisher":"Wiley Online Library","title":"An Introduction to Latent Class Growth Analysis and Growth Mixture Modeling","type":"article-journal","volume":"2"}}],"schema":"https://github.com/citation-style-language/schema/raw/master/csl-citation.json"}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(Jung &amp; Wickrama, 2008)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w:t>
      </w:r>
      <w:bookmarkEnd w:id="56"/>
      <w:r w:rsidRPr="00CF7751">
        <w:rPr>
          <w:rFonts w:ascii="Times New Roman" w:eastAsia="Times New Roman" w:hAnsi="Times New Roman" w:cs="Times New Roman"/>
          <w:sz w:val="24"/>
          <w:szCs w:val="24"/>
        </w:rPr>
        <w:t xml:space="preserve"> </w:t>
      </w:r>
      <w:bookmarkEnd w:id="54"/>
      <w:bookmarkEnd w:id="55"/>
      <w:r w:rsidRPr="00CF7751">
        <w:rPr>
          <w:rFonts w:ascii="Times New Roman" w:eastAsia="Times New Roman" w:hAnsi="Times New Roman" w:cs="Times New Roman"/>
          <w:sz w:val="24"/>
          <w:szCs w:val="24"/>
        </w:rPr>
        <w:t xml:space="preserve">For each LGCM, we examined whether linear, quadratic, or cubic slopes fit the data best, based on model fit indices. </w:t>
      </w:r>
      <w:bookmarkStart w:id="57" w:name="_Hlk41318979"/>
      <w:r w:rsidRPr="00CF7751">
        <w:rPr>
          <w:rFonts w:ascii="Times New Roman" w:eastAsia="Times New Roman" w:hAnsi="Times New Roman" w:cs="Times New Roman"/>
          <w:sz w:val="24"/>
          <w:szCs w:val="24"/>
        </w:rPr>
        <w:t xml:space="preserve">Model fit was deemed good based on the following thresholds: CFI &gt; .95, TLI &gt; .95, RMSEA &lt; .08, SRMR &lt; .08, </w:t>
      </w:r>
      <w:bookmarkStart w:id="58" w:name="_Hlk42001981"/>
      <w:r w:rsidRPr="00CF7751">
        <w:rPr>
          <w:rFonts w:ascii="Times New Roman" w:eastAsia="Times New Roman" w:hAnsi="Times New Roman" w:cs="Times New Roman"/>
          <w:sz w:val="24"/>
          <w:szCs w:val="24"/>
        </w:rPr>
        <w:t xml:space="preserve">as well as based on a comparatively lower BIC </w:t>
      </w:r>
      <w:bookmarkEnd w:id="58"/>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{"citationID":"XUxWnkVL","properties":{"formattedCitation":"(T. D. Little, 2013)","plainCitation":"(T. D. Little, 2013)","noteIndex":0},"citationItems":[{"id":"jbQAzR7y/euzRsMuo","uris":["http://www.mendeley.com/documents/?uuid=b33a248e-e2bc-4838-946a-438fc9e45952"],"uri":["http://www.mendeley.com/documents/?uuid=b33a248e-e2bc-4838-946a-438fc9e45952"],"itemData":{"ISBN":"1462510272","author":[{"dropping-particle":"","family":"Little","given":"T. D.","non-dropping-particle":"","parse-names":false,"suffix":""}],"id":"ITEM-1","issued":{"date-parts":[["2013"]]},"publisher":"Guilford press","publisher-place":"New York, NY","title":"Longitudinal structural equation modeling","type":"book"}}],"schema":"https://github.com/citation-style-language/schema/raw/master/csl-citation.json"}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(Little, 2013)</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bookmarkStart w:id="59" w:name="_Hlk9284898"/>
      <w:bookmarkEnd w:id="57"/>
      <w:r w:rsidRPr="00CF7751">
        <w:rPr>
          <w:rFonts w:ascii="Times New Roman" w:eastAsia="Times New Roman" w:hAnsi="Times New Roman" w:cs="Times New Roman"/>
          <w:sz w:val="24"/>
          <w:szCs w:val="24"/>
        </w:rPr>
        <w:t xml:space="preserve">Second, we applied Latent Class Growth Analyses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{"citationID":"xd0bJpGS","properties":{"formattedCitation":"(Nagin, 2005)","plainCitation":"(Nagin, 2005)","noteIndex":0},"citationItems":[{"id":"jbQAzR7y/JfeeE0Hw","uris":["http://www.mendeley.com/documents/?uuid=9b23b694-3539-41aa-97b2-2c5acc541d73"],"uri":["http://www.mendeley.com/documents/?uuid=9b23b694-3539-41aa-97b2-2c5acc541d73"],"itemData":{"ISBN":"0-674-01686-6","author":[{"dropping-particle":"","family":"Nagin","given":"Daniel S.","non-dropping-particle":"","parse-names":false,"suffix":""}],"id":"ITEM-1","issued":{"date-parts":[["2005"]]},"publisher":"Harvard University Press","publisher-place":"Cambridge, MA","title":"Group-based modeling of development","type":"book"}}],"schema":"https://github.com/citation-style-language/schema/raw/master/csl-citation.json"}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(Nagin, 2005)</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in </w:t>
      </w:r>
      <w:proofErr w:type="spellStart"/>
      <w:r w:rsidRPr="00CF7751">
        <w:rPr>
          <w:rFonts w:ascii="Times New Roman" w:eastAsia="Times New Roman" w:hAnsi="Times New Roman" w:cs="Times New Roman"/>
          <w:sz w:val="24"/>
          <w:szCs w:val="24"/>
        </w:rPr>
        <w:t>M</w:t>
      </w:r>
      <w:r w:rsidRPr="00CF7751">
        <w:rPr>
          <w:rFonts w:ascii="Times New Roman" w:eastAsia="Times New Roman" w:hAnsi="Times New Roman" w:cs="Times New Roman"/>
          <w:i/>
          <w:iCs/>
          <w:sz w:val="24"/>
          <w:szCs w:val="24"/>
        </w:rPr>
        <w:t>plus</w:t>
      </w:r>
      <w:proofErr w:type="spellEnd"/>
      <w:r w:rsidRPr="00CF7751">
        <w:rPr>
          <w:rFonts w:ascii="Times New Roman" w:eastAsia="Times New Roman" w:hAnsi="Times New Roman" w:cs="Times New Roman"/>
          <w:sz w:val="24"/>
          <w:szCs w:val="24"/>
        </w:rPr>
        <w:t xml:space="preserve"> 8.2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{"citationID":"5qWmh7J4","properties":{"formattedCitation":"(Muth\\uc0\\u233{}n &amp; Muth\\uc0\\u233{}n, 2018)","plainCitation":"(Muthén &amp; Muthén, 2018)","noteIndex":0},"citationItems":[{"id":"jbQAzR7y/8JAgmc86","uris":["http://www.mendeley.com/documents/?uuid=250c4f43-3cda-45b0-ab74-1a029b86e687"],"uri":["http://www.mendeley.com/documents/?uuid=250c4f43-3cda-45b0-ab74-1a029b86e687"],"itemData":{"author":[{"dropping-particle":"","family":"Muthén","given":"Bengt","non-dropping-particle":"","parse-names":false,"suffix":""},{"dropping-particle":"","family":"Muthén","given":"Linda","non-dropping-particle":"","parse-names":false,"suffix":""}],"id":"ITEM-1","issued":{"date-parts":[["2018"]]},"publisher-place":"Los Angeles, CA: Muthén &amp; Muthén","title":"Mplus 8.2","type":"article"}}],"schema":"https://github.com/citation-style-language/schema/raw/master/csl-citation.json"}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szCs w:val="24"/>
        </w:rPr>
        <w:t>(</w:t>
      </w:r>
      <w:proofErr w:type="spellStart"/>
      <w:r w:rsidRPr="00CF7751">
        <w:rPr>
          <w:rFonts w:ascii="Times New Roman" w:eastAsia="Calibri" w:hAnsi="Times New Roman" w:cs="Times New Roman"/>
          <w:sz w:val="24"/>
          <w:szCs w:val="24"/>
        </w:rPr>
        <w:t>Muthén</w:t>
      </w:r>
      <w:proofErr w:type="spellEnd"/>
      <w:r w:rsidRPr="00CF7751">
        <w:rPr>
          <w:rFonts w:ascii="Times New Roman" w:eastAsia="Calibri" w:hAnsi="Times New Roman" w:cs="Times New Roman"/>
          <w:sz w:val="24"/>
          <w:szCs w:val="24"/>
        </w:rPr>
        <w:t xml:space="preserve"> &amp; Muthén,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to explore the dyadic patterns of mother- and father-reported conflict resolution strategies, across time</w:t>
      </w:r>
      <w:bookmarkStart w:id="60" w:name="_Hlk41319396"/>
      <w:r w:rsidRPr="00CF7751">
        <w:rPr>
          <w:rFonts w:ascii="Times New Roman" w:eastAsia="Times New Roman" w:hAnsi="Times New Roman" w:cs="Times New Roman"/>
          <w:sz w:val="24"/>
          <w:szCs w:val="24"/>
        </w:rPr>
        <w:t xml:space="preserve">. </w:t>
      </w:r>
    </w:p>
    <w:p w14:paraId="43A57D42" w14:textId="77777777" w:rsidR="00CF7751" w:rsidRPr="00CF7751" w:rsidRDefault="00CF7751" w:rsidP="00CF7751">
      <w:pPr>
        <w:tabs>
          <w:tab w:val="left" w:pos="875"/>
        </w:tabs>
        <w:autoSpaceDE w:val="0"/>
        <w:autoSpaceDN w:val="0"/>
        <w:adjustRightInd w:val="0"/>
        <w:spacing w:after="0" w:line="480" w:lineRule="auto"/>
        <w:ind w:firstLine="720"/>
        <w:rPr>
          <w:rFonts w:ascii="Times New Roman" w:eastAsia="Times New Roman" w:hAnsi="Times New Roman" w:cs="Times New Roman"/>
          <w:sz w:val="24"/>
          <w:szCs w:val="24"/>
        </w:rPr>
      </w:pPr>
      <w:bookmarkStart w:id="61" w:name="_Hlk52792979"/>
      <w:bookmarkEnd w:id="60"/>
      <w:r w:rsidRPr="00CF7751">
        <w:rPr>
          <w:rFonts w:ascii="Times New Roman" w:eastAsia="Times New Roman" w:hAnsi="Times New Roman" w:cs="Times New Roman"/>
          <w:sz w:val="24"/>
          <w:szCs w:val="24"/>
        </w:rPr>
        <w:t xml:space="preserve">To answer the second research question regarding whether the short-term daily dynamics of within-family conflict intensity vary by between-family differences in the long-term dyadic patterns of marital conflict resolution strategies we proceeded in the following three steps. </w:t>
      </w:r>
      <w:bookmarkStart w:id="62" w:name="_Hlk62204357"/>
      <w:r w:rsidRPr="00CF7751">
        <w:rPr>
          <w:rFonts w:ascii="Times New Roman" w:eastAsia="Times New Roman" w:hAnsi="Times New Roman" w:cs="Times New Roman"/>
          <w:sz w:val="24"/>
          <w:szCs w:val="24"/>
        </w:rPr>
        <w:t xml:space="preserve">First, as a preliminary step, we tested for measurement invariance of the daily diaries a) across days within years separately for each year, and b) across weeks for all five years simultaneously. </w:t>
      </w:r>
      <w:bookmarkEnd w:id="59"/>
      <w:bookmarkEnd w:id="61"/>
      <w:r w:rsidRPr="00CF7751">
        <w:rPr>
          <w:rFonts w:ascii="Times New Roman" w:eastAsia="Times New Roman" w:hAnsi="Times New Roman" w:cs="Times New Roman"/>
          <w:sz w:val="24"/>
          <w:szCs w:val="24"/>
        </w:rPr>
        <w:t>Specifically, using a series of CFAs, we applied increasingly stricter models to test for configural, metric, and scalar invariance; these levels correspond to equality of factor structure, item factor loadings, and item intercepts (</w:t>
      </w:r>
      <w:r w:rsidRPr="00CF7751">
        <w:rPr>
          <w:rFonts w:ascii="Times New Roman" w:eastAsia="Times New Roman" w:hAnsi="Times New Roman" w:cs="Times New Roman"/>
          <w:sz w:val="24"/>
          <w:szCs w:val="24"/>
        </w:rPr>
        <w:fldChar w:fldCharType="begin"/>
      </w:r>
      <w:r w:rsidRPr="00CF7751">
        <w:rPr>
          <w:rFonts w:ascii="Times New Roman" w:eastAsia="Times New Roman" w:hAnsi="Times New Roman" w:cs="Times New Roman"/>
          <w:sz w:val="24"/>
          <w:szCs w:val="24"/>
        </w:rPr>
        <w:instrText xml:space="preserve"> ADDIN ZOTERO_ITEM CSL_CITATION {"citationID":"ofWaSBAw","properties":{"formattedCitation":"(van de Schoot et al., 2012b)","plainCitation":"(van de Schoot et al., 2012b)","noteIndex":0},"citationItems":[{"id":1526,"uris":["http://zotero.org/users/7128733/items/5TIPASR5"],"uri":["http://zotero.org/users/7128733/items/5TIPASR5"],"itemData":{"id":1526,"type":"article-journal","container-title":"European Journal of Developmental Psychology","DOI":"10.1080/17405629.2012.686740","ISSN":"1740-5629","issue":"4","note":"publisher: Taylor &amp; Francis\nCitation Key: VandeSchoot2012a","page":"486-492","title":"A checklist for testing measurement invariance","volume":"9","author":[{"family":"Schoot","given":"Rens","non-dropping-particle":"van de"},{"family":"Lugtig","given":"Peter"},{"family":"Hox","given":"Joop"}],"issued":{"date-parts":[["2012",7]]}}}],"schema":"https://github.com/citation-style-language/schema/raw/master/csl-citation.json"}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van de Schoot et al., 2012)</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In the first set of these analyses, we treated weekdays as items of a construct; in the second set we treated weeks as items of a construct. </w:t>
      </w:r>
      <w:bookmarkStart w:id="63" w:name="_Hlk62204521"/>
      <w:r w:rsidRPr="00CF7751">
        <w:rPr>
          <w:rFonts w:ascii="Times New Roman" w:eastAsia="Times New Roman" w:hAnsi="Times New Roman" w:cs="Times New Roman"/>
          <w:sz w:val="24"/>
          <w:szCs w:val="24"/>
        </w:rPr>
        <w:t xml:space="preserve">For example, we tested whether a) the factor loadings and item intercepts of Monday, Tuesday, […] and Friday in week 1, in year 1, were the same as the factor loadings and item intercepts of, respectively, Monday, Tuesday, […] and Friday in weeks 2 and 3 of the same year; and b) the factor loadings and item intercepts of weeks 1-3, in year 1 were the same as the factor loadings and item intercepts of, respectively, weeks 1-3 in years 2-5. </w:t>
      </w:r>
      <w:bookmarkEnd w:id="62"/>
    </w:p>
    <w:bookmarkEnd w:id="63"/>
    <w:p w14:paraId="3EC3288A" w14:textId="77777777" w:rsidR="00CF7751" w:rsidRPr="00CF7751" w:rsidRDefault="00CF7751" w:rsidP="00CF7751">
      <w:pPr>
        <w:tabs>
          <w:tab w:val="left" w:pos="875"/>
        </w:tabs>
        <w:autoSpaceDE w:val="0"/>
        <w:autoSpaceDN w:val="0"/>
        <w:adjustRightInd w:val="0"/>
        <w:spacing w:after="0" w:line="480" w:lineRule="auto"/>
        <w:ind w:firstLine="720"/>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In the second step, we applied Dynamic Structural Equation Modeling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{"citationID":"shkjtIZT","properties":{"formattedCitation":"(Asparouhov et al., 2018)","plainCitation":"(Asparouhov et al., 2018)","noteIndex":0},"citationItems":[{"id":"jbQAzR7y/muykRTCs","uris":["http://www.mendeley.com/documents/?uuid=08b0de53-c1e6-37c2-b3aa-920ca8c763b3"],"uri":["http://www.mendeley.com/documents/?uuid=08b0de53-c1e6-37c2-b3aa-920ca8c763b3"],"itemData":{"DOI":"10.1080/10705511.2017.1406803","ISSN":"1070-5511","abstract":"This article presents dynamic structural equation modeling (DSEM), which can be used to study the evolution of observed and latent variables as well as the structural equation models over time. DSEM is suitable for analyzing intensive longitudinal data where observations from multiple individuals are collected at many points in time. The modeling framework encompasses previously published DSEM models and is a comprehensive attempt to combine time-series modeling with structural equation modeling. DSEM is estimated with Bayesian methods using the Markov chain Monte Carlo Gibbs sampler and the Metropolis–Hastings sampler. We provide a detailed description of the estimation algorithm as implemented in the Mplus software package. DSEM can be used for longitudinal analysis of any duration and with any number of observations across time. Simulation studies are used to illustrate the framework and study the performance of the estimation method. Methods for evaluating model fit are also discussed.","author":[{"dropping-particle":"","family":"Asparouhov","given":"Tihomir","non-dropping-particle":"","parse-names":false,"suffix":""},{"dropping-particle":"","family":"Hamaker","given":"Ellen L.","non-dropping-particle":"","parse-names":false,"suffix":""},{"dropping-particle":"","family":"Muthén","given":"Bengt","non-dropping-particle":"","parse-names":false,"suffix":""}],"container-title":"Structural Equation Modeling: A Multidisciplinary Journal","id":"ITEM-1","issue":"3","issued":{"date-parts":[["2018","5","4"]]},"page":"359-388","publisher":"Routledge","title":"Dynamic Structural Equation Models","type":"article-journal","volume":"25"}}],"schema":"https://github.com/citation-style-language/schema/raw/master/csl-citation.json"}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(Asparouhov et al.,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to examine the day-to-day bidirectional effects between marital conflict intensity </w:t>
      </w:r>
      <w:r w:rsidRPr="00CF7751">
        <w:rPr>
          <w:rFonts w:ascii="Times New Roman" w:eastAsia="Times New Roman" w:hAnsi="Times New Roman" w:cs="Times New Roman"/>
          <w:sz w:val="24"/>
          <w:szCs w:val="24"/>
        </w:rPr>
        <w:lastRenderedPageBreak/>
        <w:t xml:space="preserve">and </w:t>
      </w:r>
      <w:r w:rsidRPr="00CF7751">
        <w:rPr>
          <w:rFonts w:ascii="Times New Roman" w:eastAsia="Calibri" w:hAnsi="Times New Roman" w:cs="Times New Roman"/>
          <w:sz w:val="24"/>
          <w:szCs w:val="24"/>
        </w:rPr>
        <w:t>mother</w:t>
      </w:r>
      <w:r w:rsidRPr="00CF7751">
        <w:rPr>
          <w:rFonts w:ascii="Times New Roman" w:eastAsia="Times New Roman" w:hAnsi="Times New Roman" w:cs="Times New Roman"/>
          <w:sz w:val="24"/>
          <w:szCs w:val="24"/>
        </w:rPr>
        <w:t>-adolescent conflict intensity. DSEM is an innovative newly developed analytic technique that combines the advantages of three analytical frameworks: time-series, multilevel, and Structural Equation Models (</w:t>
      </w:r>
      <w:proofErr w:type="spellStart"/>
      <w:r w:rsidRPr="00CF7751">
        <w:rPr>
          <w:rFonts w:ascii="Times New Roman" w:eastAsia="Times New Roman" w:hAnsi="Times New Roman" w:cs="Times New Roman"/>
          <w:sz w:val="24"/>
          <w:szCs w:val="24"/>
        </w:rPr>
        <w:t>McNeish</w:t>
      </w:r>
      <w:proofErr w:type="spellEnd"/>
      <w:r w:rsidRPr="00CF7751">
        <w:rPr>
          <w:rFonts w:ascii="Times New Roman" w:eastAsia="Times New Roman" w:hAnsi="Times New Roman" w:cs="Times New Roman"/>
          <w:sz w:val="24"/>
          <w:szCs w:val="24"/>
        </w:rPr>
        <w:t xml:space="preserve"> &amp; </w:t>
      </w:r>
      <w:proofErr w:type="spellStart"/>
      <w:r w:rsidRPr="00CF7751">
        <w:rPr>
          <w:rFonts w:ascii="Times New Roman" w:eastAsia="Times New Roman" w:hAnsi="Times New Roman" w:cs="Times New Roman"/>
          <w:sz w:val="24"/>
          <w:szCs w:val="24"/>
        </w:rPr>
        <w:t>Hamaker</w:t>
      </w:r>
      <w:proofErr w:type="spellEnd"/>
      <w:r w:rsidRPr="00CF7751">
        <w:rPr>
          <w:rFonts w:ascii="Times New Roman" w:eastAsia="Times New Roman" w:hAnsi="Times New Roman" w:cs="Times New Roman"/>
          <w:sz w:val="24"/>
          <w:szCs w:val="24"/>
        </w:rPr>
        <w:t xml:space="preserve">, 2020). It offers the possibility of simultaneously modeling intensive longitudinal data (like in time series) of multiple individuals (like in multilevel modeling) and of several possible predictor, mediator, and outcome (latent) variables (like in Structural Equation Modeling). </w:t>
      </w:r>
      <w:bookmarkStart w:id="64" w:name="_Hlk34407162"/>
      <w:bookmarkStart w:id="65" w:name="_Hlk32929019"/>
      <w:bookmarkStart w:id="66" w:name="_Hlk30673233"/>
      <w:r w:rsidRPr="00CF7751">
        <w:rPr>
          <w:rFonts w:ascii="Times New Roman" w:eastAsia="Times New Roman" w:hAnsi="Times New Roman" w:cs="Times New Roman"/>
          <w:sz w:val="24"/>
          <w:szCs w:val="24"/>
        </w:rPr>
        <w:t>In this study, the time-series part was specified as an AR(1) process. However, we manually entered a 10-day gap between weeks, forcing the autoregressive parameter to reach zero, thereby accounting for the fact that not all days were consecutive</w:t>
      </w:r>
      <w:bookmarkEnd w:id="64"/>
      <w:r w:rsidRPr="00CF7751">
        <w:rPr>
          <w:rFonts w:ascii="Times New Roman" w:eastAsia="Times New Roman" w:hAnsi="Times New Roman" w:cs="Times New Roman"/>
          <w:sz w:val="24"/>
          <w:szCs w:val="24"/>
        </w:rPr>
        <w:t xml:space="preserve">. </w:t>
      </w:r>
      <w:bookmarkEnd w:id="65"/>
      <w:bookmarkEnd w:id="66"/>
      <w:r w:rsidRPr="00CF7751">
        <w:rPr>
          <w:rFonts w:ascii="Times New Roman" w:eastAsia="Times New Roman" w:hAnsi="Times New Roman" w:cs="Times New Roman"/>
          <w:sz w:val="24"/>
          <w:szCs w:val="24"/>
        </w:rPr>
        <w:t xml:space="preserve">The multilevel part of DSEM consisted of estimating family-specific (random) within-family effects. The SEM part consisted of the possibility to simultaneously model two variables and their bidirectional effects, while taking measurement error into account. The factor scores of this analysis represented the family-specific bidirectional effects among daily mother-father and mother-adolescent conflict and could be positive, negative, or null. These factor scores were saved to be used in the final step. </w:t>
      </w:r>
    </w:p>
    <w:p w14:paraId="5FF70E9F" w14:textId="77777777" w:rsidR="00CF7751" w:rsidRPr="00CF7751" w:rsidRDefault="00CF7751" w:rsidP="00CF7751">
      <w:pPr>
        <w:tabs>
          <w:tab w:val="left" w:pos="875"/>
        </w:tabs>
        <w:autoSpaceDE w:val="0"/>
        <w:autoSpaceDN w:val="0"/>
        <w:adjustRightInd w:val="0"/>
        <w:spacing w:after="0" w:line="480" w:lineRule="auto"/>
        <w:ind w:firstLine="720"/>
        <w:rPr>
          <w:rFonts w:ascii="Times New Roman" w:eastAsia="Times New Roman" w:hAnsi="Times New Roman" w:cs="Times New Roman"/>
          <w:b/>
          <w:sz w:val="24"/>
          <w:szCs w:val="24"/>
        </w:rPr>
      </w:pPr>
      <w:r w:rsidRPr="00CF7751">
        <w:rPr>
          <w:rFonts w:ascii="Times New Roman" w:eastAsia="Times New Roman" w:hAnsi="Times New Roman" w:cs="Times New Roman"/>
          <w:sz w:val="24"/>
          <w:szCs w:val="24"/>
        </w:rPr>
        <w:t xml:space="preserve">In the third step, we used the saved scores from DSEM as outcomes in a final run of LCGA, to examine the effect of the conflict resolution patterns on the factor scores. We re-ran the best fitting LCGA (from research question 1), but this time applying the </w:t>
      </w:r>
      <w:proofErr w:type="spellStart"/>
      <w:r w:rsidRPr="00CF7751">
        <w:rPr>
          <w:rFonts w:ascii="Times New Roman" w:eastAsia="Times New Roman" w:hAnsi="Times New Roman" w:cs="Times New Roman"/>
          <w:sz w:val="24"/>
          <w:szCs w:val="24"/>
        </w:rPr>
        <w:t>Bolck</w:t>
      </w:r>
      <w:proofErr w:type="spellEnd"/>
      <w:r w:rsidRPr="00CF7751">
        <w:rPr>
          <w:rFonts w:ascii="Times New Roman" w:eastAsia="Times New Roman" w:hAnsi="Times New Roman" w:cs="Times New Roman"/>
          <w:sz w:val="24"/>
          <w:szCs w:val="24"/>
        </w:rPr>
        <w:t xml:space="preserve">-Croon-Hagenaars (BCH) procedure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{"citationID":"Di7Cwxlp","properties":{"formattedCitation":"(Bakk &amp; Vermunt, 2016)","plainCitation":"(Bakk &amp; Vermunt, 2016)","noteIndex":0},"citationItems":[{"id":"jbQAzR7y/h0jXJ5eO","uris":["http://www.mendeley.com/documents/?uuid=c291f5d7-64da-46de-8024-3e7c3c395dbb"],"uri":["http://www.mendeley.com/documents/?uuid=c291f5d7-64da-46de-8024-3e7c3c395dbb"],"itemData":{"DOI":"10.1080/10705511.2014.955104","ISSN":"1070-5511","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approach.","author":[{"dropping-particle":"","family":"Bakk","given":"Zsuzsa","non-dropping-particle":"","parse-names":false,"suffix":""},{"dropping-particle":"","family":"Vermunt","given":"Jeroen K.","non-dropping-particle":"","parse-names":false,"suffix":""}],"container-title":"Structural Equation Modeling: A Multidisciplinary Journal","id":"ITEM-1","issue":"1","issued":{"date-parts":[["2016","1","2"]]},"page":"20-31","title":"Robustness of Stepwise Latent Class Modeling With Continuous Distal Outcomes","type":"article-journal","volume":"23"}}],"schema":"https://github.com/citation-style-language/schema/raw/master/csl-citation.json"}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Calibri" w:hAnsi="Times New Roman" w:cs="Times New Roman"/>
          <w:sz w:val="24"/>
        </w:rPr>
        <w:t xml:space="preserve">(Bakk &amp; </w:t>
      </w:r>
      <w:proofErr w:type="spellStart"/>
      <w:r w:rsidRPr="00CF7751">
        <w:rPr>
          <w:rFonts w:ascii="Times New Roman" w:eastAsia="Calibri" w:hAnsi="Times New Roman" w:cs="Times New Roman"/>
          <w:sz w:val="24"/>
        </w:rPr>
        <w:t>Vermunt</w:t>
      </w:r>
      <w:proofErr w:type="spellEnd"/>
      <w:r w:rsidRPr="00CF7751">
        <w:rPr>
          <w:rFonts w:ascii="Times New Roman" w:eastAsia="Calibri" w:hAnsi="Times New Roman" w:cs="Times New Roman"/>
          <w:sz w:val="24"/>
        </w:rPr>
        <w:t>, 2016)</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in </w:t>
      </w:r>
      <w:proofErr w:type="spellStart"/>
      <w:r w:rsidRPr="00CF7751">
        <w:rPr>
          <w:rFonts w:ascii="Times New Roman" w:eastAsia="Times New Roman" w:hAnsi="Times New Roman" w:cs="Times New Roman"/>
          <w:sz w:val="24"/>
          <w:szCs w:val="24"/>
        </w:rPr>
        <w:t>M</w:t>
      </w:r>
      <w:r w:rsidRPr="00CF7751">
        <w:rPr>
          <w:rFonts w:ascii="Times New Roman" w:eastAsia="Times New Roman" w:hAnsi="Times New Roman" w:cs="Times New Roman"/>
          <w:i/>
          <w:iCs/>
          <w:sz w:val="24"/>
          <w:szCs w:val="24"/>
        </w:rPr>
        <w:t>plus</w:t>
      </w:r>
      <w:proofErr w:type="spellEnd"/>
      <w:r w:rsidRPr="00CF7751">
        <w:rPr>
          <w:rFonts w:ascii="Times New Roman" w:eastAsia="Times New Roman" w:hAnsi="Times New Roman" w:cs="Times New Roman"/>
          <w:sz w:val="24"/>
          <w:szCs w:val="24"/>
        </w:rPr>
        <w:t xml:space="preserve"> 8.2. This procedure allows the estimation of LCGA with distal continuous outcomes of the latent classes. </w:t>
      </w:r>
      <w:bookmarkStart w:id="67" w:name="_Hlk32918619"/>
      <w:r w:rsidRPr="00CF7751">
        <w:rPr>
          <w:rFonts w:ascii="Times New Roman" w:eastAsia="Times New Roman" w:hAnsi="Times New Roman" w:cs="Times New Roman"/>
          <w:sz w:val="24"/>
          <w:szCs w:val="24"/>
        </w:rPr>
        <w:t xml:space="preserve">In other words, this technique estimates the latent classes as predictors of distal outcomes (in this case, daily conflict and day-to-day cross-lagged effects). </w:t>
      </w:r>
      <w:bookmarkEnd w:id="67"/>
      <w:r w:rsidRPr="00CF7751">
        <w:rPr>
          <w:rFonts w:ascii="Times New Roman" w:eastAsia="Times New Roman" w:hAnsi="Times New Roman" w:cs="Times New Roman"/>
          <w:sz w:val="24"/>
          <w:szCs w:val="24"/>
        </w:rPr>
        <w:t xml:space="preserve">In addition, we used the option TYPE = COMPLEX in </w:t>
      </w:r>
      <w:proofErr w:type="spellStart"/>
      <w:r w:rsidRPr="00CF7751">
        <w:rPr>
          <w:rFonts w:ascii="Times New Roman" w:eastAsia="Times New Roman" w:hAnsi="Times New Roman" w:cs="Times New Roman"/>
          <w:sz w:val="24"/>
          <w:szCs w:val="24"/>
        </w:rPr>
        <w:t>M</w:t>
      </w:r>
      <w:r w:rsidRPr="00CF7751">
        <w:rPr>
          <w:rFonts w:ascii="Times New Roman" w:eastAsia="Times New Roman" w:hAnsi="Times New Roman" w:cs="Times New Roman"/>
          <w:i/>
          <w:iCs/>
          <w:sz w:val="24"/>
          <w:szCs w:val="24"/>
        </w:rPr>
        <w:t>plus</w:t>
      </w:r>
      <w:proofErr w:type="spellEnd"/>
      <w:r w:rsidRPr="00CF7751">
        <w:rPr>
          <w:rFonts w:ascii="Times New Roman" w:eastAsia="Times New Roman" w:hAnsi="Times New Roman" w:cs="Times New Roman"/>
          <w:sz w:val="24"/>
          <w:szCs w:val="24"/>
        </w:rPr>
        <w:t xml:space="preserve"> in this step to account for the interdependence among dyads in the same family. </w:t>
      </w:r>
    </w:p>
    <w:p w14:paraId="23F8D775"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p>
    <w:p w14:paraId="1C6E7A59"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p>
    <w:p w14:paraId="55586FD0"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p>
    <w:p w14:paraId="3CC66357"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r w:rsidRPr="00CF7751">
        <w:rPr>
          <w:rFonts w:ascii="Times New Roman" w:eastAsia="Times New Roman" w:hAnsi="Times New Roman" w:cs="Times New Roman"/>
          <w:b/>
          <w:sz w:val="24"/>
          <w:szCs w:val="24"/>
        </w:rPr>
        <w:t>Results</w:t>
      </w:r>
    </w:p>
    <w:p w14:paraId="21DDE636"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Descriptive Statistics</w:t>
      </w:r>
    </w:p>
    <w:p w14:paraId="58D564C8"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Table S1 (in the Supplementary Material) provides the means, standard deviations, and bivariate correlations of the mother-reported and father-reported CRSI scales across the five waves.</w:t>
      </w:r>
    </w:p>
    <w:p w14:paraId="0D882B38"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Factor Structure and Longitudinal Measurement Invariance of the CRSI</w:t>
      </w:r>
    </w:p>
    <w:p w14:paraId="3BEEBFA9"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Calibri" w:hAnsi="Times New Roman" w:cs="Times New Roman"/>
          <w:b/>
          <w:sz w:val="24"/>
          <w:szCs w:val="24"/>
        </w:rPr>
      </w:pPr>
      <w:bookmarkStart w:id="68" w:name="_Hlk9267277"/>
      <w:r w:rsidRPr="00CF7751">
        <w:rPr>
          <w:rFonts w:ascii="Times New Roman" w:eastAsia="Times New Roman" w:hAnsi="Times New Roman" w:cs="Times New Roman"/>
          <w:sz w:val="24"/>
          <w:szCs w:val="24"/>
        </w:rPr>
        <w:t>Table S2 presents the results of the CFAs and the longitudinal measurement invariance analyses of the CRSI. The factor structure of the CRSI was acceptable based on both mother and father reports, across time points (CFI: .916-.954; TLI: .901-.946; RMSEA: .049-.066; SRMR: .047-.058</w:t>
      </w:r>
      <w:bookmarkStart w:id="69" w:name="_Hlk41320532"/>
      <w:r w:rsidRPr="00CF7751">
        <w:rPr>
          <w:rFonts w:ascii="Times New Roman" w:eastAsia="Times New Roman" w:hAnsi="Times New Roman" w:cs="Times New Roman"/>
          <w:sz w:val="24"/>
          <w:szCs w:val="24"/>
        </w:rPr>
        <w:t>; see Table S2 for more details</w:t>
      </w:r>
      <w:bookmarkEnd w:id="69"/>
      <w:r w:rsidRPr="00CF7751">
        <w:rPr>
          <w:rFonts w:ascii="Times New Roman" w:eastAsia="Times New Roman" w:hAnsi="Times New Roman" w:cs="Times New Roman"/>
          <w:sz w:val="24"/>
          <w:szCs w:val="24"/>
        </w:rPr>
        <w:t>). Furthermore, the longitudinal measurement invariance analyses supported the configural, metric, and scalar models for both the mother- and the father-reported CRSI (</w:t>
      </w:r>
      <w:r w:rsidRPr="00CF7751">
        <w:rPr>
          <w:rFonts w:ascii="Times New Roman" w:eastAsia="Times New Roman" w:hAnsi="Times New Roman" w:cs="Times New Roman"/>
          <w:i/>
          <w:iCs/>
          <w:sz w:val="24"/>
          <w:szCs w:val="24"/>
          <w:lang w:val="el-GR"/>
        </w:rPr>
        <w:t>Δ</w:t>
      </w:r>
      <w:r w:rsidRPr="00CF7751">
        <w:rPr>
          <w:rFonts w:ascii="Times New Roman" w:eastAsia="Times New Roman" w:hAnsi="Times New Roman" w:cs="Times New Roman"/>
          <w:sz w:val="24"/>
          <w:szCs w:val="24"/>
        </w:rPr>
        <w:t xml:space="preserve">CFI: .000 - -.002; </w:t>
      </w:r>
      <w:r w:rsidRPr="00CF7751">
        <w:rPr>
          <w:rFonts w:ascii="Times New Roman" w:eastAsia="Times New Roman" w:hAnsi="Times New Roman" w:cs="Times New Roman"/>
          <w:i/>
          <w:iCs/>
          <w:sz w:val="24"/>
          <w:szCs w:val="24"/>
          <w:lang w:val="el-GR"/>
        </w:rPr>
        <w:t>Δ</w:t>
      </w:r>
      <w:r w:rsidRPr="00CF7751">
        <w:rPr>
          <w:rFonts w:ascii="Times New Roman" w:eastAsia="Times New Roman" w:hAnsi="Times New Roman" w:cs="Times New Roman"/>
          <w:sz w:val="24"/>
          <w:szCs w:val="24"/>
        </w:rPr>
        <w:t xml:space="preserve">TLI: .000 - -.001; </w:t>
      </w:r>
      <w:r w:rsidRPr="00CF7751">
        <w:rPr>
          <w:rFonts w:ascii="Times New Roman" w:eastAsia="Times New Roman" w:hAnsi="Times New Roman" w:cs="Times New Roman"/>
          <w:i/>
          <w:iCs/>
          <w:sz w:val="24"/>
          <w:szCs w:val="24"/>
          <w:lang w:val="el-GR"/>
        </w:rPr>
        <w:t>Δ</w:t>
      </w:r>
      <w:r w:rsidRPr="00CF7751">
        <w:rPr>
          <w:rFonts w:ascii="Times New Roman" w:eastAsia="Times New Roman" w:hAnsi="Times New Roman" w:cs="Times New Roman"/>
          <w:sz w:val="24"/>
          <w:szCs w:val="24"/>
        </w:rPr>
        <w:t xml:space="preserve">RMSEA: .000; </w:t>
      </w:r>
      <w:r w:rsidRPr="00CF7751">
        <w:rPr>
          <w:rFonts w:ascii="Times New Roman" w:eastAsia="Times New Roman" w:hAnsi="Times New Roman" w:cs="Times New Roman"/>
          <w:i/>
          <w:iCs/>
          <w:sz w:val="24"/>
          <w:szCs w:val="24"/>
          <w:lang w:val="el-GR"/>
        </w:rPr>
        <w:t>Δ</w:t>
      </w:r>
      <w:r w:rsidRPr="00CF7751">
        <w:rPr>
          <w:rFonts w:ascii="Times New Roman" w:eastAsia="Times New Roman" w:hAnsi="Times New Roman" w:cs="Times New Roman"/>
          <w:sz w:val="24"/>
          <w:szCs w:val="24"/>
        </w:rPr>
        <w:t>SRMR: .000-.003, for pairwise model comparisons; see Table S2 for more details). These three forms of invariance indicate equality of factor structure, factor loadings, and item intercepts, respectively, for the mother- and father-reported forms of the CRSI. Therefore, the use of the mother- and father-reported CRSI in the next analytic steps is warranted.</w:t>
      </w:r>
      <w:bookmarkEnd w:id="68"/>
    </w:p>
    <w:p w14:paraId="513B98B3"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Dyadic Patterns of Marital Conflict Resolution Strategies</w:t>
      </w:r>
    </w:p>
    <w:p w14:paraId="765DF0DA"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Table S3 presents the results of the LGCMs for the mother- and the father-reported CRSI scales. Based on fit indices (CFI, RMSEA, SRMR), linear slopes fit most of the subscales best, with two exceptions. For the mother reports, Conflict Engagement and Compliance were best represented by cubic slopes, compared to linear and quadratic slopes. </w:t>
      </w:r>
    </w:p>
    <w:p w14:paraId="0CEDD5A2"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Table S4 presents the fit indices of the LCGAs with different number of classes. Figures S1-S6 (in the Supplementary Material) present the means of the four CRSI scales for </w:t>
      </w:r>
      <w:r w:rsidRPr="00CF7751">
        <w:rPr>
          <w:rFonts w:ascii="Times New Roman" w:eastAsia="Times New Roman" w:hAnsi="Times New Roman" w:cs="Times New Roman"/>
          <w:sz w:val="24"/>
          <w:szCs w:val="24"/>
        </w:rPr>
        <w:lastRenderedPageBreak/>
        <w:t>mothers and fathers in the different classes. Based on the fit indices (Table S4) and the interpretability of the classes (Figures S1-S6), we chose a 4-class solution for the configurations of the CRSI, for mothers and fathers. In the solutions beyond the 4-class, the new classes were only variations of already existing classes in the 4-class solution.</w:t>
      </w:r>
    </w:p>
    <w:p w14:paraId="1B2953D6"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70" w:name="_Hlk32857471"/>
      <w:r w:rsidRPr="00CF7751">
        <w:rPr>
          <w:rFonts w:ascii="Times New Roman" w:eastAsia="Times New Roman" w:hAnsi="Times New Roman" w:cs="Times New Roman"/>
          <w:sz w:val="24"/>
          <w:szCs w:val="24"/>
        </w:rPr>
        <w:t xml:space="preserve">Table 1 presents the means and confidence intervals of the growth parameters (intercepts and slopes) of the four CRSI scales across the four classes, for mothers and fathers separately, whereas Figure S7 graphically presents the scores of mothers and fathers in each group, along with the sample grand mean, to aid interpretation. </w:t>
      </w:r>
      <w:bookmarkStart w:id="71" w:name="_Hlk28946740"/>
      <w:r w:rsidRPr="00CF7751">
        <w:rPr>
          <w:rFonts w:ascii="Times New Roman" w:eastAsia="Times New Roman" w:hAnsi="Times New Roman" w:cs="Times New Roman"/>
          <w:sz w:val="24"/>
          <w:szCs w:val="24"/>
        </w:rPr>
        <w:t xml:space="preserve">The groups did not differ significantly on the rates of change of the conflict management strategies; only intercept differences emerged (Table 1). </w:t>
      </w:r>
      <w:bookmarkStart w:id="72" w:name="_Hlk34407342"/>
      <w:r w:rsidRPr="00CF7751">
        <w:rPr>
          <w:rFonts w:ascii="Times New Roman" w:eastAsia="Times New Roman" w:hAnsi="Times New Roman" w:cs="Times New Roman"/>
          <w:sz w:val="24"/>
          <w:szCs w:val="24"/>
        </w:rPr>
        <w:t xml:space="preserve">Based on these means, we labeled the classes “Couple Constructive” (class #1, </w:t>
      </w:r>
      <w:r w:rsidRPr="00CF7751">
        <w:rPr>
          <w:rFonts w:ascii="Times New Roman" w:eastAsia="Times New Roman" w:hAnsi="Times New Roman" w:cs="Times New Roman"/>
          <w:i/>
          <w:iCs/>
          <w:sz w:val="24"/>
          <w:szCs w:val="24"/>
        </w:rPr>
        <w:t>n</w:t>
      </w:r>
      <w:r w:rsidRPr="00CF7751">
        <w:rPr>
          <w:rFonts w:ascii="Times New Roman" w:eastAsia="Times New Roman" w:hAnsi="Times New Roman" w:cs="Times New Roman"/>
          <w:sz w:val="24"/>
          <w:szCs w:val="24"/>
        </w:rPr>
        <w:t xml:space="preserve"> = 132), “Couple Destructive” (class #2, </w:t>
      </w:r>
      <w:r w:rsidRPr="00CF7751">
        <w:rPr>
          <w:rFonts w:ascii="Times New Roman" w:eastAsia="Times New Roman" w:hAnsi="Times New Roman" w:cs="Times New Roman"/>
          <w:i/>
          <w:iCs/>
          <w:sz w:val="24"/>
          <w:szCs w:val="24"/>
        </w:rPr>
        <w:t>n</w:t>
      </w:r>
      <w:r w:rsidRPr="00CF7751">
        <w:rPr>
          <w:rFonts w:ascii="Times New Roman" w:eastAsia="Times New Roman" w:hAnsi="Times New Roman" w:cs="Times New Roman"/>
          <w:sz w:val="24"/>
          <w:szCs w:val="24"/>
        </w:rPr>
        <w:t xml:space="preserve"> = 53), “Father Constructive - Mother Average” (class #3, </w:t>
      </w:r>
      <w:r w:rsidRPr="00CF7751">
        <w:rPr>
          <w:rFonts w:ascii="Times New Roman" w:eastAsia="Times New Roman" w:hAnsi="Times New Roman" w:cs="Times New Roman"/>
          <w:i/>
          <w:iCs/>
          <w:sz w:val="24"/>
          <w:szCs w:val="24"/>
        </w:rPr>
        <w:t xml:space="preserve">n </w:t>
      </w:r>
      <w:r w:rsidRPr="00CF7751">
        <w:rPr>
          <w:rFonts w:ascii="Times New Roman" w:eastAsia="Times New Roman" w:hAnsi="Times New Roman" w:cs="Times New Roman"/>
          <w:sz w:val="24"/>
          <w:szCs w:val="24"/>
        </w:rPr>
        <w:t xml:space="preserve">= 141), and “Mother Constructive - Father Submissive” (class #4, </w:t>
      </w:r>
      <w:r w:rsidRPr="00CF7751">
        <w:rPr>
          <w:rFonts w:ascii="Times New Roman" w:eastAsia="Times New Roman" w:hAnsi="Times New Roman" w:cs="Times New Roman"/>
          <w:i/>
          <w:iCs/>
          <w:sz w:val="24"/>
          <w:szCs w:val="24"/>
        </w:rPr>
        <w:t>n</w:t>
      </w:r>
      <w:r w:rsidRPr="00CF7751">
        <w:rPr>
          <w:rFonts w:ascii="Times New Roman" w:eastAsia="Times New Roman" w:hAnsi="Times New Roman" w:cs="Times New Roman"/>
          <w:sz w:val="24"/>
          <w:szCs w:val="24"/>
        </w:rPr>
        <w:t xml:space="preserve"> = 91). </w:t>
      </w:r>
      <w:bookmarkEnd w:id="71"/>
      <w:bookmarkEnd w:id="72"/>
      <w:r w:rsidRPr="00CF7751">
        <w:rPr>
          <w:rFonts w:ascii="Times New Roman" w:eastAsia="Times New Roman" w:hAnsi="Times New Roman" w:cs="Times New Roman"/>
          <w:sz w:val="24"/>
          <w:szCs w:val="24"/>
        </w:rPr>
        <w:t xml:space="preserve">Mothers and fathers in the “Couple Constructive” class generally showed the highest scores on Problem Solving, and the lowest scores on Conflict Engagement, Compliance, and Withdrawal. In contrast, mothers and fathers in the “Couple Destructive” class had low Problem Solving, and high destructive conflict. In the “Mother Constructive - Father Submissive” class, mothers showed more constructive and less destructive conflict (except for Conflict Engagement) than the sample grand mean, while fathers showed more Withdrawal and Compliance than the sample grand mean, and average Conflict Engagement. Finally, in the “Father Constructive – Mother Average” class, fathers had the same profile as fathers in the “Couple Constructive” class, that is, high Problem Solving, and low destructive conflict, whereas mothers scored average on all scales, with lower constructive and higher destructive conflict scores compared to fathers. </w:t>
      </w:r>
      <w:bookmarkEnd w:id="70"/>
    </w:p>
    <w:p w14:paraId="1B82041F"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Day-to-Day Dynamics of Marital Conflict and Mother-Adolescent Conflict</w:t>
      </w:r>
    </w:p>
    <w:p w14:paraId="65E4E8C2"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73" w:name="_Hlk52947804"/>
      <w:bookmarkStart w:id="74" w:name="_Hlk32920036"/>
      <w:r w:rsidRPr="00CF7751">
        <w:rPr>
          <w:rFonts w:ascii="Times New Roman" w:eastAsia="Times New Roman" w:hAnsi="Times New Roman" w:cs="Times New Roman"/>
          <w:sz w:val="24"/>
          <w:szCs w:val="24"/>
        </w:rPr>
        <w:lastRenderedPageBreak/>
        <w:t xml:space="preserve">Tables S5 and S6 present the results of the measurement invariance of the daily diaries of conflict. </w:t>
      </w:r>
      <w:bookmarkEnd w:id="73"/>
      <w:r w:rsidRPr="00CF7751">
        <w:rPr>
          <w:rFonts w:ascii="Times New Roman" w:eastAsia="Times New Roman" w:hAnsi="Times New Roman" w:cs="Times New Roman"/>
          <w:sz w:val="24"/>
          <w:szCs w:val="24"/>
        </w:rPr>
        <w:t>Table S7 presents the results of the DSEM analyses, while Figure S8 shows a graphical representation of DSEM as applied in this study</w:t>
      </w:r>
      <w:bookmarkEnd w:id="74"/>
      <w:r w:rsidRPr="00CF7751">
        <w:rPr>
          <w:rFonts w:ascii="Times New Roman" w:eastAsia="Times New Roman" w:hAnsi="Times New Roman" w:cs="Times New Roman"/>
          <w:sz w:val="24"/>
          <w:szCs w:val="24"/>
        </w:rPr>
        <w:t>. The between-family correlation of marital conflict with mother-adolescent conflict was positive, significant, and strong (</w:t>
      </w:r>
      <w:r w:rsidRPr="00CF7751">
        <w:rPr>
          <w:rFonts w:ascii="Times New Roman" w:eastAsia="Times New Roman" w:hAnsi="Times New Roman" w:cs="Times New Roman"/>
          <w:i/>
          <w:iCs/>
          <w:sz w:val="24"/>
          <w:szCs w:val="24"/>
        </w:rPr>
        <w:t>r</w:t>
      </w:r>
      <w:r w:rsidRPr="00CF7751">
        <w:rPr>
          <w:rFonts w:ascii="Times New Roman" w:eastAsia="Times New Roman" w:hAnsi="Times New Roman" w:cs="Times New Roman"/>
          <w:sz w:val="24"/>
          <w:szCs w:val="24"/>
        </w:rPr>
        <w:t xml:space="preserve"> = .68), indicating that families with higher marital conflict, compared to other families, also had higher mother-adolescent conflicts. The within-family within-day correlation of marital conflict and mother-adolescent conflict was positive and significant, but weak (</w:t>
      </w:r>
      <w:r w:rsidRPr="00CF7751">
        <w:rPr>
          <w:rFonts w:ascii="Times New Roman" w:eastAsia="Times New Roman" w:hAnsi="Times New Roman" w:cs="Times New Roman"/>
          <w:i/>
          <w:iCs/>
          <w:sz w:val="24"/>
          <w:szCs w:val="24"/>
        </w:rPr>
        <w:t>r</w:t>
      </w:r>
      <w:r w:rsidRPr="00CF7751">
        <w:rPr>
          <w:rFonts w:ascii="Times New Roman" w:eastAsia="Times New Roman" w:hAnsi="Times New Roman" w:cs="Times New Roman"/>
          <w:sz w:val="24"/>
          <w:szCs w:val="24"/>
        </w:rPr>
        <w:t xml:space="preserve"> = .18), indicating that days with higher marital conflict intensity tended to also be days with higher mother-adolescent conflict intensity. </w:t>
      </w:r>
    </w:p>
    <w:p w14:paraId="19C24FF7"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Furthermore, the day-to-day autoregressive stability of marital conflict was positive, significant, but weak (</w:t>
      </w:r>
      <w:r w:rsidRPr="00CF7751">
        <w:rPr>
          <w:rFonts w:ascii="Times New Roman" w:eastAsia="Times New Roman" w:hAnsi="Times New Roman" w:cs="Times New Roman"/>
          <w:i/>
          <w:iCs/>
          <w:sz w:val="24"/>
          <w:szCs w:val="24"/>
        </w:rPr>
        <w:t>r</w:t>
      </w:r>
      <w:r w:rsidRPr="00CF7751">
        <w:rPr>
          <w:rFonts w:ascii="Times New Roman" w:eastAsia="Times New Roman" w:hAnsi="Times New Roman" w:cs="Times New Roman"/>
          <w:sz w:val="24"/>
          <w:szCs w:val="24"/>
        </w:rPr>
        <w:t xml:space="preserve"> = .17), indicating a weak carry-over effect within the dyad. That is, on average, days with high marital conflict relative to the family’s own mean tended to also be followed by days with relatively high marital conflict; a similar carry-over effect was also found for mother-adolescent conflict (</w:t>
      </w:r>
      <w:r w:rsidRPr="00CF7751">
        <w:rPr>
          <w:rFonts w:ascii="Times New Roman" w:eastAsia="Times New Roman" w:hAnsi="Times New Roman" w:cs="Times New Roman"/>
          <w:i/>
          <w:iCs/>
          <w:sz w:val="24"/>
          <w:szCs w:val="24"/>
        </w:rPr>
        <w:t>r</w:t>
      </w:r>
      <w:r w:rsidRPr="00CF7751">
        <w:rPr>
          <w:rFonts w:ascii="Times New Roman" w:eastAsia="Times New Roman" w:hAnsi="Times New Roman" w:cs="Times New Roman"/>
          <w:sz w:val="24"/>
          <w:szCs w:val="24"/>
        </w:rPr>
        <w:t xml:space="preserve"> = .16).</w:t>
      </w:r>
    </w:p>
    <w:p w14:paraId="4E828960"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On average, no significant day-to-day cross-lagged effects were found between marital conflict and mother-adolescent conflict. That is, the occurrence of mother-adolescent conflict on a certain day was unrelated to the intensity of marital conflict that occurred the day before, and vice versa. However, there were significant variances of the two cross-lagged effects. These variances indicate significant differences between families in the day-to-day cross-lagged effects between marital conflict and mother-adolescent conflict, implying that some families might show a spillover pattern, others a compensatory pattern, and yet others might show a compartmentalization pattern. Figure 1 and Figure S9 present the histograms of the two cross-lagged effects – from marital to mother-adolescent, and vice versa. Most families were characterized by null effects, supporting the compartmentalization hypothesis, but sizeable subgroups emerged with negative (compensatory) and positive (spillover) effects </w:t>
      </w:r>
      <w:r w:rsidRPr="00CF7751">
        <w:rPr>
          <w:rFonts w:ascii="Times New Roman" w:eastAsia="Times New Roman" w:hAnsi="Times New Roman" w:cs="Times New Roman"/>
          <w:sz w:val="24"/>
          <w:szCs w:val="24"/>
        </w:rPr>
        <w:lastRenderedPageBreak/>
        <w:t xml:space="preserve">(Figure 1 and Figure S9). To make these histograms, we used the 95% credible intervals of the cross-lagged effects to group families in those with significant negative cross-lagged effects (in which the 97.5% credible interval was negative), null effects (in which the credible intervals included zero), and significant positive effects (in which the 2.5% credible interval was positive). </w:t>
      </w:r>
    </w:p>
    <w:p w14:paraId="00DD0F21"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Differences Between Dyadic Marital Conflict Patterns in the Day-to-Day Dynamics of Conflict</w:t>
      </w:r>
    </w:p>
    <w:p w14:paraId="3B9A2401"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Finally, Table 2 presents the mean comparisons among the four marital conflict resolution patterns in the average levels of daily marital conflict, daily mother-adolescent conflict, as well as the average day-to-day cross-lagged effects of marital conflict on next-day mother-adolescent conflict, and vice versa. In addition, Table 2 presents the global, between-family, bivariate correlations between marital conflict intensity and mother-adolescent conflict intensity, separately for each dyadic marital conflict pattern. Significant mean differences emerged in the levels of both daily marital and daily mother-adolescent conflict intensity, but almost no significant differences among classes were found in the day-to-day cross-lagged effects, and in the between-family bivariate correlations. Daily marital conflict was the highest in the Couple Destructive group, and the lowest in the Couple Constructive group, with the Mother Constructive-Father Submissive and the Father Constructive-Mother Average groups falling in-between. Similarly, mother-adolescent dyads in families of the Couple Constructive class reported the lowest level of daily mother-adolescent conflict intensity, with mother-adolescent dyads in families of the other three classes not differing significantly among each other. Mean differences in the day-to-day cross-lagged effects across groups were non-significant. Even though the mean of the day-to-day effect of mother-adolescent conflict on next-day marital conflict (“reverse spillover”) was higher in the Couple </w:t>
      </w:r>
      <w:r w:rsidRPr="00CF7751">
        <w:rPr>
          <w:rFonts w:ascii="Times New Roman" w:eastAsia="Times New Roman" w:hAnsi="Times New Roman" w:cs="Times New Roman"/>
          <w:sz w:val="24"/>
          <w:szCs w:val="24"/>
        </w:rPr>
        <w:lastRenderedPageBreak/>
        <w:t xml:space="preserve">Constructive class compared to the Father Constructive-Mother Average class, the effect was null in both classes, therefore this mean difference is rather spurious. </w:t>
      </w:r>
    </w:p>
    <w:p w14:paraId="23640AFD"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p>
    <w:p w14:paraId="50065BEF"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p>
    <w:p w14:paraId="1F01B95E"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r w:rsidRPr="00CF7751">
        <w:rPr>
          <w:rFonts w:ascii="Times New Roman" w:eastAsia="Times New Roman" w:hAnsi="Times New Roman" w:cs="Times New Roman"/>
          <w:b/>
          <w:sz w:val="24"/>
          <w:szCs w:val="24"/>
        </w:rPr>
        <w:t>Discussion</w:t>
      </w:r>
    </w:p>
    <w:p w14:paraId="203100F3"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Families differ in whether and how strongly daily marital conflict intensity influences mother-adolescent conflict intensity. Given the leading role of the marital dyad in the family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{"citationID":"pz5XXgsV","properties":{"formattedCitation":"(Fosco et al., 2014)","plainCitation":"(Fosco et al., 2014)","noteIndex":0},"citationItems":[{"id":"jbQAzR7y/IJAavGzN","uris":["http://www.mendeley.com/documents/?uuid=9a3e73d9-ecc0-44ba-90ca-2ab9e2577a4f"],"uri":["http://www.mendeley.com/documents/?uuid=9a3e73d9-ecc0-44ba-90ca-2ab9e2577a4f"],"itemData":{"DOI":"10.1037/cfp0000025","ISSN":"2160-410X","abstract":"This study tests interparental boundary problems (IBPs), parent hostility with adolescents, and adolescent hostility with parents within a reciprocal influence model and tests each as risk factors for adolescent aggression problems. Prospective, longitudinal analyses were conducted with multiinformant data from 768 adolescents and their families, from 6th to 9th grade. Guided by spillover and social learning perspectives, our findings suggest that IBPs have a robust, negative influence on both parent and adolescent hostility. In turn, adolescent hostility was the best predictor of global adolescent aggression problems. Two indirect effects were found that link IBPs and adolescent aggression problems; however, findings indicate that adolescent hostile behavior in the family is the key risk indicator for adolescents’ later aggression problems. Model invariance tests revealed that this model was not different for boys and girls, or for adolescents in families with 2 biological parents and youth in families with 2 caregivers (e.g., stepparent families). (PsycINFO Database Record (c) 2014 APA, all rights reserved). (journal abstract)","author":[{"dropping-particle":"","family":"Fosco","given":"Gregory M.","non-dropping-particle":"","parse-names":false,"suffix":""},{"dropping-particle":"","family":"Lippold","given":"Melissa","non-dropping-particle":"","parse-names":false,"suffix":""},{"dropping-particle":"","family":"Feinberg","given":"Mark E.","non-dropping-particle":"","parse-names":false,"suffix":""}],"container-title":"Couple and Family Psychology: Research and Practice","id":"ITEM-1","issue":"3","issued":{"date-parts":[["2014"]]},"page":"141-155","title":"Interparental boundary problems, parent–adolescent hostility, and adolescent–parent hostility: A family process model for adolescent aggression problems.","type":"article-journal","volume":"3"}}],"schema":"https://github.com/citation-style-language/schema/raw/master/csl-citation.json"}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(Fosco et al., 2014)</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such between-family differences in the daily dynamics of conflict transmission might be attributed to the dyadic patterns of marital conflict resolution. </w:t>
      </w:r>
      <w:bookmarkStart w:id="75" w:name="_Hlk42007444"/>
      <w:r w:rsidRPr="00CF7751">
        <w:rPr>
          <w:rFonts w:ascii="Times New Roman" w:eastAsia="Times New Roman" w:hAnsi="Times New Roman" w:cs="Times New Roman"/>
          <w:sz w:val="24"/>
          <w:szCs w:val="24"/>
        </w:rPr>
        <w:t xml:space="preserve">In the present study, we examined whether the dyadic patterns of marital conflict resolution moderate the day-to-day cross-lagged effects from marital conflict intensity to mother-adolescent conflict intensity. </w:t>
      </w:r>
      <w:bookmarkStart w:id="76" w:name="_Hlk42011026"/>
      <w:r w:rsidRPr="00CF7751">
        <w:rPr>
          <w:rFonts w:ascii="Times New Roman" w:eastAsia="Times New Roman" w:hAnsi="Times New Roman" w:cs="Times New Roman"/>
          <w:sz w:val="24"/>
          <w:szCs w:val="24"/>
        </w:rPr>
        <w:t xml:space="preserve">Moreover, because </w:t>
      </w:r>
      <w:bookmarkStart w:id="77" w:name="_Hlk42003084"/>
      <w:r w:rsidRPr="00CF7751">
        <w:rPr>
          <w:rFonts w:ascii="Times New Roman" w:eastAsia="Times New Roman" w:hAnsi="Times New Roman" w:cs="Times New Roman"/>
          <w:sz w:val="24"/>
          <w:szCs w:val="24"/>
        </w:rPr>
        <w:t xml:space="preserve">of the interdependency among the family dyads, and given that </w:t>
      </w:r>
      <w:r w:rsidRPr="00CF7751">
        <w:rPr>
          <w:rFonts w:ascii="Times New Roman" w:eastAsia="Times New Roman" w:hAnsi="Times New Roman" w:cs="Times New Roman"/>
          <w:noProof/>
          <w:sz w:val="24"/>
          <w:szCs w:val="24"/>
        </w:rPr>
        <w:t xml:space="preserve">parent-adolescent conflict can bear a toll on the marital relationship </w:t>
      </w:r>
      <w:r w:rsidRPr="00CF7751">
        <w:rPr>
          <w:rFonts w:ascii="Times New Roman" w:eastAsia="Times New Roman" w:hAnsi="Times New Roman" w:cs="Times New Roman"/>
          <w:noProof/>
          <w:sz w:val="24"/>
          <w:szCs w:val="24"/>
        </w:rPr>
        <w:fldChar w:fldCharType="begin" w:fldLock="1"/>
      </w:r>
      <w:r w:rsidRPr="00CF7751">
        <w:rPr>
          <w:rFonts w:ascii="Times New Roman" w:eastAsia="Times New Roman" w:hAnsi="Times New Roman" w:cs="Times New Roman"/>
          <w:noProof/>
          <w:sz w:val="24"/>
          <w:szCs w:val="24"/>
        </w:rPr>
        <w:instrText xml:space="preserve"> ADDIN ZOTERO_ITEM CSL_CITATION {"citationID":"ei3bpxRh","properties":{"formattedCitation":"(Mastrotheodoros et al., 2019a)","plainCitation":"(Mastrotheodoros et al., 2019a)","noteIndex":0},"citationItems":[{"id":"jbQAzR7y/ioD3W1N3","uris":["http://www.mendeley.com/documents/?uuid=2a4611cd-2f4d-4e8b-89d0-4a6131b67a6d"],"uri":["http://www.mendeley.com/documents/?uuid=2a4611cd-2f4d-4e8b-89d0-4a6131b67a6d"],"itemData":{"DOI":"10.1111/jomf.12528","ISSN":"00222445","abstract":"Objective: This study investigates the longitudinal , cross-lagged associations among inter-parental conflict management strategies and the parent-adolescent relationship. Background: The following three main hypotheses explain how interparental conflict affects parent-adolescent relationship: the spillover, the compensatory, and the compartmentaliza-tion hypotheses. A common key aspect of these hypotheses is the focus on changes within a family; they hypothesize what happens within a family when interparental conflict shakes the family's equilibrium. Although extant research supported the spillover hypothesis, this key aspect was often ignored, and conclusions were based on comparing families with each other. This study investigated how interparental conflict is longitudinally associated with the quality of the parent-child relationship, controlling for stable between-family differences. Method: Data consisted of six waves of an ongoing study with 497 Dutch adolescents (M = 13.03, 43.1% girls), their mothers, and their fathers. Parents reported on conflict strategies ; parents and adolescents reported on parental support, parent-adolescent negative interaction, and parental behavioral control. Random-intercept cross-lagged panel models were applied. Results: Most associations were found at the between-person level: Destructive conflict was related to poor parent-adolescent relationships. Few within-person associations were found: Changes in destructive conflict only were associated positively with changes in father-adolescent negative interaction. Conclusions: Associations between inter-parental conflict and the parent-adolescent relationship are mostly due to stable between-family Journal of Marriage and Family (2018) 1","author":[{"dropping-particle":"","family":"Mastrotheodoros","given":"Stefanos","non-dropping-particle":"","parse-names":false,"suffix":""},{"dropping-particle":"","family":"Graaff","given":"Jolien","non-dropping-particle":"Van der","parse-names":false,"suffix":""},{"dropping-particle":"","family":"Deković","given":"Maja","non-dropping-particle":"","parse-names":false,"suffix":""},{"dropping-particle":"","family":"Meeus","given":"Wim H. J.","non-dropping-particle":"","parse-names":false,"suffix":""},{"dropping-particle":"","family":"Branje","given":"Susan J. T.","non-dropping-particle":"","parse-names":false,"suffix":""}],"container-title":"Journal of Marriage and Family","id":"ITEM-1","issue":"1","issued":{"date-parts":[["2019","2"]]},"page":"185-203","publisher":"Wiley Online Library","title":"Interparental Conflict Management Strategies and Parent-Adolescent Relationships: Disentangling Between-Person From Within-Person Effects Across Adolescence","type":"article-journal","volume":"81"}}],"schema":"https://github.com/citation-style-language/schema/raw/master/csl-citation.json"} </w:instrText>
      </w:r>
      <w:r w:rsidRPr="00CF7751">
        <w:rPr>
          <w:rFonts w:ascii="Times New Roman" w:eastAsia="Times New Roman" w:hAnsi="Times New Roman" w:cs="Times New Roman"/>
          <w:noProof/>
          <w:sz w:val="24"/>
          <w:szCs w:val="24"/>
        </w:rPr>
        <w:fldChar w:fldCharType="separate"/>
      </w:r>
      <w:r w:rsidRPr="00CF7751">
        <w:rPr>
          <w:rFonts w:ascii="Times New Roman" w:eastAsia="Times New Roman" w:hAnsi="Times New Roman" w:cs="Times New Roman"/>
          <w:sz w:val="24"/>
          <w:szCs w:val="24"/>
        </w:rPr>
        <w:t>(Mastrotheodoros et al., 2019a)</w:t>
      </w:r>
      <w:r w:rsidRPr="00CF7751">
        <w:rPr>
          <w:rFonts w:ascii="Times New Roman" w:eastAsia="Times New Roman" w:hAnsi="Times New Roman" w:cs="Times New Roman"/>
          <w:noProof/>
          <w:sz w:val="24"/>
          <w:szCs w:val="24"/>
        </w:rPr>
        <w:fldChar w:fldCharType="end"/>
      </w:r>
      <w:r w:rsidRPr="00CF7751">
        <w:rPr>
          <w:rFonts w:ascii="Times New Roman" w:eastAsia="Times New Roman" w:hAnsi="Times New Roman" w:cs="Times New Roman"/>
          <w:noProof/>
          <w:sz w:val="24"/>
          <w:szCs w:val="24"/>
        </w:rPr>
        <w:t xml:space="preserve">, causing marital stress </w:t>
      </w:r>
      <w:r w:rsidRPr="00CF7751">
        <w:rPr>
          <w:rFonts w:ascii="Times New Roman" w:eastAsia="Times New Roman" w:hAnsi="Times New Roman" w:cs="Times New Roman"/>
          <w:noProof/>
          <w:sz w:val="24"/>
          <w:szCs w:val="24"/>
        </w:rPr>
        <w:fldChar w:fldCharType="begin" w:fldLock="1"/>
      </w:r>
      <w:r w:rsidRPr="00CF7751">
        <w:rPr>
          <w:rFonts w:ascii="Times New Roman" w:eastAsia="Times New Roman" w:hAnsi="Times New Roman" w:cs="Times New Roman"/>
          <w:noProof/>
          <w:sz w:val="24"/>
          <w:szCs w:val="24"/>
        </w:rPr>
        <w:instrText xml:space="preserve"> ADDIN ZOTERO_ITEM CSL_CITATION {"citationID":"lYFntz6w","properties":{"formattedCitation":"(van Eldik et al., 2017)","plainCitation":"(van Eldik et al., 2017)","noteIndex":0},"citationItems":[{"id":"jbQAzR7y/YOkPQfKa","uris":["http://www.mendeley.com/documents/?uuid=4ba69966-3898-3401-893e-c114b2266bb8"],"uri":["http://www.mendeley.com/documents/?uuid=4ba69966-3898-3401-893e-c114b2266bb8"],"itemData":{"DOI":"10.1037/fam0000282","ISSN":"1939-1293","abstract":"Objective: This study investigates the longitudinal , cross-lagged associations among inter-parental conflict management strategies and the parent-adolescent relationship. Background: The following three main hypotheses explain how interparental conflict affects parent-adolescent relationship: the spillover, the compensatory, and the compartmentaliza-tion hypotheses. A common key aspect of these hypotheses is the focus on changes within a family; they hypothesize what happens within a family when interparental conflict shakes the family's equilibrium. Although extant research supported the spillover hypothesis, this key aspect was often ignored, and conclusions were based on comparing families with each other. This study investigated how interparental conflict is longitudinally associated with the quality of the parent-child relationship, controlling for stable between-family differences. Method: Data consisted of six waves of an ongoing study with 497 Dutch adolescents (M = 13.03, 43.1% girls), their mothers, and their fathers. Parents reported on conflict strategies ; parents and adolescents reported on parental support, parent-adolescent negative interaction, and parental behavioral control. Random-intercept cross-lagged panel models were applied. Results: Most associations were found at the between-person level: Destructive conflict was related to poor parent-adolescent relationships. Few within-person associations were found: Changes in destructive conflict only were associated positively with changes in father-adolescent negative interaction. Conclusions: Associations between inter-parental conflict and the parent-adolescent relationship are mostly due to stable between-family Journal of Marriage and Family (2018) 1","author":[{"dropping-particle":"","family":"Eldik","given":"Willemijn M.","non-dropping-particle":"van","parse-names":false,"suffix":""},{"dropping-particle":"","family":"Prinzie","given":"Peter","non-dropping-particle":"","parse-names":false,"suffix":""},{"dropping-particle":"","family":"Deković","given":"Maja","non-dropping-particle":"","parse-names":false,"suffix":""},{"dropping-particle":"","family":"Haan","given":"Amaranta D.","non-dropping-particle":"de","parse-names":false,"suffix":""}],"container-title":"Journal of Family Psychology","id":"ITEM-1","issue":"4","issued":{"date-parts":[["2017"]]},"page":"420-430","title":"Longitudinal associations between marital stress and externalizing behavior: Does parental sense of competence mediate processes?","type":"article-journal","volume":"31"}}],"schema":"https://github.com/citation-style-language/schema/raw/master/csl-citation.json"} </w:instrText>
      </w:r>
      <w:r w:rsidRPr="00CF7751">
        <w:rPr>
          <w:rFonts w:ascii="Times New Roman" w:eastAsia="Times New Roman" w:hAnsi="Times New Roman" w:cs="Times New Roman"/>
          <w:noProof/>
          <w:sz w:val="24"/>
          <w:szCs w:val="24"/>
        </w:rPr>
        <w:fldChar w:fldCharType="separate"/>
      </w:r>
      <w:r w:rsidRPr="00CF7751">
        <w:rPr>
          <w:rFonts w:ascii="Times New Roman" w:eastAsia="Times New Roman" w:hAnsi="Times New Roman" w:cs="Times New Roman"/>
          <w:sz w:val="24"/>
          <w:szCs w:val="24"/>
        </w:rPr>
        <w:t>(van Eldik et al., 2017)</w:t>
      </w:r>
      <w:r w:rsidRPr="00CF7751">
        <w:rPr>
          <w:rFonts w:ascii="Times New Roman" w:eastAsia="Times New Roman" w:hAnsi="Times New Roman" w:cs="Times New Roman"/>
          <w:noProof/>
          <w:sz w:val="24"/>
          <w:szCs w:val="24"/>
        </w:rPr>
        <w:fldChar w:fldCharType="end"/>
      </w:r>
      <w:r w:rsidRPr="00CF7751">
        <w:rPr>
          <w:rFonts w:ascii="Times New Roman" w:eastAsia="Times New Roman" w:hAnsi="Times New Roman" w:cs="Times New Roman"/>
          <w:noProof/>
          <w:sz w:val="24"/>
          <w:szCs w:val="24"/>
        </w:rPr>
        <w:t xml:space="preserve">, and precipitating marital conflict, we also tested the opposite direction of effects, </w:t>
      </w:r>
      <w:r w:rsidRPr="00CF7751">
        <w:rPr>
          <w:rFonts w:ascii="Times New Roman" w:eastAsia="Times New Roman" w:hAnsi="Times New Roman" w:cs="Times New Roman"/>
          <w:sz w:val="24"/>
          <w:szCs w:val="24"/>
        </w:rPr>
        <w:t>from daily mother-adolescent conflict intensity</w:t>
      </w:r>
      <w:r w:rsidRPr="00CF7751">
        <w:rPr>
          <w:rFonts w:ascii="Times New Roman" w:eastAsia="Times New Roman" w:hAnsi="Times New Roman" w:cs="Times New Roman"/>
          <w:noProof/>
          <w:sz w:val="24"/>
          <w:szCs w:val="24"/>
        </w:rPr>
        <w:t xml:space="preserve"> to marital conflict intenstiy. </w:t>
      </w:r>
      <w:bookmarkStart w:id="78" w:name="_Hlk62221467"/>
      <w:bookmarkEnd w:id="75"/>
      <w:bookmarkEnd w:id="76"/>
      <w:bookmarkEnd w:id="77"/>
      <w:r w:rsidRPr="00CF7751">
        <w:rPr>
          <w:rFonts w:ascii="Times New Roman" w:eastAsia="Times New Roman" w:hAnsi="Times New Roman" w:cs="Times New Roman"/>
          <w:noProof/>
          <w:sz w:val="24"/>
          <w:szCs w:val="24"/>
        </w:rPr>
        <w:t xml:space="preserve">Overall, we found significant heterogeneity across families in the within-family dynamics of daily conflict. For most families daily interparental conflict was unrelated to next-day mother-adolescent conflict (compartmentalization), yet for sizable subgroups of families, daily interparental conflict had enduring positive (spillover) or negative (compensation) effects on next-day mother-adolescent conflict. The opposite direction of effects (mother-child conflict affecting interparental conflict) was also mostly non-significant and the spillover and compensation patterns were much more rare. Finally, we found little or no evidence for moderation of the within-family daily dynamics of conflict intensity by the dyadic patterns of marital conflict resolution. </w:t>
      </w:r>
      <w:bookmarkEnd w:id="78"/>
    </w:p>
    <w:p w14:paraId="12FE2DCA"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lastRenderedPageBreak/>
        <w:t xml:space="preserve"> </w:t>
      </w:r>
      <w:bookmarkStart w:id="79" w:name="_Hlk34403423"/>
      <w:r w:rsidRPr="00CF7751">
        <w:rPr>
          <w:rFonts w:ascii="Times New Roman" w:eastAsia="Times New Roman" w:hAnsi="Times New Roman" w:cs="Times New Roman"/>
          <w:sz w:val="24"/>
          <w:szCs w:val="24"/>
        </w:rPr>
        <w:t xml:space="preserve">In accordance with our expectations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{"citationID":"D0EDhNtG","properties":{"formattedCitation":"(Birditt et al., 2010; Kopystynska et al., 2017; Whitton et al., 2018)","plainCitation":"(Birditt et al., 2010; Kopystynska et al., 2017; Whitton et al., 2018)","noteIndex":0},"citationItems":[{"id":"jbQAzR7y/hILvm1NM","uris":["http://www.mendeley.com/documents/?uuid=34a1482d-b4d0-4cbd-bf79-74b10a7b80f9"],"uri":["http://www.mendeley.com/documents/?uuid=34a1482d-b4d0-4cbd-bf79-74b10a7b80f9"],"itemData":{"DOI":"10.1111/j.1741-3737.2010.00758.x","ISSN":"00222445","abstract":"This study examined self-reported marital conflict behaviors and their implications for divorce. Husbands and wives (N = 373 couples; 47% White American, 53% Black American) reported conflict behaviors in years 1, 3, 7, and 16 of their marriages. Individual behaviors (e.g., destructive behaviors) and patterns of behaviors between partners (e.g., withdrawal-constructive) in Year 1 predicted higher divorce rates. Wives' destructive and withdrawal behaviors decreased over time, whereas husbands' conflict behaviors remained stable. Husbands reported more constructive and less destructive behaviors than wives and Black American couples reported more withdrawal than White American couples. Findings support behavioral theories of marriage demonstrating that conflict behaviors predict divorce and accommodation theories indicating that conflict behaviors become less negative over time.","author":[{"dropping-particle":"","family":"Birditt","given":"Kira S.","non-dropping-particle":"","parse-names":false,"suffix":""},{"dropping-particle":"","family":"Brown","given":"Edna","non-dropping-particle":"","parse-names":false,"suffix":""},{"dropping-particle":"","family":"Orbuch","given":"Terri L.","non-dropping-particle":"","parse-names":false,"suffix":""},{"dropping-particle":"","family":"McIlvane","given":"Jessica M.","non-dropping-particle":"","parse-names":false,"suffix":""}],"container-title":"Journal of Marriage and Family","id":"ITEM-1","issue":"5","issued":{"date-parts":[["2010","9","29"]]},"page":"1188-1204","title":"Marital Conflict Behaviors and Implications for Divorce Over 16 Years","type":"article-journal","volume":"72"}},{"id":"jbQAzR7y/oPZFMgGf","uris":["http://www.mendeley.com/documents/?uuid=36db73dc-2cea-4d0c-a131-6874ad0b01f4"],"uri":["http://www.mendeley.com/documents/?uuid=36db73dc-2cea-4d0c-a131-6874ad0b01f4"],"itemData":{"DOI":"10.1037/fam0000343","ISSN":"1939-1293","abstract":"© 2017 American Psychological Association. We examined the relations between interparental conflict (destructive and constructive), parenting behaviors (harshness and supportiveness) and children's emotional insecurity in early childhood when children were approximately 36 months of age. The sample consisted of low-income unmarried couples who were expectant/new parents who participated in the national Building Strong Families project. Interparental conflict was assessed through parents' reported perception of the other parent's conflict behavior. Parenting behaviors were measured through observational data, and children's emotional insecurity was based on parents' reports. Using latent profile analysis, three goals were addressed: (a) concordance or discord of mothers' and fathers' conflict behaviors, (b) the relation between couples' conflict behaviors and parenting, and (c) the association between couples' conflict behaviors and child emotional insecurity. Our findings revealed 4 profiles of couples that share similar characteristics, which in turn were differentially linked to aspects of parenting and child development. Further, results indicated that the vast majority of low-income unmarried couples engage in constructive conflict management behaviors. These findings highlight the need to consider the family unit when designing interventions or providing counseling.","author":[{"dropping-particle":"","family":"Kopystynska","given":"Olena","non-dropping-particle":"","parse-names":false,"suffix":""},{"dropping-particle":"","family":"Paschall","given":"Katherine W.","non-dropping-particle":"","parse-names":false,"suffix":""},{"dropping-particle":"","family":"Barnett","given":"Melissa A.","non-dropping-particle":"","parse-names":false,"suffix":""},{"dropping-particle":"","family":"Curran","given":"Melissa A.","non-dropping-particle":"","parse-names":false,"suffix":""}],"container-title":"Journal of Family Psychology","id":"ITEM-2","issue":"7","issued":{"date-parts":[["2017","10"]]},"page":"922-932","title":"Patterns of interparental conflict, parenting, and children’s emotional insecurity: A person-centered approach.","type":"article-journal","volume":"31"}},{"id":"jbQAzR7y/a6NABbsp","uris":["http://www.mendeley.com/documents/?uuid=1f05335e-80ea-41e4-ba32-e873535acc70"],"uri":["http://www.mendeley.com/documents/?uuid=1f05335e-80ea-41e4-ba32-e873535acc70"],"itemData":{"DOI":"10.1017/9781316417867.024","ISBN":"9781316417867","author":[{"dropping-particle":"","family":"Whitton","given":"Sarah W","non-dropping-particle":"","parse-names":false,"suffix":""},{"dropping-particle":"","family":"James-Kangal","given":"Neslihan","non-dropping-particle":"","parse-names":false,"suffix":""},{"dropping-particle":"","family":"Rhoades","given":"Galena K.","non-dropping-particle":"","parse-names":false,"suffix":""},{"dropping-particle":"","family":"Markman","given":"Howard J.","non-dropping-particle":"","parse-names":false,"suffix":""}],"container-title":"The Cambridge Handbook of Personal Relationships","editor":[{"dropping-particle":"","family":"Vangelisti","given":"A","non-dropping-particle":"","parse-names":false,"suffix":""},{"dropping-particle":"","family":"Perlman","given":"D.","non-dropping-particle":"","parse-names":false,"suffix":""}],"id":"ITEM-3","issued":{"date-parts":[["2018"]]},"page":"297-310","publisher":"Cambridge University Press","publisher-place":"Cambridge","title":"Understanding Couple Conflict","type":"chapter"}}],"schema":"https://github.com/citation-style-language/schema/raw/master/csl-citation.json"}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(Birditt et al., 2010; Kopystynska et al., 2017; Whitton et al.,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we found four different dyadic patterns of marital conflict resolution, including three patterns in which both or one of the parents used constructive conflict management, and one pattern in which both parents used mostly destructive conflict management strategies. Contrary to our expectations, however, these marital conflict patterns did not significantly explain the variance in the day-to-day cross-lagged effects between marital conflict and mother-adolescent conflict. </w:t>
      </w:r>
      <w:r w:rsidRPr="00CF7751">
        <w:rPr>
          <w:rFonts w:ascii="Times New Roman" w:eastAsia="Times New Roman" w:hAnsi="Times New Roman" w:cs="Times New Roman"/>
          <w:noProof/>
          <w:sz w:val="24"/>
          <w:szCs w:val="24"/>
        </w:rPr>
        <w:t>This implies that how strongly daily conflict in one dyad in the family affects daily conflict in another dyad in the same family does not depend on long-term marital conflict resolution patterns.</w:t>
      </w:r>
      <w:bookmarkEnd w:id="79"/>
    </w:p>
    <w:p w14:paraId="3C2F6B1C"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Dyadic Patterns of Marital Conflict Strategies</w:t>
      </w:r>
    </w:p>
    <w:p w14:paraId="022CEB04"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By using self-reports for both constructive and destructive conflict strategies from mothers and fathers across five years, we were able to examine the dyadic patterns describing how married couples manage conflict. The results are in accordance with extant research using both self-report data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{"citationID":"yNZRpM3F","properties":{"formattedCitation":"(Birditt et al., 2010; Kopystynska et al., 2017)","plainCitation":"(Birditt et al., 2010; Kopystynska et al., 2017)","noteIndex":0},"citationItems":[{"id":"jbQAzR7y/hILvm1NM","uris":["http://www.mendeley.com/documents/?uuid=34a1482d-b4d0-4cbd-bf79-74b10a7b80f9"],"uri":["http://www.mendeley.com/documents/?uuid=34a1482d-b4d0-4cbd-bf79-74b10a7b80f9"],"itemData":{"DOI":"10.1111/j.1741-3737.2010.00758.x","ISSN":"00222445","abstract":"This study examined self-reported marital conflict behaviors and their implications for divorce. Husbands and wives (N = 373 couples; 47% White American, 53% Black American) reported conflict behaviors in years 1, 3, 7, and 16 of their marriages. Individual behaviors (e.g., destructive behaviors) and patterns of behaviors between partners (e.g., withdrawal-constructive) in Year 1 predicted higher divorce rates. Wives' destructive and withdrawal behaviors decreased over time, whereas husbands' conflict behaviors remained stable. Husbands reported more constructive and less destructive behaviors than wives and Black American couples reported more withdrawal than White American couples. Findings support behavioral theories of marriage demonstrating that conflict behaviors predict divorce and accommodation theories indicating that conflict behaviors become less negative over time.","author":[{"dropping-particle":"","family":"Birditt","given":"Kira S.","non-dropping-particle":"","parse-names":false,"suffix":""},{"dropping-particle":"","family":"Brown","given":"Edna","non-dropping-particle":"","parse-names":false,"suffix":""},{"dropping-particle":"","family":"Orbuch","given":"Terri L.","non-dropping-particle":"","parse-names":false,"suffix":""},{"dropping-particle":"","family":"McIlvane","given":"Jessica M.","non-dropping-particle":"","parse-names":false,"suffix":""}],"container-title":"Journal of Marriage and Family","id":"ITEM-1","issue":"5","issued":{"date-parts":[["2010","9","29"]]},"page":"1188-1204","title":"Marital Conflict Behaviors and Implications for Divorce Over 16 Years","type":"article-journal","volume":"72"}},{"id":"jbQAzR7y/oPZFMgGf","uris":["http://www.mendeley.com/documents/?uuid=36db73dc-2cea-4d0c-a131-6874ad0b01f4"],"uri":["http://www.mendeley.com/documents/?uuid=36db73dc-2cea-4d0c-a131-6874ad0b01f4"],"itemData":{"DOI":"10.1037/fam0000343","ISSN":"1939-1293","abstract":"© 2017 American Psychological Association. We examined the relations between interparental conflict (destructive and constructive), parenting behaviors (harshness and supportiveness) and children's emotional insecurity in early childhood when children were approximately 36 months of age. The sample consisted of low-income unmarried couples who were expectant/new parents who participated in the national Building Strong Families project. Interparental conflict was assessed through parents' reported perception of the other parent's conflict behavior. Parenting behaviors were measured through observational data, and children's emotional insecurity was based on parents' reports. Using latent profile analysis, three goals were addressed: (a) concordance or discord of mothers' and fathers' conflict behaviors, (b) the relation between couples' conflict behaviors and parenting, and (c) the association between couples' conflict behaviors and child emotional insecurity. Our findings revealed 4 profiles of couples that share similar characteristics, which in turn were differentially linked to aspects of parenting and child development. Further, results indicated that the vast majority of low-income unmarried couples engage in constructive conflict management behaviors. These findings highlight the need to consider the family unit when designing interventions or providing counseling.","author":[{"dropping-particle":"","family":"Kopystynska","given":"Olena","non-dropping-particle":"","parse-names":false,"suffix":""},{"dropping-particle":"","family":"Paschall","given":"Katherine W.","non-dropping-particle":"","parse-names":false,"suffix":""},{"dropping-particle":"","family":"Barnett","given":"Melissa A.","non-dropping-particle":"","parse-names":false,"suffix":""},{"dropping-particle":"","family":"Curran","given":"Melissa A.","non-dropping-particle":"","parse-names":false,"suffix":""}],"container-title":"Journal of Family Psychology","id":"ITEM-2","issue":"7","issued":{"date-parts":[["2017","10"]]},"page":"922-932","title":"Patterns of interparental conflict, parenting, and children’s emotional insecurity: A person-centered approach.","type":"article-journal","volume":"31"}}],"schema":"https://github.com/citation-style-language/schema/raw/master/csl-citation.json"}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(Birditt et al., 2010; Kopystynska et al., 2017)</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and observations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{"citationID":"CvU9oawG","properties":{"formattedCitation":"(Markman et al., 2010)","plainCitation":"(Markman et al., 2010)","noteIndex":0},"citationItems":[{"id":"jbQAzR7y/gVnGSSEp","uris":["http://www.mendeley.com/documents/?uuid=38eb0832-2136-4ba9-84c4-7939e3c6e999"],"uri":["http://www.mendeley.com/documents/?uuid=38eb0832-2136-4ba9-84c4-7939e3c6e999"],"itemData":{"DOI":"10.1037/a0019481","ISSN":"1939-1293","abstract":"Using data from 210 couples who provided data across the first 5 years of marriage, we examined how premarital communication quality was related to divorce and later distress. The results showed that premarital observed negative and positive communication nearly reached significance as predictors of divorce, while self-reported negative communication was significantly associated with divorce. In terms of marital adjustment, we found that both premarital observed and self-reported negative premarital communication (but not observed positive communication) were associated with lower adjustment during the first 5 years of marriage. The most important questions addressed in this study pertain to how positive and negative dimensions of communication change over time and how these changes are related to being distressed or nondistressed after 5 years of marriage. This is the first study, to our knowledge, to examine the changes in communication over time that are so central to theories of the development of marital distress and for research-based interventions. We found that all couples showed decreases in negative communication over time, but the nondistressed group declined significantly more than the distressed group in negative communication, suggesting they are handling negative emotions better. Implications for future research on the development of relationship distress and for enhancing research-based couples' intervention programs are provided. © 2010 American Psychological Association.","author":[{"dropping-particle":"","family":"Markman","given":"Howard J.","non-dropping-particle":"","parse-names":false,"suffix":""},{"dropping-particle":"","family":"Rhoades","given":"Galena K.","non-dropping-particle":"","parse-names":false,"suffix":""},{"dropping-particle":"","family":"Stanley","given":"Scott M.","non-dropping-particle":"","parse-names":false,"suffix":""},{"dropping-particle":"","family":"Ragan","given":"Erica P.","non-dropping-particle":"","parse-names":false,"suffix":""},{"dropping-particle":"","family":"Whitton","given":"Sarah W.","non-dropping-particle":"","parse-names":false,"suffix":""}],"container-title":"Journal of Family Psychology","id":"ITEM-1","issue":"3","issued":{"date-parts":[["2010"]]},"page":"289-298","title":"The premarital communication roots of marital distress and divorce: The first five years of marriage.","type":"article-journal","volume":"24"}}],"schema":"https://github.com/citation-style-language/schema/raw/master/csl-citation.json"}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(Markman et al., 2010)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Many couples (31.6%) were classified as “Couple Constructive”, because they depicted the highest levels of problem solving across years, and low levels of destructive conflict strategies, like conflict engagement, compliance, and withdrawal. Furthermore, in these couples no significant differences were found between mothers and fathers. Two further groups (Mother Constructive-Father Submissive, 21.8%, and Father Constructive-Mother Average, 33.8%) described couples in which partner differences were apparent, and one partner typically applied a more destructive conflict management pattern, while the other partner applied a less destructive, or even constructive conflict management pattern. Finally, a fourth pattern (Couple Destructive, 12.7%), the least common, described couples in which partners did not significantly differ from each other, and they both typically employed a destructive conflict management pattern.  </w:t>
      </w:r>
    </w:p>
    <w:p w14:paraId="1040A3C4"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lastRenderedPageBreak/>
        <w:t xml:space="preserve">This is the first study to assess both constructive and destructive marital conflict strategies as perceived by mothers and fathers, across their children’s adolescence. Conflict configurations found in previous studies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{"citationID":"lTGh3bQM","properties":{"formattedCitation":"(Birditt et al., 2010; Kopystynska et al., 2017; Whitton et al., 2018)","plainCitation":"(Birditt et al., 2010; Kopystynska et al., 2017; Whitton et al., 2018)","noteIndex":0},"citationItems":[{"id":"jbQAzR7y/hILvm1NM","uris":["http://www.mendeley.com/documents/?uuid=34a1482d-b4d0-4cbd-bf79-74b10a7b80f9"],"uri":["http://www.mendeley.com/documents/?uuid=34a1482d-b4d0-4cbd-bf79-74b10a7b80f9"],"itemData":{"DOI":"10.1111/j.1741-3737.2010.00758.x","ISSN":"00222445","abstract":"This study examined self-reported marital conflict behaviors and their implications for divorce. Husbands and wives (N = 373 couples; 47% White American, 53% Black American) reported conflict behaviors in years 1, 3, 7, and 16 of their marriages. Individual behaviors (e.g., destructive behaviors) and patterns of behaviors between partners (e.g., withdrawal-constructive) in Year 1 predicted higher divorce rates. Wives' destructive and withdrawal behaviors decreased over time, whereas husbands' conflict behaviors remained stable. Husbands reported more constructive and less destructive behaviors than wives and Black American couples reported more withdrawal than White American couples. Findings support behavioral theories of marriage demonstrating that conflict behaviors predict divorce and accommodation theories indicating that conflict behaviors become less negative over time.","author":[{"dropping-particle":"","family":"Birditt","given":"Kira S.","non-dropping-particle":"","parse-names":false,"suffix":""},{"dropping-particle":"","family":"Brown","given":"Edna","non-dropping-particle":"","parse-names":false,"suffix":""},{"dropping-particle":"","family":"Orbuch","given":"Terri L.","non-dropping-particle":"","parse-names":false,"suffix":""},{"dropping-particle":"","family":"McIlvane","given":"Jessica M.","non-dropping-particle":"","parse-names":false,"suffix":""}],"container-title":"Journal of Marriage and Family","id":"ITEM-1","issue":"5","issued":{"date-parts":[["2010","9","29"]]},"page":"1188-1204","title":"Marital Conflict Behaviors and Implications for Divorce Over 16 Years","type":"article-journal","volume":"72"}},{"id":"jbQAzR7y/oPZFMgGf","uris":["http://www.mendeley.com/documents/?uuid=36db73dc-2cea-4d0c-a131-6874ad0b01f4"],"uri":["http://www.mendeley.com/documents/?uuid=36db73dc-2cea-4d0c-a131-6874ad0b01f4"],"itemData":{"DOI":"10.1037/fam0000343","ISSN":"1939-1293","abstract":"© 2017 American Psychological Association. We examined the relations between interparental conflict (destructive and constructive), parenting behaviors (harshness and supportiveness) and children's emotional insecurity in early childhood when children were approximately 36 months of age. The sample consisted of low-income unmarried couples who were expectant/new parents who participated in the national Building Strong Families project. Interparental conflict was assessed through parents' reported perception of the other parent's conflict behavior. Parenting behaviors were measured through observational data, and children's emotional insecurity was based on parents' reports. Using latent profile analysis, three goals were addressed: (a) concordance or discord of mothers' and fathers' conflict behaviors, (b) the relation between couples' conflict behaviors and parenting, and (c) the association between couples' conflict behaviors and child emotional insecurity. Our findings revealed 4 profiles of couples that share similar characteristics, which in turn were differentially linked to aspects of parenting and child development. Further, results indicated that the vast majority of low-income unmarried couples engage in constructive conflict management behaviors. These findings highlight the need to consider the family unit when designing interventions or providing counseling.","author":[{"dropping-particle":"","family":"Kopystynska","given":"Olena","non-dropping-particle":"","parse-names":false,"suffix":""},{"dropping-particle":"","family":"Paschall","given":"Katherine W.","non-dropping-particle":"","parse-names":false,"suffix":""},{"dropping-particle":"","family":"Barnett","given":"Melissa A.","non-dropping-particle":"","parse-names":false,"suffix":""},{"dropping-particle":"","family":"Curran","given":"Melissa A.","non-dropping-particle":"","parse-names":false,"suffix":""}],"container-title":"Journal of Family Psychology","id":"ITEM-2","issue":"7","issued":{"date-parts":[["2017","10"]]},"page":"922-932","title":"Patterns of interparental conflict, parenting, and children’s emotional insecurity: A person-centered approach.","type":"article-journal","volume":"31"}},{"id":"jbQAzR7y/a6NABbsp","uris":["http://www.mendeley.com/documents/?uuid=1f05335e-80ea-41e4-ba32-e873535acc70"],"uri":["http://www.mendeley.com/documents/?uuid=1f05335e-80ea-41e4-ba32-e873535acc70"],"itemData":{"DOI":"10.1017/9781316417867.024","ISBN":"9781316417867","author":[{"dropping-particle":"","family":"Whitton","given":"Sarah W","non-dropping-particle":"","parse-names":false,"suffix":""},{"dropping-particle":"","family":"James-Kangal","given":"Neslihan","non-dropping-particle":"","parse-names":false,"suffix":""},{"dropping-particle":"","family":"Rhoades","given":"Galena K.","non-dropping-particle":"","parse-names":false,"suffix":""},{"dropping-particle":"","family":"Markman","given":"Howard J.","non-dropping-particle":"","parse-names":false,"suffix":""}],"container-title":"The Cambridge Handbook of Personal Relationships","editor":[{"dropping-particle":"","family":"Vangelisti","given":"A","non-dropping-particle":"","parse-names":false,"suffix":""},{"dropping-particle":"","family":"Perlman","given":"D.","non-dropping-particle":"","parse-names":false,"suffix":""}],"id":"ITEM-3","issued":{"date-parts":[["2018"]]},"page":"297-310","publisher":"Cambridge University Press","publisher-place":"Cambridge","title":"Understanding Couple Conflict","type":"chapter"}}],"schema":"https://github.com/citation-style-language/schema/raw/master/csl-citation.json"}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(Birditt et al., 2010; Kopystynska et al., 2017; Whitton et al.,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were not only confirmed, but were also shown to describe long-term patterns of how marital dyads resolve conflict. Given the negative implications that destructive patterns have been shown to have for marital satisfaction (e.g., </w:t>
      </w:r>
      <w:proofErr w:type="spellStart"/>
      <w:r w:rsidRPr="00CF7751">
        <w:rPr>
          <w:rFonts w:ascii="Times New Roman" w:eastAsia="Times New Roman" w:hAnsi="Times New Roman" w:cs="Times New Roman"/>
          <w:sz w:val="24"/>
          <w:szCs w:val="24"/>
        </w:rPr>
        <w:t>Birditt</w:t>
      </w:r>
      <w:proofErr w:type="spellEnd"/>
      <w:r w:rsidRPr="00CF7751">
        <w:rPr>
          <w:rFonts w:ascii="Times New Roman" w:eastAsia="Times New Roman" w:hAnsi="Times New Roman" w:cs="Times New Roman"/>
          <w:sz w:val="24"/>
          <w:szCs w:val="24"/>
        </w:rPr>
        <w:t xml:space="preserve"> et al., 2010; Markman, 2010; Whitton et al., 2018) and adolescent development (e.g., </w:t>
      </w:r>
      <w:proofErr w:type="spellStart"/>
      <w:r w:rsidRPr="00CF7751">
        <w:rPr>
          <w:rFonts w:ascii="Times New Roman" w:eastAsia="Times New Roman" w:hAnsi="Times New Roman" w:cs="Times New Roman"/>
          <w:sz w:val="24"/>
          <w:szCs w:val="24"/>
        </w:rPr>
        <w:t>Fosco</w:t>
      </w:r>
      <w:proofErr w:type="spellEnd"/>
      <w:r w:rsidRPr="00CF7751">
        <w:rPr>
          <w:rFonts w:ascii="Times New Roman" w:eastAsia="Times New Roman" w:hAnsi="Times New Roman" w:cs="Times New Roman"/>
          <w:sz w:val="24"/>
          <w:szCs w:val="24"/>
        </w:rPr>
        <w:t xml:space="preserve"> et al., 2014), our findings underline the need to focus on those couples who employ mainly destructive marital conflict management strategies. </w:t>
      </w:r>
    </w:p>
    <w:p w14:paraId="1AD7493C"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Dynamics of Daily Conflict and the Role of Dyadic Patterns of Marital Conflict</w:t>
      </w:r>
    </w:p>
    <w:p w14:paraId="502141A9"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This study confirmed the heterogeneity among families in the day-to-day cross-lagged effects of marital conflict intensity on next-day mother-adolescent conflict intensity, and vice versa. </w:t>
      </w:r>
      <w:bookmarkStart w:id="80" w:name="_Hlk32925611"/>
      <w:r w:rsidRPr="00CF7751">
        <w:rPr>
          <w:rFonts w:ascii="Times New Roman" w:eastAsia="Times New Roman" w:hAnsi="Times New Roman" w:cs="Times New Roman"/>
          <w:sz w:val="24"/>
          <w:szCs w:val="24"/>
        </w:rPr>
        <w:t>For most families, the two within-family day-to-day cross-lagged effects examined in this study were not significant (</w:t>
      </w:r>
      <w:r w:rsidRPr="00CF7751">
        <w:rPr>
          <w:rFonts w:ascii="Times New Roman" w:eastAsia="Times New Roman" w:hAnsi="Times New Roman" w:cs="Times New Roman"/>
          <w:i/>
          <w:iCs/>
          <w:sz w:val="24"/>
          <w:szCs w:val="24"/>
        </w:rPr>
        <w:t>n</w:t>
      </w:r>
      <w:r w:rsidRPr="00CF7751">
        <w:rPr>
          <w:rFonts w:ascii="Times New Roman" w:eastAsia="Times New Roman" w:hAnsi="Times New Roman" w:cs="Times New Roman"/>
          <w:sz w:val="24"/>
          <w:szCs w:val="24"/>
        </w:rPr>
        <w:t xml:space="preserve"> = 331, 79.8%, for the within-family effect from marital conflict to next-day mother-adolescent conflict, and </w:t>
      </w:r>
      <w:r w:rsidRPr="00CF7751">
        <w:rPr>
          <w:rFonts w:ascii="Times New Roman" w:eastAsia="Times New Roman" w:hAnsi="Times New Roman" w:cs="Times New Roman"/>
          <w:i/>
          <w:iCs/>
          <w:sz w:val="24"/>
          <w:szCs w:val="24"/>
        </w:rPr>
        <w:t>n</w:t>
      </w:r>
      <w:r w:rsidRPr="00CF7751">
        <w:rPr>
          <w:rFonts w:ascii="Times New Roman" w:eastAsia="Times New Roman" w:hAnsi="Times New Roman" w:cs="Times New Roman"/>
          <w:sz w:val="24"/>
          <w:szCs w:val="24"/>
        </w:rPr>
        <w:t xml:space="preserve"> = 369, 89.1%, for the reverse effect). These results are in accordance with the compartmentalization hypothesis, which postulates that the marital dyad is “insulated”, and can withhold marital conflict from spilling over to the mother-adolescent dyad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{"citationID":"8vm8GjK6","properties":{"formattedCitation":"(Krishnakumar &amp; Buehler, 2000)","plainCitation":"(Krishnakumar &amp; Buehler, 2000)","noteIndex":0},"citationItems":[{"id":"jbQAzR7y/t2ewVfuL","uris":["http://www.mendeley.com/documents/?uuid=0f877511-8f6a-3399-a30c-1a4a675944c3"],"uri":["http://www.mendeley.com/documents/?uuid=0f877511-8f6a-3399-a30c-1a4a675944c3"],"itemData":{"DOI":"10.1111/j.1741-3729.2000.00025.x","ISSN":"0197-6664","author":[{"dropping-particle":"","family":"Krishnakumar","given":"Ambika","non-dropping-particle":"","parse-names":false,"suffix":""},{"dropping-particle":"","family":"Buehler","given":"Cheryl","non-dropping-particle":"","parse-names":false,"suffix":""}],"container-title":"Family Relations","id":"ITEM-1","issue":"1","issued":{"date-parts":[["2000","1"]]},"page":"25-44","publisher":"Wiley/Blackwell (10.1111)","title":"Interparental Conflict and Parenting Behaviors: A Meta-Analytic Review","type":"article-journal","volume":"49"}}],"schema":"https://github.com/citation-style-language/schema/raw/master/csl-citation.json"}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(Krishnakumar &amp; Buehler, 2000)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bookmarkStart w:id="81" w:name="_Hlk32925597"/>
      <w:r w:rsidRPr="00CF7751">
        <w:rPr>
          <w:rFonts w:ascii="Times New Roman" w:eastAsia="Times New Roman" w:hAnsi="Times New Roman" w:cs="Times New Roman"/>
          <w:sz w:val="24"/>
          <w:szCs w:val="24"/>
        </w:rPr>
        <w:t xml:space="preserve">Of note, the daily timeframe we applied in this study might be too long for spillover to be apparent. For example, experimental evidence showed that spillover was apparent but dissipated within few hours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{"citationID":"9FtihMoY","properties":{"formattedCitation":"(Jouriles &amp; Farris, 1992)","plainCitation":"(Jouriles &amp; Farris, 1992)","noteIndex":0},"citationItems":[{"id":"jbQAzR7y/ii7j7pMH","uris":["http://www.mendeley.com/documents/?uuid=e7d59234-1aaa-4873-8289-cb5928f31497"],"uri":["http://www.mendeley.com/documents/?uuid=e7d59234-1aaa-4873-8289-cb5928f31497"],"itemData":{"DOI":"10.1016/S0005-7894(05)80163-7","ISSN":"00057894","author":[{"dropping-particle":"","family":"Jouriles","given":"Ernest N","non-dropping-particle":"","parse-names":false,"suffix":""},{"dropping-particle":"","family":"Farris","given":"Annette M","non-dropping-particle":"","parse-names":false,"suffix":""}],"container-title":"Behavior Therapy","id":"ITEM-1","issue":"3","issued":{"date-parts":[["1992"]]},"page":"355-374","publisher":"Elsevier","title":"Effects of marital conflict on subsequent parent-son interactions","type":"article-journal","volume":"23"}}],"schema":"https://github.com/citation-style-language/schema/raw/master/csl-citation.json"}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(Jouriles &amp; Farris, 1992)</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bookmarkStart w:id="82" w:name="_Hlk34406355"/>
      <w:r w:rsidRPr="00CF7751">
        <w:rPr>
          <w:rFonts w:ascii="Times New Roman" w:eastAsia="Times New Roman" w:hAnsi="Times New Roman" w:cs="Times New Roman"/>
          <w:sz w:val="24"/>
          <w:szCs w:val="24"/>
        </w:rPr>
        <w:t xml:space="preserve">Also, we chose to examine daily mother-adolescent conflict during adolescence because this is a formative period for the parent-adolescent relationships: parenting changes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{"citationID":"pJktSsp4","properties":{"formattedCitation":"(Mastrotheodoros et al., 2019b)","plainCitation":"(Mastrotheodoros et al., 2019b)","noteIndex":0},"citationItems":[{"id":"jbQAzR7y/aWH1NFpa","uris":["http://www.mendeley.com/documents/?uuid=221da966-fd42-39aa-8f4f-c63fa8e2a55f"],"uri":["http://www.mendeley.com/documents/?uuid=221da966-fd42-39aa-8f4f-c63fa8e2a55f"],"itemData":{"DOI":"10.1111/jora.12417","ISSN":"1050-8392","author":[{"dropping-particle":"","family":"Mastrotheodoros","given":"Stefanos","non-dropping-particle":"","parse-names":false,"suffix":""},{"dropping-particle":"","family":"Graaff","given":"Jolien","non-dropping-particle":"Van der","parse-names":false,"suffix":""},{"dropping-particle":"","family":"Deković","given":"Maja","non-dropping-particle":"","parse-names":false,"suffix":""},{"dropping-particle":"","family":"Meeus","given":"Wim H. J.","non-dropping-particle":"","parse-names":false,"suffix":""},{"dropping-particle":"","family":"Branje","given":"Susan J. T.","non-dropping-particle":"","parse-names":false,"suffix":""}],"container-title":"Journal of Research on Adolescence","id":"ITEM-1","issue":"4","issued":{"date-parts":[["2019","12","19"]]},"page":"846-862","title":"Coming Closer in Adolescence: Convergence in Mother, Father, and Adolescent Reports of Parenting","type":"article-journal","volume":"29"}}],"schema":"https://github.com/citation-style-language/schema/raw/master/csl-citation.json"}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(Mastrotheodoros et al., 2019b)</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and parent-adolescent conflict intensity increases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{"citationID":"SxQE4JCO","properties":{"formattedCitation":"(Mastrotheodoros, Van der Graaff, et al., 2020)","plainCitation":"(Mastrotheodoros, Van der Graaff, et al., 2020)","noteIndex":0},"citationItems":[{"id":"jbQAzR7y/xvQdMEr5","uris":["http://www.mendeley.com/documents/?uuid=cba306eb-2dcb-3329-bd9b-6c28969fe9d9"],"uri":["http://www.mendeley.com/documents/?uuid=cba306eb-2dcb-3329-bd9b-6c28969fe9d9"],"itemData":{"DOI":"10.1007/s10964-019-01054-7","ISSN":"0047-2891","author":[{"dropping-particle":"","family":"Mastrotheodoros","given":"Stefanos","non-dropping-particle":"","parse-names":false,"suffix":""},{"dropping-particle":"","family":"Graaff","given":"Jolien","non-dropping-particle":"Van der","parse-names":false,"suffix":""},{"dropping-particle":"","family":"Deković","given":"Maja","non-dropping-particle":"","parse-names":false,"suffix":""},{"dropping-particle":"","family":"Meeus","given":"Wim H. J.","non-dropping-particle":"","parse-names":false,"suffix":""},{"dropping-particle":"","family":"Branje","given":"Susan","non-dropping-particle":"","parse-names":false,"suffix":""}],"container-title":"Journal of Youth and Adolescence","id":"ITEM-1","issue":"1","issued":{"date-parts":[["2020","1","26"]]},"page":"119-135","title":"Parent–Adolescent Conflict across Adolescence: Trajectories of Informant Discrepancies and Associations with Personality Types","type":"article-journal","volume":"49"}}],"schema":"https://github.com/citation-style-language/schema/raw/master/csl-citation.json"}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(Mastrotheodoros, Van der Graaff, et al., 2020)</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However, different patterns of </w:t>
      </w:r>
      <w:r w:rsidRPr="00CF7751">
        <w:rPr>
          <w:rFonts w:ascii="Times New Roman" w:eastAsia="Times New Roman" w:hAnsi="Times New Roman" w:cs="Times New Roman"/>
          <w:sz w:val="24"/>
          <w:szCs w:val="24"/>
        </w:rPr>
        <w:lastRenderedPageBreak/>
        <w:t xml:space="preserve">associations between marital conflict and parent-adolescent conflict could be observed at different developmental stages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{"citationID":"GzhpED0O","properties":{"formattedCitation":"(Gao &amp; Cummings, 2019)","plainCitation":"(Gao &amp; Cummings, 2019)","noteIndex":0},"citationItems":[{"id":"jbQAzR7y/L3lHc6Mw","uris":["http://www.mendeley.com/documents/?uuid=18f81647-a5e2-43f4-b551-3da076665a27"],"uri":["http://www.mendeley.com/documents/?uuid=18f81647-a5e2-43f4-b551-3da076665a27"],"itemData":{"DOI":"10.1037/dev0000680","ISSN":"1939-0599","author":[{"dropping-particle":"","family":"Gao","given":"Mengyu (Miranda)","non-dropping-particle":"","parse-names":false,"suffix":""},{"dropping-particle":"","family":"Cummings","given":"E. Mark","non-dropping-particle":"","parse-names":false,"suffix":""}],"container-title":"Developmental Psychology","id":"ITEM-1","issue":"5","issued":{"date-parts":[["2019","5"]]},"page":"1046-1058","title":"Understanding parent–child relationship as a developmental process: Fluctuations across days and changes over years.","type":"article-journal","volume":"55"}}],"schema":"https://github.com/citation-style-language/schema/raw/master/csl-citation.json"}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(Gao &amp; Cummings, 2019)</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p>
    <w:bookmarkEnd w:id="81"/>
    <w:bookmarkEnd w:id="82"/>
    <w:p w14:paraId="26E0D972"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Despite the null effect applying to most families, for significant proportions of the families there was a significant within-family day-to-day cross-lagged effect, especially from marital conflict to next-day mother-adolescent conflict. </w:t>
      </w:r>
      <w:bookmarkEnd w:id="80"/>
      <w:r w:rsidRPr="00CF7751">
        <w:rPr>
          <w:rFonts w:ascii="Times New Roman" w:eastAsia="Times New Roman" w:hAnsi="Times New Roman" w:cs="Times New Roman"/>
          <w:sz w:val="24"/>
          <w:szCs w:val="24"/>
        </w:rPr>
        <w:t xml:space="preserve">Thus, a more appropriate question than asking whether spillover, compensation, or compartmentalization take place, is to investigate the between-family heterogeneity in within-family dynamics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{"citationID":"X59lH9f5","properties":{"formattedCitation":"(Keijsers et al., 2016; Papp, 2004)","plainCitation":"(Keijsers et al., 2016; Papp, 2004)","noteIndex":0},"citationItems":[{"id":"jbQAzR7y/TSZJL6TP","uris":["http://www.mendeley.com/documents/?uuid=97e8cfa7-adf9-4b71-a338-a5efdb8b225e"],"uri":["http://www.mendeley.com/documents/?uuid=97e8cfa7-adf9-4b71-a338-a5efdb8b225e"],"itemData":{"DOI":"10.1037/dev0000220","ISSN":"1939-0599","author":[{"dropping-particle":"","family":"Keijsers","given":"Loes","non-dropping-particle":"","parse-names":false,"suffix":""},{"dropping-particle":"","family":"Voelkle","given":"Manuel C","non-dropping-particle":"","parse-names":false,"suffix":""},{"dropping-particle":"","family":"Maciejewski","given":"Dominique","non-dropping-particle":"","parse-names":false,"suffix":""},{"dropping-particle":"","family":"Branje","given":"S.J.T.","non-dropping-particle":"","parse-names":false,"suffix":""},{"dropping-particle":"","family":"Koot","given":"Hans","non-dropping-particle":"","parse-names":false,"suffix":""},{"dropping-particle":"","family":"Hiemstra","given":"Marieke","non-dropping-particle":"","parse-names":false,"suffix":""},{"dropping-particle":"","family":"Meeus","given":"Wim","non-dropping-particle":"","parse-names":false,"suffix":""}],"container-title":"Developmental Psychology","id":"ITEM-1","issue":"12","issued":{"date-parts":[["2016"]]},"page":"2057-2070","publisher":"American Psychological Association","title":"What drives developmental change in adolescent disclosure and maternal knowledge? Heterogeneity in within-family processes.","type":"article-journal","volume":"52"}},{"id":"jbQAzR7y/vG74yaRD","uris":["http://www.mendeley.com/documents/?uuid=91d162be-38a3-405e-8fdb-d45e9c0bf693"],"uri":["http://www.mendeley.com/documents/?uuid=91d162be-38a3-405e-8fdb-d45e9c0bf693"],"itemData":{"DOI":"10.1016/j.appsy.2004.09.002","ISSN":"09621849","author":[{"dropping-particle":"","family":"Papp","given":"Lauren M","non-dropping-particle":"","parse-names":false,"suffix":""}],"container-title":"Applied and Preventive Psychology","id":"ITEM-2","issue":"2","issued":{"date-parts":[["2004","12"]]},"page":"115-124","publisher":"Elsevier","title":"Capturing the interplay among within- and between-person processes using multilevel modeling techniques","type":"article-journal","volume":"11"}}],"schema":"https://github.com/citation-style-language/schema/raw/master/csl-citation.json"}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(Keijsers et al., 2016; Papp, 2004)</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and to elucidate which families are characterized by which pattern. What might be the reasons for these between-family differences in within-family daily dynamics?</w:t>
      </w:r>
    </w:p>
    <w:p w14:paraId="1B02B738"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Contrary to our expectations, the four dyadic patterns of marital conflict resolution could not explain this heterogeneity in the day-to-day within-family cross-lagged effects among marital conflict and mother-adolescent conflict. Even though sizable proportions of the sample depicted spillover-like, or compensatory-like day-to-day within-family cross-lagged effects, whether a family was more characterized by one pattern or the other was unrelated to the dyadic marital conflict patterns. In addition, no group differences were found on the bivariate correlations between marital and mother-adolescent conflict. These findings go against our hypothesis that destructive marital conflict patterns would increase the chances of spillover from marital conflict to mother-adolescent conflict on the daily level. </w:t>
      </w:r>
    </w:p>
    <w:p w14:paraId="523B99C9"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The heterogeneity in day-to-day within-family cross-lagged effects coupled with our finding of strong between-family correlations among marital and mother-adolescent conflict indicate that other between-family characteristics explain these differences across families. However, instead of focusing on global, annually assessed family characteristics, the future search for factors that might explain between-family heterogeneity in daily conflict spillover might benefit by focusing on factors measured on a daily timescale. For example, even though the global tendency to experience negative affect (i.e., Neuroticism) does not explain </w:t>
      </w:r>
      <w:r w:rsidRPr="00CF7751">
        <w:rPr>
          <w:rFonts w:ascii="Times New Roman" w:eastAsia="Times New Roman" w:hAnsi="Times New Roman" w:cs="Times New Roman"/>
          <w:sz w:val="24"/>
          <w:szCs w:val="24"/>
        </w:rPr>
        <w:lastRenderedPageBreak/>
        <w:t xml:space="preserve">within-day spillover-like associations, daily negative mood partly does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{"citationID":"hJmBiT5u","properties":{"formattedCitation":"(Sears et al., 2016)","plainCitation":"(Sears et al., 2016)","noteIndex":0},"citationItems":[{"id":"jbQAzR7y/Qjq1h4TN","uris":["http://www.mendeley.com/documents/?uuid=1bba652b-559d-479d-8e52-71cbc6147f70"],"uri":["http://www.mendeley.com/documents/?uuid=1bba652b-559d-479d-8e52-71cbc6147f70"],"itemData":{"DOI":"10.1111/jomf.12265","ISSN":"00222445","abstract":"© 2016 National Council on Family Relations.Conflict with a spouse or child may generate spillover, defined as short-term affective changes in parents that affect their behavior with other family members. In a diverse sample of 86 parents, this 56-day diary study examined daily bidirectional spillover between conflict in the marital or parent-child dyad and parents' irritable, frictional behavior with their child or spouse, respectively. Tests of daily associations between conflict and parent behavior revealed robust spillover effects according to parent as well as spouse and child reports. Parents' daily negative mood and child externalizing behavior contributed to several but not all of these associations. Daily spillover findings were largely unaffected by parents' neuroticism, suggesting that parents' day-to-day fluctuations in negative mood, not average levels of negative affectivity, promoted spillover. Significant direct effects of conflict on parent behavior even when controlling for negative mood, however, implicate additional cognitive or social processes as contributors to conflict spillover in families.","author":[{"dropping-particle":"","family":"Sears","given":"Meredith S.","non-dropping-particle":"","parse-names":false,"suffix":""},{"dropping-particle":"","family":"Repetti","given":"R. L.","non-dropping-particle":"","parse-names":false,"suffix":""},{"dropping-particle":"","family":"Reynolds","given":"Bridget M.","non-dropping-particle":"","parse-names":false,"suffix":""},{"dropping-particle":"","family":"Robles","given":"Theodore F.","non-dropping-particle":"","parse-names":false,"suffix":""},{"dropping-particle":"","family":"Krull","given":"Jennifer L.","non-dropping-particle":"","parse-names":false,"suffix":""}],"container-title":"Journal of Marriage and Family","id":"ITEM-1","issue":"1","issued":{"date-parts":[["2016","2"]]},"page":"127-141","title":"Spillover in the Home: The Effects of Family Conflict on Parents' Behavior","type":"article-journal","volume":"78"}}],"schema":"https://github.com/citation-style-language/schema/raw/master/csl-citation.json"}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(Sears et al., 2016)</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This indicates the need to match the time-scales of the phenomena under study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{"citationID":"Z2dcO4sV","properties":{"formattedCitation":"(Keijsers &amp; van Roekel, 2018)","plainCitation":"(Keijsers &amp; van Roekel, 2018)","noteIndex":0},"citationItems":[{"id":"jbQAzR7y/Uzrax7d7","uris":["http://www.mendeley.com/documents/?uuid=10789344-c0c5-4158-a4b7-a6ec60c976bd"],"uri":["http://www.mendeley.com/documents/?uuid=10789344-c0c5-4158-a4b7-a6ec60c976bd"],"itemData":{"author":[{"dropping-particle":"","family":"Keijsers","given":"Loes","non-dropping-particle":"","parse-names":false,"suffix":""},{"dropping-particle":"","family":"Roekel","given":"Eeske","non-dropping-particle":"van","parse-names":false,"suffix":""}],"container-title":"Reframing Adolescent Research","editor":[{"dropping-particle":"","family":"Hendry","given":"Leo B.","non-dropping-particle":"","parse-names":false,"suffix":""},{"dropping-particle":"","family":"Kloep","given":"Marion","non-dropping-particle":"","parse-names":false,"suffix":""}],"id":"ITEM-1","issued":{"date-parts":[["2018"]]},"page":"70-91","publisher":"Routledge","title":"Longitudinal methods in adolescent psychology: where could we go from here? And should we?","type":"chapter"}}],"schema":"https://github.com/citation-style-language/schema/raw/master/csl-citation.json"}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(Keijsers &amp; van Roekel, 2018)</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That is, day-to-day effects between marital and mother-adolescent conflict intensity might be affected by the pattern of resolution of the specific conflict, rather than the general pattern of conflict resolution across years. Future studies, thus, may offer a better understanding of the within-family processes by investigating daily patterns of family functioning with intensive repeated measures designs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{"citationID":"bPJAOnwT","properties":{"formattedCitation":"(Repetti et al., 2015)","plainCitation":"(Repetti et al., 2015)","noteIndex":0},"citationItems":[{"id":"jbQAzR7y/9dWv5DaG","uris":["http://www.mendeley.com/documents/?uuid=a043d92e-3687-4353-8ce7-6d6103e218e0"],"uri":["http://www.mendeley.com/documents/?uuid=a043d92e-3687-4353-8ce7-6d6103e218e0"],"itemData":{"DOI":"10.1111/jomf.12143","ISSN":"00222445","author":[{"dropping-particle":"","family":"Repetti","given":"R. L.","non-dropping-particle":"","parse-names":false,"suffix":""},{"dropping-particle":"","family":"Reynolds","given":"B. M.","non-dropping-particle":"","parse-names":false,"suffix":""},{"dropping-particle":"","family":"Sears","given":"M. S.","non-dropping-particle":"","parse-names":false,"suffix":""}],"container-title":"Journal of Marriage and Family","id":"ITEM-1","issue":"1","issued":{"date-parts":[["2015","2"]]},"page":"126-146","publisher":"Wiley Online Library","title":"Families Under the Microscope: Repeated Sampling of Perceptions, Experiences, Biology, and Behavior","type":"article-journal","volume":"77"}}],"schema":"https://github.com/citation-style-language/schema/raw/master/csl-citation.json"}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(Repetti et al., 2015)</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w:t>
      </w:r>
    </w:p>
    <w:p w14:paraId="5387A7EF"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Even though the dyadic ways with which parents resolve conflict did not explain the between-family differences in the day-to-day cross-lagged effects, marital conflict resolution groups differed significantly and meaningfully in the levels of daily marital conflict and mother-adolescent conflict. This is an important finding because it confirms a widely held, but rarely empirically tested notion that the daily life experiences are linked to the global, stable patterns of marital functioning </w:t>
      </w:r>
      <w:r w:rsidRPr="00CF7751">
        <w:rPr>
          <w:rFonts w:ascii="Times New Roman" w:eastAsia="Times New Roman" w:hAnsi="Times New Roman" w:cs="Times New Roman"/>
          <w:sz w:val="24"/>
          <w:szCs w:val="24"/>
        </w:rPr>
        <w:fldChar w:fldCharType="begin" w:fldLock="1"/>
      </w:r>
      <w:r w:rsidRPr="00CF7751">
        <w:rPr>
          <w:rFonts w:ascii="Times New Roman" w:eastAsia="Times New Roman" w:hAnsi="Times New Roman" w:cs="Times New Roman"/>
          <w:sz w:val="24"/>
          <w:szCs w:val="24"/>
        </w:rPr>
        <w:instrText xml:space="preserve"> ADDIN ZOTERO_ITEM CSL_CITATION {"citationID":"Z8LKVA0L","properties":{"formattedCitation":"(Granic &amp; Hollenstein, 2015; Repetti et al., 2015)","plainCitation":"(Granic &amp; Hollenstein, 2015; Repetti et al., 2015)","noteIndex":0},"citationItems":[{"id":"jbQAzR7y/9dWv5DaG","uris":["http://www.mendeley.com/documents/?uuid=a043d92e-3687-4353-8ce7-6d6103e218e0"],"uri":["http://www.mendeley.com/documents/?uuid=a043d92e-3687-4353-8ce7-6d6103e218e0"],"itemData":{"DOI":"10.1111/jomf.12143","ISSN":"00222445","author":[{"dropping-particle":"","family":"Repetti","given":"R. L.","non-dropping-particle":"","parse-names":false,"suffix":""},{"dropping-particle":"","family":"Reynolds","given":"B. M.","non-dropping-particle":"","parse-names":false,"suffix":""},{"dropping-particle":"","family":"Sears","given":"M. S.","non-dropping-particle":"","parse-names":false,"suffix":""}],"container-title":"Journal of Marriage and Family","id":"ITEM-1","issue":"1","issued":{"date-parts":[["2015","2"]]},"page":"126-146","publisher":"Wiley Online Library","title":"Families Under the Microscope: Repeated Sampling of Perceptions, Experiences, Biology, and Behavior","type":"article-journal","volume":"77"}},{"id":"jbQAzR7y/1jBYF8kU","uris":["http://www.mendeley.com/documents/?uuid=18ee51cb-2041-49fa-abae-62845ce5eb67"],"uri":["http://www.mendeley.com/documents/?uuid=18ee51cb-2041-49fa-abae-62845ce5eb67"],"itemData":{"DOI":"10.1002/9780470939383.ch22","ISBN":"9780470939383","abstract":"In this chapter, we suggest that methods derived from dynamic systems (DS) theory may be useful in the study of developmental psychopathology. We have three main objectives: (1) to outline key dynamic systems principles and highlight their commensurability with developmental psychopathologists' core conceptual concerns; (2) to provide a survey of research designs, methodological techniques, and measurement strategies currently being used and refined by developmental DS researchers; and (3) to elaborate on one specific DS method, state space grid analysis, and provide several empirical examples using this method. Our main purpose is to provide a clear enough picture of various DS methods to inspire developmental psychopathologists to expand their analytic repertoire and, thus, test their systems-based models more directly. (PsycINFO Database Record (c) 2016 APA, all rights reserved)","author":[{"dropping-particle":"","family":"Granic","given":"Isabela","non-dropping-particle":"","parse-names":false,"suffix":""},{"dropping-particle":"","family":"Hollenstein","given":"Tom","non-dropping-particle":"","parse-names":false,"suffix":""}],"container-title":"Developmental Psychopathology","editor":[{"dropping-particle":"","family":"Cicchetti","given":"Dante","non-dropping-particle":"","parse-names":false,"suffix":""},{"dropping-particle":"","family":"Cohen","given":"D. J.","non-dropping-particle":"","parse-names":false,"suffix":""}],"id":"ITEM-2","issued":{"date-parts":[["2015","9","8"]]},"page":"889-930","publisher":"John Wiley &amp; Sons, Inc.","publisher-place":"Hoboken, NJ, USA","title":"A Survey of Dynamic Systems Methods for Developmental Psychopathology","type":"chapter"}}],"schema":"https://github.com/citation-style-language/schema/raw/master/csl-citation.json"} </w:instrText>
      </w:r>
      <w:r w:rsidRPr="00CF7751">
        <w:rPr>
          <w:rFonts w:ascii="Times New Roman" w:eastAsia="Times New Roman" w:hAnsi="Times New Roman" w:cs="Times New Roman"/>
          <w:sz w:val="24"/>
          <w:szCs w:val="24"/>
        </w:rPr>
        <w:fldChar w:fldCharType="separate"/>
      </w:r>
      <w:r w:rsidRPr="00CF7751">
        <w:rPr>
          <w:rFonts w:ascii="Times New Roman" w:eastAsia="Times New Roman" w:hAnsi="Times New Roman" w:cs="Times New Roman"/>
          <w:sz w:val="24"/>
          <w:szCs w:val="24"/>
        </w:rPr>
        <w:t>(Granic &amp; Hollenstein, 2015; Repetti et al., 2015)</w:t>
      </w:r>
      <w:r w:rsidRPr="00CF7751">
        <w:rPr>
          <w:rFonts w:ascii="Times New Roman" w:eastAsia="Times New Roman" w:hAnsi="Times New Roman" w:cs="Times New Roman"/>
          <w:sz w:val="24"/>
          <w:szCs w:val="24"/>
        </w:rPr>
        <w:fldChar w:fldCharType="end"/>
      </w:r>
      <w:r w:rsidRPr="00CF7751">
        <w:rPr>
          <w:rFonts w:ascii="Times New Roman" w:eastAsia="Times New Roman" w:hAnsi="Times New Roman" w:cs="Times New Roman"/>
          <w:sz w:val="24"/>
          <w:szCs w:val="24"/>
        </w:rPr>
        <w:t xml:space="preserve">. Specifically, the marital conflict patterns as conceptualized in this study were not only significantly associated with marital conflict on the daily level, but also with the mother-adolescent conflict. Therefore, families with different patterns of interparental conflict resolution do differ in how intensely they experience daily conflict, but they do not differ significantly in how daily conflict spreads within the family. To conclude, in families where parents employ more constructive and less destructive conflict resolution, the daily experiences of family members are less conflict-ridden, compared to families with more destructive resolution patterns. </w:t>
      </w:r>
    </w:p>
    <w:p w14:paraId="16425597"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Strengths and Limitations</w:t>
      </w:r>
    </w:p>
    <w:p w14:paraId="09DA4C90"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This multi-informant, longitudinal, and daily diary study is the first to examine the heterogeneity in day-to-day cross-lagged effects between marital conflict intensity and mother-adolescent conflict intensity. We applied state-of-the-art analytic techniques, with </w:t>
      </w:r>
      <w:r w:rsidRPr="00CF7751">
        <w:rPr>
          <w:rFonts w:ascii="Times New Roman" w:eastAsia="Times New Roman" w:hAnsi="Times New Roman" w:cs="Times New Roman"/>
          <w:sz w:val="24"/>
          <w:szCs w:val="24"/>
        </w:rPr>
        <w:lastRenderedPageBreak/>
        <w:t xml:space="preserve">robust measures, and a large sample, to answer our research questions. This paper has several methodological strengths. </w:t>
      </w:r>
    </w:p>
    <w:p w14:paraId="16B7E776"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bookmarkStart w:id="83" w:name="_Hlk62475622"/>
      <w:bookmarkStart w:id="84" w:name="_Hlk62224791"/>
      <w:r w:rsidRPr="00CF7751">
        <w:rPr>
          <w:rFonts w:ascii="Times New Roman" w:eastAsia="Times New Roman" w:hAnsi="Times New Roman" w:cs="Times New Roman"/>
          <w:sz w:val="24"/>
          <w:szCs w:val="24"/>
        </w:rPr>
        <w:t xml:space="preserve">A particular strength of this study is the use of robust, multi-informant, and longitudinally assessed measures that spanned over a relatively long period of time. Most daily-diary studies on family dynamics span few days or weeks, whereas this study combined a panel approach with a measurement burst daily-diary approach. Also, the global predictor in this study – marital conflict resolution strategies – was a different aspect of conflict than the mere aggregation of the daily-level conflict. By focusing on conflict resolution strategy patterns, we were able to examine whether the way parents handle conflict in the marital relationship affects spillover processes of conflict intensity in the family. </w:t>
      </w:r>
    </w:p>
    <w:bookmarkEnd w:id="83"/>
    <w:p w14:paraId="283767B8"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The explicit focus on heterogeneity is another strength of this study. The combination of rich data and advanced techniques helped us better acknowledge the differences between families, both on the global, annual level, and on the daily level. </w:t>
      </w:r>
    </w:p>
    <w:p w14:paraId="7092CD1E"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t xml:space="preserve">Compared with past daily-diary research, the use of DSEM is another particular strength of this study, because this technique allows a more stringent test of the theoretically proposed within-family mechanisms. Specifically, compared to multilevel modeling, DSEM allows to test a lagged effect from, e.g., T1 interparental conflict to T2 mother-adolescent conflict while simultaneously controlling for: 1) the effect of T1 mother-adolescent conflict on T2 mother-adolescent conflict; 2) the T1 correlation between interparental conflict and mother-adolescent conflict; 3) the T2 correlation between interparental conflict and mother-adolescent conflict; and 4) the effect that T1 mother-adolescent conflict has on T2 interparental conflict. In addition, DSEM applies latent person-mean centering, which is not based on observed scores, and takes measurement error into account. Even though this approach is technically possible in MLM, centering is most often based on observed scores in this type of modeling. </w:t>
      </w:r>
    </w:p>
    <w:bookmarkEnd w:id="84"/>
    <w:p w14:paraId="4AD3D87B"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pPr>
      <w:r w:rsidRPr="00CF7751">
        <w:rPr>
          <w:rFonts w:ascii="Times New Roman" w:eastAsia="Times New Roman" w:hAnsi="Times New Roman" w:cs="Times New Roman"/>
          <w:sz w:val="24"/>
          <w:szCs w:val="24"/>
        </w:rPr>
        <w:lastRenderedPageBreak/>
        <w:t xml:space="preserve">Yet, some limitations should be noticed. The sample consisted of families with a middle/upper-middle socioeconomic background, belonging to the majority ethnic group, in a relatively affluent western country. Therefore, results might not generalize to families from different socioeconomic strata, ethnic backgrounds, and/or countries. </w:t>
      </w:r>
      <w:bookmarkStart w:id="85" w:name="_Hlk34406548"/>
      <w:bookmarkStart w:id="86" w:name="_Hlk32928857"/>
      <w:bookmarkStart w:id="87" w:name="_Hlk31193103"/>
      <w:bookmarkStart w:id="88" w:name="_Hlk31191287"/>
      <w:r w:rsidRPr="00CF7751">
        <w:rPr>
          <w:rFonts w:ascii="Times New Roman" w:eastAsia="Times New Roman" w:hAnsi="Times New Roman" w:cs="Times New Roman"/>
          <w:sz w:val="24"/>
          <w:szCs w:val="24"/>
        </w:rPr>
        <w:t xml:space="preserve">Second, all measures used in this study were self-reports. </w:t>
      </w:r>
      <w:bookmarkStart w:id="89" w:name="_Hlk32412027"/>
      <w:r w:rsidRPr="00CF7751">
        <w:rPr>
          <w:rFonts w:ascii="Times New Roman" w:eastAsia="Times New Roman" w:hAnsi="Times New Roman" w:cs="Times New Roman"/>
          <w:sz w:val="24"/>
          <w:szCs w:val="24"/>
        </w:rPr>
        <w:t>Observed behaviors might differ from what people report for themselves, thus different results might have emerged if we used observations of conflict, instead of self-report</w:t>
      </w:r>
      <w:bookmarkStart w:id="90" w:name="_Hlk34402182"/>
      <w:bookmarkStart w:id="91" w:name="_Hlk32928734"/>
      <w:r w:rsidRPr="00CF7751">
        <w:rPr>
          <w:rFonts w:ascii="Times New Roman" w:eastAsia="Times New Roman" w:hAnsi="Times New Roman" w:cs="Times New Roman"/>
          <w:sz w:val="24"/>
          <w:szCs w:val="24"/>
        </w:rPr>
        <w:t>.</w:t>
      </w:r>
      <w:bookmarkEnd w:id="85"/>
      <w:r w:rsidRPr="00CF7751">
        <w:rPr>
          <w:rFonts w:ascii="Times New Roman" w:eastAsia="Times New Roman" w:hAnsi="Times New Roman" w:cs="Times New Roman"/>
          <w:sz w:val="24"/>
          <w:szCs w:val="24"/>
        </w:rPr>
        <w:t xml:space="preserve"> </w:t>
      </w:r>
      <w:bookmarkStart w:id="92" w:name="_Hlk34406704"/>
      <w:bookmarkEnd w:id="86"/>
      <w:bookmarkEnd w:id="89"/>
      <w:r w:rsidRPr="00CF7751">
        <w:rPr>
          <w:rFonts w:ascii="Times New Roman" w:eastAsia="Times New Roman" w:hAnsi="Times New Roman" w:cs="Times New Roman"/>
          <w:sz w:val="24"/>
          <w:szCs w:val="24"/>
        </w:rPr>
        <w:t>In addition, this study investigated daily conflict only between adolescents and mothers. As such, we were unable to test effects on daily father-adolescent conflict.</w:t>
      </w:r>
      <w:bookmarkEnd w:id="87"/>
      <w:r w:rsidRPr="00CF7751">
        <w:rPr>
          <w:rFonts w:ascii="Times New Roman" w:eastAsia="Times New Roman" w:hAnsi="Times New Roman" w:cs="Times New Roman"/>
          <w:sz w:val="24"/>
          <w:szCs w:val="24"/>
        </w:rPr>
        <w:t xml:space="preserve"> </w:t>
      </w:r>
      <w:bookmarkStart w:id="93" w:name="_Hlk32852612"/>
      <w:bookmarkStart w:id="94" w:name="_Hlk34409946"/>
      <w:bookmarkEnd w:id="88"/>
      <w:bookmarkEnd w:id="90"/>
      <w:bookmarkEnd w:id="92"/>
      <w:r w:rsidRPr="00CF7751">
        <w:rPr>
          <w:rFonts w:ascii="Times New Roman" w:eastAsia="Times New Roman" w:hAnsi="Times New Roman" w:cs="Times New Roman"/>
          <w:sz w:val="24"/>
          <w:szCs w:val="24"/>
        </w:rPr>
        <w:t>Another limitation is that the daily timescale is not necessarily the ideal timeframe to investigate spillover. Although the relevant theories do not specify the timescale on which the effects would take place, evidence suggests that spillover can be short-lived, dissipating within few hours (</w:t>
      </w:r>
      <w:proofErr w:type="spellStart"/>
      <w:r w:rsidRPr="00CF7751">
        <w:rPr>
          <w:rFonts w:ascii="Times New Roman" w:eastAsia="Times New Roman" w:hAnsi="Times New Roman" w:cs="Times New Roman"/>
          <w:sz w:val="24"/>
          <w:szCs w:val="24"/>
        </w:rPr>
        <w:t>Jouriles</w:t>
      </w:r>
      <w:proofErr w:type="spellEnd"/>
      <w:r w:rsidRPr="00CF7751">
        <w:rPr>
          <w:rFonts w:ascii="Times New Roman" w:eastAsia="Times New Roman" w:hAnsi="Times New Roman" w:cs="Times New Roman"/>
          <w:sz w:val="24"/>
          <w:szCs w:val="24"/>
        </w:rPr>
        <w:t xml:space="preserve"> &amp; Farris, 1992).</w:t>
      </w:r>
      <w:bookmarkEnd w:id="91"/>
      <w:bookmarkEnd w:id="93"/>
      <w:bookmarkEnd w:id="94"/>
      <w:r w:rsidRPr="00CF7751">
        <w:rPr>
          <w:rFonts w:ascii="Times New Roman" w:eastAsia="Times New Roman" w:hAnsi="Times New Roman" w:cs="Times New Roman"/>
          <w:sz w:val="24"/>
          <w:szCs w:val="24"/>
        </w:rPr>
        <w:t xml:space="preserve"> The DSEM currently cannot estimate random within-day associations, therefore we were unable to test whether dyadic marital conflict patterns moderate the </w:t>
      </w:r>
      <w:r w:rsidRPr="00CF7751">
        <w:rPr>
          <w:rFonts w:ascii="Times New Roman" w:eastAsia="Times New Roman" w:hAnsi="Times New Roman" w:cs="Times New Roman"/>
          <w:i/>
          <w:iCs/>
          <w:sz w:val="24"/>
          <w:szCs w:val="24"/>
        </w:rPr>
        <w:t>within-day</w:t>
      </w:r>
      <w:r w:rsidRPr="00CF7751">
        <w:rPr>
          <w:rFonts w:ascii="Times New Roman" w:eastAsia="Times New Roman" w:hAnsi="Times New Roman" w:cs="Times New Roman"/>
          <w:sz w:val="24"/>
          <w:szCs w:val="24"/>
        </w:rPr>
        <w:t xml:space="preserve"> associations between daily marital and mother-adolescent conflict intensity. Finally, we were not able to investigate within-family random effects across time in this study. Therefore, the within- and across-days associations in this study are assumed to be stable across the duration of the study. This is an assumption that might not hold true. Future studies should investigate both random effects across families, and across time. </w:t>
      </w:r>
    </w:p>
    <w:p w14:paraId="3C24C5C5" w14:textId="77777777" w:rsidR="00CF7751" w:rsidRPr="00CF7751" w:rsidRDefault="00CF7751" w:rsidP="00CF7751">
      <w:pPr>
        <w:spacing w:after="0" w:line="480" w:lineRule="auto"/>
        <w:rPr>
          <w:rFonts w:ascii="Times New Roman" w:eastAsia="Calibri" w:hAnsi="Times New Roman" w:cs="Times New Roman"/>
          <w:b/>
          <w:sz w:val="24"/>
          <w:szCs w:val="24"/>
        </w:rPr>
      </w:pPr>
      <w:r w:rsidRPr="00CF7751">
        <w:rPr>
          <w:rFonts w:ascii="Times New Roman" w:eastAsia="Calibri" w:hAnsi="Times New Roman" w:cs="Times New Roman"/>
          <w:b/>
          <w:sz w:val="24"/>
          <w:szCs w:val="24"/>
        </w:rPr>
        <w:t>Conclusion</w:t>
      </w:r>
    </w:p>
    <w:p w14:paraId="69C3DD4C"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sectPr w:rsidR="00CF7751" w:rsidRPr="00CF7751">
          <w:headerReference w:type="default" r:id="rId10"/>
          <w:pgSz w:w="11906" w:h="16838"/>
          <w:pgMar w:top="1440" w:right="1440" w:bottom="1440" w:left="1440" w:header="708" w:footer="708" w:gutter="0"/>
          <w:cols w:space="708"/>
          <w:docGrid w:linePitch="360"/>
        </w:sectPr>
      </w:pPr>
      <w:r w:rsidRPr="00CF7751">
        <w:rPr>
          <w:rFonts w:ascii="Times New Roman" w:eastAsia="Times New Roman" w:hAnsi="Times New Roman" w:cs="Times New Roman"/>
          <w:sz w:val="24"/>
          <w:szCs w:val="24"/>
        </w:rPr>
        <w:t xml:space="preserve">Families differ in how marital conflict during one day might affect mother-adolescent conflict the next day. For some families, days with marital conflict might be followed by days with mother-adolescent conflict (spillover). For other families such days may be followed by days with lower than average mother-adolescent conflict (compensation). Yet in other families instances of mother-adolescent conflict might be unrelated to instances of marital </w:t>
      </w:r>
      <w:r w:rsidRPr="00CF7751">
        <w:rPr>
          <w:rFonts w:ascii="Times New Roman" w:eastAsia="Times New Roman" w:hAnsi="Times New Roman" w:cs="Times New Roman"/>
          <w:sz w:val="24"/>
          <w:szCs w:val="24"/>
        </w:rPr>
        <w:lastRenderedPageBreak/>
        <w:t xml:space="preserve">conflict (compartmentalization; e.g., Krishnakumar &amp; Buehler, 2000). In addition, couples differ in the ways they manage marital conflict (e.g., </w:t>
      </w:r>
      <w:proofErr w:type="spellStart"/>
      <w:r w:rsidRPr="00CF7751">
        <w:rPr>
          <w:rFonts w:ascii="Times New Roman" w:eastAsia="Times New Roman" w:hAnsi="Times New Roman" w:cs="Times New Roman"/>
          <w:sz w:val="24"/>
          <w:szCs w:val="24"/>
        </w:rPr>
        <w:t>Birditt</w:t>
      </w:r>
      <w:proofErr w:type="spellEnd"/>
      <w:r w:rsidRPr="00CF7751">
        <w:rPr>
          <w:rFonts w:ascii="Times New Roman" w:eastAsia="Times New Roman" w:hAnsi="Times New Roman" w:cs="Times New Roman"/>
          <w:sz w:val="24"/>
          <w:szCs w:val="24"/>
        </w:rPr>
        <w:t xml:space="preserve"> et al., 2010). This study investigated whether the dyadic patterns of marital conflict management can explain the heterogeneity in the daily dynamics between marital conflict and mother-adolescent conflict. The results showed that, even though meaningful differences between families exist in the ways couples resolve conflict, these dyadic patterns do not explain the heterogeneity in the within-family daily dynamics of conflict.</w:t>
      </w:r>
    </w:p>
    <w:p w14:paraId="1A0D986F" w14:textId="77777777" w:rsidR="00CF7751" w:rsidRPr="00CF7751" w:rsidRDefault="00CF7751" w:rsidP="00CF7751">
      <w:pPr>
        <w:tabs>
          <w:tab w:val="left" w:pos="875"/>
        </w:tabs>
        <w:autoSpaceDE w:val="0"/>
        <w:autoSpaceDN w:val="0"/>
        <w:adjustRightInd w:val="0"/>
        <w:spacing w:after="0" w:line="480" w:lineRule="auto"/>
        <w:ind w:left="-25" w:firstLine="873"/>
        <w:jc w:val="center"/>
        <w:rPr>
          <w:rFonts w:ascii="Times New Roman" w:eastAsia="Times New Roman" w:hAnsi="Times New Roman" w:cs="Times New Roman"/>
          <w:b/>
          <w:sz w:val="24"/>
          <w:szCs w:val="24"/>
        </w:rPr>
      </w:pPr>
      <w:r w:rsidRPr="00CF7751">
        <w:rPr>
          <w:rFonts w:ascii="Times New Roman" w:eastAsia="Times New Roman" w:hAnsi="Times New Roman" w:cs="Times New Roman"/>
          <w:b/>
          <w:sz w:val="24"/>
          <w:szCs w:val="24"/>
        </w:rPr>
        <w:lastRenderedPageBreak/>
        <w:t>References</w:t>
      </w:r>
    </w:p>
    <w:p w14:paraId="169D9C6A"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fldChar w:fldCharType="begin" w:fldLock="1"/>
      </w:r>
      <w:r w:rsidRPr="00CF7751">
        <w:rPr>
          <w:rFonts w:ascii="Times New Roman" w:eastAsia="Calibri" w:hAnsi="Times New Roman" w:cs="Times New Roman"/>
        </w:rPr>
        <w:instrText xml:space="preserve">ADDIN Mendeley Bibliography CSL_BIBLIOGRAPHY </w:instrText>
      </w:r>
      <w:r w:rsidRPr="00CF7751">
        <w:rPr>
          <w:rFonts w:ascii="Times New Roman" w:eastAsia="Calibri" w:hAnsi="Times New Roman" w:cs="Times New Roman"/>
        </w:rPr>
        <w:fldChar w:fldCharType="separate"/>
      </w:r>
      <w:r w:rsidRPr="00CF7751">
        <w:rPr>
          <w:rFonts w:ascii="Times New Roman" w:eastAsia="Calibri" w:hAnsi="Times New Roman" w:cs="Times New Roman"/>
        </w:rPr>
        <w:t xml:space="preserve">Asparouhov, T., Hamaker, E. L., &amp; Muthén, B. (2018). Dynamic Structural Equation Models. </w:t>
      </w:r>
      <w:r w:rsidRPr="00CF7751">
        <w:rPr>
          <w:rFonts w:ascii="Times New Roman" w:eastAsia="Calibri" w:hAnsi="Times New Roman" w:cs="Times New Roman"/>
          <w:i/>
          <w:iCs/>
        </w:rPr>
        <w:t>Structural Equation Modeling: A Multidisciplinary Journal</w:t>
      </w:r>
      <w:r w:rsidRPr="00CF7751">
        <w:rPr>
          <w:rFonts w:ascii="Times New Roman" w:eastAsia="Calibri" w:hAnsi="Times New Roman" w:cs="Times New Roman"/>
        </w:rPr>
        <w:t xml:space="preserve">, </w:t>
      </w:r>
      <w:r w:rsidRPr="00CF7751">
        <w:rPr>
          <w:rFonts w:ascii="Times New Roman" w:eastAsia="Calibri" w:hAnsi="Times New Roman" w:cs="Times New Roman"/>
          <w:i/>
          <w:iCs/>
        </w:rPr>
        <w:t>25</w:t>
      </w:r>
      <w:r w:rsidRPr="00CF7751">
        <w:rPr>
          <w:rFonts w:ascii="Times New Roman" w:eastAsia="Calibri" w:hAnsi="Times New Roman" w:cs="Times New Roman"/>
        </w:rPr>
        <w:t>(3), 359–388. https://doi.org/10.1080/10705511.2017.1406803</w:t>
      </w:r>
    </w:p>
    <w:p w14:paraId="378649ED"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lang w:val="nl-NL"/>
        </w:rPr>
        <w:t xml:space="preserve">Bakk, Z., &amp; Vermunt, J. K. (2016). </w:t>
      </w:r>
      <w:r w:rsidRPr="00CF7751">
        <w:rPr>
          <w:rFonts w:ascii="Times New Roman" w:eastAsia="Calibri" w:hAnsi="Times New Roman" w:cs="Times New Roman"/>
        </w:rPr>
        <w:t xml:space="preserve">Robustness of Stepwise Latent Class Modeling With Continuous Distal Outcomes. </w:t>
      </w:r>
      <w:r w:rsidRPr="00CF7751">
        <w:rPr>
          <w:rFonts w:ascii="Times New Roman" w:eastAsia="Calibri" w:hAnsi="Times New Roman" w:cs="Times New Roman"/>
          <w:i/>
          <w:iCs/>
        </w:rPr>
        <w:t>Structural Equation Modeling: A Multidisciplinary Journal</w:t>
      </w:r>
      <w:r w:rsidRPr="00CF7751">
        <w:rPr>
          <w:rFonts w:ascii="Times New Roman" w:eastAsia="Calibri" w:hAnsi="Times New Roman" w:cs="Times New Roman"/>
        </w:rPr>
        <w:t xml:space="preserve">, </w:t>
      </w:r>
      <w:r w:rsidRPr="00CF7751">
        <w:rPr>
          <w:rFonts w:ascii="Times New Roman" w:eastAsia="Calibri" w:hAnsi="Times New Roman" w:cs="Times New Roman"/>
          <w:i/>
          <w:iCs/>
        </w:rPr>
        <w:t>23</w:t>
      </w:r>
      <w:r w:rsidRPr="00CF7751">
        <w:rPr>
          <w:rFonts w:ascii="Times New Roman" w:eastAsia="Calibri" w:hAnsi="Times New Roman" w:cs="Times New Roman"/>
        </w:rPr>
        <w:t>(1), 20–31. https://doi.org/10.1080/10705511.2014.955104</w:t>
      </w:r>
    </w:p>
    <w:p w14:paraId="35CEE483"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Birditt, K. S., Brown, E., Orbuch, T. L., &amp; McIlvane, J. M. (2010). Marital Conflict Behaviors and Implications for Divorce Over 16 Years. </w:t>
      </w:r>
      <w:r w:rsidRPr="00CF7751">
        <w:rPr>
          <w:rFonts w:ascii="Times New Roman" w:eastAsia="Calibri" w:hAnsi="Times New Roman" w:cs="Times New Roman"/>
          <w:i/>
          <w:iCs/>
        </w:rPr>
        <w:t>Journal of Marriage and Family</w:t>
      </w:r>
      <w:r w:rsidRPr="00CF7751">
        <w:rPr>
          <w:rFonts w:ascii="Times New Roman" w:eastAsia="Calibri" w:hAnsi="Times New Roman" w:cs="Times New Roman"/>
        </w:rPr>
        <w:t xml:space="preserve">, </w:t>
      </w:r>
      <w:r w:rsidRPr="00CF7751">
        <w:rPr>
          <w:rFonts w:ascii="Times New Roman" w:eastAsia="Calibri" w:hAnsi="Times New Roman" w:cs="Times New Roman"/>
          <w:i/>
          <w:iCs/>
        </w:rPr>
        <w:t>72</w:t>
      </w:r>
      <w:r w:rsidRPr="00CF7751">
        <w:rPr>
          <w:rFonts w:ascii="Times New Roman" w:eastAsia="Calibri" w:hAnsi="Times New Roman" w:cs="Times New Roman"/>
        </w:rPr>
        <w:t>(5), 1188–1204. https://doi.org/10.1111/j.1741-3737.2010.00758.x</w:t>
      </w:r>
    </w:p>
    <w:p w14:paraId="5D214024"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lang w:val="nl-NL"/>
        </w:rPr>
        <w:t xml:space="preserve">Bogat, G. A., von Eye, A., &amp; Bergman, L. R. (2016). </w:t>
      </w:r>
      <w:r w:rsidRPr="00CF7751">
        <w:rPr>
          <w:rFonts w:ascii="Times New Roman" w:eastAsia="Calibri" w:hAnsi="Times New Roman" w:cs="Times New Roman"/>
        </w:rPr>
        <w:t xml:space="preserve">Person-Oriented Approaches. In D. Cicchetti (Ed.), </w:t>
      </w:r>
      <w:r w:rsidRPr="00CF7751">
        <w:rPr>
          <w:rFonts w:ascii="Times New Roman" w:eastAsia="Calibri" w:hAnsi="Times New Roman" w:cs="Times New Roman"/>
          <w:i/>
          <w:iCs/>
        </w:rPr>
        <w:t>Developmental Psychopathology</w:t>
      </w:r>
      <w:r w:rsidRPr="00CF7751">
        <w:rPr>
          <w:rFonts w:ascii="Times New Roman" w:eastAsia="Calibri" w:hAnsi="Times New Roman" w:cs="Times New Roman"/>
        </w:rPr>
        <w:t xml:space="preserve"> (pp. 1–49). John Wiley &amp; Sons, Inc. https://doi.org/10.1002/9781119125556.devpsy118</w:t>
      </w:r>
    </w:p>
    <w:p w14:paraId="5FA69B03" w14:textId="77777777" w:rsidR="00CF7751" w:rsidRPr="00CF7751" w:rsidRDefault="00CF7751" w:rsidP="00CF7751">
      <w:pPr>
        <w:rPr>
          <w:rFonts w:ascii="Times New Roman" w:eastAsia="Calibri" w:hAnsi="Times New Roman" w:cs="Times New Roman"/>
          <w:lang w:val="nl-NL"/>
        </w:rPr>
      </w:pPr>
      <w:r w:rsidRPr="00CF7751">
        <w:rPr>
          <w:rFonts w:ascii="Times New Roman" w:eastAsia="Calibri" w:hAnsi="Times New Roman" w:cs="Times New Roman"/>
        </w:rPr>
        <w:t xml:space="preserve">Branje, S. J. T., &amp; Meeus, W. H. J. (2018). </w:t>
      </w:r>
      <w:r w:rsidRPr="00CF7751">
        <w:rPr>
          <w:rFonts w:ascii="Times New Roman" w:eastAsia="Calibri" w:hAnsi="Times New Roman" w:cs="Times New Roman"/>
          <w:i/>
          <w:iCs/>
        </w:rPr>
        <w:t>Research on Adolescent Development and Relationships (Young cohort).</w:t>
      </w:r>
      <w:r w:rsidRPr="00CF7751">
        <w:rPr>
          <w:rFonts w:ascii="Times New Roman" w:eastAsia="Calibri" w:hAnsi="Times New Roman" w:cs="Times New Roman"/>
        </w:rPr>
        <w:t xml:space="preserve"> </w:t>
      </w:r>
      <w:r w:rsidRPr="00CF7751">
        <w:rPr>
          <w:rFonts w:ascii="Times New Roman" w:eastAsia="Calibri" w:hAnsi="Times New Roman" w:cs="Times New Roman"/>
          <w:lang w:val="nl-NL"/>
        </w:rPr>
        <w:t>DANS. https://doi.org/10.17026/dans-zrb-v5wp</w:t>
      </w:r>
    </w:p>
    <w:p w14:paraId="1595BE8C"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lang w:val="nl-NL"/>
        </w:rPr>
        <w:t xml:space="preserve">Chen, F. F. (2007). </w:t>
      </w:r>
      <w:r w:rsidRPr="00CF7751">
        <w:rPr>
          <w:rFonts w:ascii="Times New Roman" w:eastAsia="Calibri" w:hAnsi="Times New Roman" w:cs="Times New Roman"/>
        </w:rPr>
        <w:t xml:space="preserve">Sensitivity of Goodness of Fit Indexes to Lack of Measurement Invariance. </w:t>
      </w:r>
      <w:r w:rsidRPr="00CF7751">
        <w:rPr>
          <w:rFonts w:ascii="Times New Roman" w:eastAsia="Calibri" w:hAnsi="Times New Roman" w:cs="Times New Roman"/>
          <w:i/>
          <w:iCs/>
        </w:rPr>
        <w:t>Structural Equation Modeling: A Multidisciplinary Journal</w:t>
      </w:r>
      <w:r w:rsidRPr="00CF7751">
        <w:rPr>
          <w:rFonts w:ascii="Times New Roman" w:eastAsia="Calibri" w:hAnsi="Times New Roman" w:cs="Times New Roman"/>
        </w:rPr>
        <w:t xml:space="preserve">, </w:t>
      </w:r>
      <w:r w:rsidRPr="00CF7751">
        <w:rPr>
          <w:rFonts w:ascii="Times New Roman" w:eastAsia="Calibri" w:hAnsi="Times New Roman" w:cs="Times New Roman"/>
          <w:i/>
          <w:iCs/>
        </w:rPr>
        <w:t>14</w:t>
      </w:r>
      <w:r w:rsidRPr="00CF7751">
        <w:rPr>
          <w:rFonts w:ascii="Times New Roman" w:eastAsia="Calibri" w:hAnsi="Times New Roman" w:cs="Times New Roman"/>
        </w:rPr>
        <w:t>(3), 464–504. https://doi.org/10.1080/10705510701301834</w:t>
      </w:r>
    </w:p>
    <w:p w14:paraId="2CBBCF63"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Cox, M. J., Paley, B., &amp; Harter, K. (2001). Interparental Conflict and Parent–Child Relationships. In J. H. Grych &amp; F. D. Fincham (Eds.), </w:t>
      </w:r>
      <w:r w:rsidRPr="00CF7751">
        <w:rPr>
          <w:rFonts w:ascii="Times New Roman" w:eastAsia="Calibri" w:hAnsi="Times New Roman" w:cs="Times New Roman"/>
          <w:i/>
          <w:iCs/>
        </w:rPr>
        <w:t>Interparental Conflict and Child Development</w:t>
      </w:r>
      <w:r w:rsidRPr="00CF7751">
        <w:rPr>
          <w:rFonts w:ascii="Times New Roman" w:eastAsia="Calibri" w:hAnsi="Times New Roman" w:cs="Times New Roman"/>
        </w:rPr>
        <w:t xml:space="preserve"> (pp. 249–272). Cambridge University Press. https://doi.org/10.1017/CBO9780511527838.011</w:t>
      </w:r>
    </w:p>
    <w:p w14:paraId="3C0FCA3A"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De Goede, I. H. A., Branje, S. J. T., &amp; Meeus, W. H. J. (2009). Developmental Changes in Adolescents’ Perceptions of Relationships with Their Parents. </w:t>
      </w:r>
      <w:r w:rsidRPr="00CF7751">
        <w:rPr>
          <w:rFonts w:ascii="Times New Roman" w:eastAsia="Calibri" w:hAnsi="Times New Roman" w:cs="Times New Roman"/>
          <w:i/>
          <w:iCs/>
        </w:rPr>
        <w:t>Journal of Youth and Adolescence</w:t>
      </w:r>
      <w:r w:rsidRPr="00CF7751">
        <w:rPr>
          <w:rFonts w:ascii="Times New Roman" w:eastAsia="Calibri" w:hAnsi="Times New Roman" w:cs="Times New Roman"/>
        </w:rPr>
        <w:t xml:space="preserve">, </w:t>
      </w:r>
      <w:r w:rsidRPr="00CF7751">
        <w:rPr>
          <w:rFonts w:ascii="Times New Roman" w:eastAsia="Calibri" w:hAnsi="Times New Roman" w:cs="Times New Roman"/>
          <w:i/>
          <w:iCs/>
        </w:rPr>
        <w:t>38</w:t>
      </w:r>
      <w:r w:rsidRPr="00CF7751">
        <w:rPr>
          <w:rFonts w:ascii="Times New Roman" w:eastAsia="Calibri" w:hAnsi="Times New Roman" w:cs="Times New Roman"/>
        </w:rPr>
        <w:t>(1), 75–88. https://doi.org/10.1007/s10964-008-9286-7</w:t>
      </w:r>
    </w:p>
    <w:p w14:paraId="44CDF4ED" w14:textId="77777777" w:rsidR="00CF7751" w:rsidRPr="00CF7751" w:rsidRDefault="00CF7751" w:rsidP="00CF7751">
      <w:pPr>
        <w:rPr>
          <w:rFonts w:ascii="Times New Roman" w:eastAsia="Calibri" w:hAnsi="Times New Roman" w:cs="Times New Roman"/>
          <w:lang w:val="nl-NL"/>
        </w:rPr>
      </w:pPr>
      <w:r w:rsidRPr="00CF7751">
        <w:rPr>
          <w:rFonts w:ascii="Times New Roman" w:eastAsia="Calibri" w:hAnsi="Times New Roman" w:cs="Times New Roman"/>
        </w:rPr>
        <w:t xml:space="preserve">Erel, O., &amp; Burman, B. (1995). Interrelatedness of marital relations and parent-child relations: A meta-analytic review. </w:t>
      </w:r>
      <w:r w:rsidRPr="00CF7751">
        <w:rPr>
          <w:rFonts w:ascii="Times New Roman" w:eastAsia="Calibri" w:hAnsi="Times New Roman" w:cs="Times New Roman"/>
          <w:i/>
          <w:iCs/>
          <w:lang w:val="nl-NL"/>
        </w:rPr>
        <w:t>Psychological Bulletin</w:t>
      </w:r>
      <w:r w:rsidRPr="00CF7751">
        <w:rPr>
          <w:rFonts w:ascii="Times New Roman" w:eastAsia="Calibri" w:hAnsi="Times New Roman" w:cs="Times New Roman"/>
          <w:lang w:val="nl-NL"/>
        </w:rPr>
        <w:t xml:space="preserve">, </w:t>
      </w:r>
      <w:r w:rsidRPr="00CF7751">
        <w:rPr>
          <w:rFonts w:ascii="Times New Roman" w:eastAsia="Calibri" w:hAnsi="Times New Roman" w:cs="Times New Roman"/>
          <w:i/>
          <w:iCs/>
          <w:lang w:val="nl-NL"/>
        </w:rPr>
        <w:t>118</w:t>
      </w:r>
      <w:r w:rsidRPr="00CF7751">
        <w:rPr>
          <w:rFonts w:ascii="Times New Roman" w:eastAsia="Calibri" w:hAnsi="Times New Roman" w:cs="Times New Roman"/>
          <w:lang w:val="nl-NL"/>
        </w:rPr>
        <w:t>(1), 108–132. https://doi.org/10.1037/0033-2909.118.1.108</w:t>
      </w:r>
    </w:p>
    <w:p w14:paraId="2C3A0A7B"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lang w:val="nl-NL"/>
        </w:rPr>
        <w:t xml:space="preserve">Fosco, G. M., Lippold, M., &amp; Feinberg, M. E. (2014). </w:t>
      </w:r>
      <w:r w:rsidRPr="00CF7751">
        <w:rPr>
          <w:rFonts w:ascii="Times New Roman" w:eastAsia="Calibri" w:hAnsi="Times New Roman" w:cs="Times New Roman"/>
        </w:rPr>
        <w:t xml:space="preserve">Interparental boundary problems, parent–adolescent hostility, and adolescent–parent hostility: A family process model for adolescent aggression problems. </w:t>
      </w:r>
      <w:r w:rsidRPr="00CF7751">
        <w:rPr>
          <w:rFonts w:ascii="Times New Roman" w:eastAsia="Calibri" w:hAnsi="Times New Roman" w:cs="Times New Roman"/>
          <w:i/>
          <w:iCs/>
        </w:rPr>
        <w:t>Couple and Family Psychology: Research and Practice</w:t>
      </w:r>
      <w:r w:rsidRPr="00CF7751">
        <w:rPr>
          <w:rFonts w:ascii="Times New Roman" w:eastAsia="Calibri" w:hAnsi="Times New Roman" w:cs="Times New Roman"/>
        </w:rPr>
        <w:t xml:space="preserve">, </w:t>
      </w:r>
      <w:r w:rsidRPr="00CF7751">
        <w:rPr>
          <w:rFonts w:ascii="Times New Roman" w:eastAsia="Calibri" w:hAnsi="Times New Roman" w:cs="Times New Roman"/>
          <w:i/>
          <w:iCs/>
        </w:rPr>
        <w:t>3</w:t>
      </w:r>
      <w:r w:rsidRPr="00CF7751">
        <w:rPr>
          <w:rFonts w:ascii="Times New Roman" w:eastAsia="Calibri" w:hAnsi="Times New Roman" w:cs="Times New Roman"/>
        </w:rPr>
        <w:t>(3), 141–155. https://doi.org/10.1037/cfp0000025</w:t>
      </w:r>
    </w:p>
    <w:p w14:paraId="49B0D71E"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Fosco, G. M., &amp; Lydon‐Staley, D. M. (2019). Implications of Family Cohesion and Conflict for Adolescent Mood and Well‐Being: Examining Within‐ and Between‐Family Processes on a Daily Timescale. </w:t>
      </w:r>
      <w:r w:rsidRPr="00CF7751">
        <w:rPr>
          <w:rFonts w:ascii="Times New Roman" w:eastAsia="Calibri" w:hAnsi="Times New Roman" w:cs="Times New Roman"/>
          <w:i/>
          <w:iCs/>
        </w:rPr>
        <w:t>Family Process</w:t>
      </w:r>
      <w:r w:rsidRPr="00CF7751">
        <w:rPr>
          <w:rFonts w:ascii="Times New Roman" w:eastAsia="Calibri" w:hAnsi="Times New Roman" w:cs="Times New Roman"/>
        </w:rPr>
        <w:t>, famp.12515. https://doi.org/10.1111/famp.12515</w:t>
      </w:r>
    </w:p>
    <w:p w14:paraId="203969D9"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Furman, W., &amp; Buhrmester, D. (1985). Children’s perceptions of the personal relationships in their social networks. </w:t>
      </w:r>
      <w:r w:rsidRPr="00CF7751">
        <w:rPr>
          <w:rFonts w:ascii="Times New Roman" w:eastAsia="Calibri" w:hAnsi="Times New Roman" w:cs="Times New Roman"/>
          <w:i/>
          <w:iCs/>
        </w:rPr>
        <w:t>Developmental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21</w:t>
      </w:r>
      <w:r w:rsidRPr="00CF7751">
        <w:rPr>
          <w:rFonts w:ascii="Times New Roman" w:eastAsia="Calibri" w:hAnsi="Times New Roman" w:cs="Times New Roman"/>
        </w:rPr>
        <w:t>(6), 1016–1024. https://doi.org/10.1037/0012-1649.21.6.1016</w:t>
      </w:r>
    </w:p>
    <w:p w14:paraId="559E7C67"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Gao, M. (Miranda), &amp; Cummings, E. M. (2019). Understanding parent–child relationship as a developmental process: Fluctuations across days and changes over years. </w:t>
      </w:r>
      <w:r w:rsidRPr="00CF7751">
        <w:rPr>
          <w:rFonts w:ascii="Times New Roman" w:eastAsia="Calibri" w:hAnsi="Times New Roman" w:cs="Times New Roman"/>
          <w:i/>
          <w:iCs/>
        </w:rPr>
        <w:t>Developmental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55</w:t>
      </w:r>
      <w:r w:rsidRPr="00CF7751">
        <w:rPr>
          <w:rFonts w:ascii="Times New Roman" w:eastAsia="Calibri" w:hAnsi="Times New Roman" w:cs="Times New Roman"/>
        </w:rPr>
        <w:t>(5), 1046–1058. https://doi.org/10.1037/dev0000680</w:t>
      </w:r>
    </w:p>
    <w:p w14:paraId="3C175BB4"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Gao, M. (Miranda), Du, H., Davies, P. T., &amp; Cummings, E. M. (2019). Marital Conflict Behaviors and Parenting: Dyadic Links Over Time. </w:t>
      </w:r>
      <w:r w:rsidRPr="00CF7751">
        <w:rPr>
          <w:rFonts w:ascii="Times New Roman" w:eastAsia="Calibri" w:hAnsi="Times New Roman" w:cs="Times New Roman"/>
          <w:i/>
          <w:iCs/>
        </w:rPr>
        <w:t>Family Relations</w:t>
      </w:r>
      <w:r w:rsidRPr="00CF7751">
        <w:rPr>
          <w:rFonts w:ascii="Times New Roman" w:eastAsia="Calibri" w:hAnsi="Times New Roman" w:cs="Times New Roman"/>
        </w:rPr>
        <w:t>. https://doi.org/10.1111/fare.12322</w:t>
      </w:r>
    </w:p>
    <w:p w14:paraId="6725CB86"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lastRenderedPageBreak/>
        <w:t xml:space="preserve">Goeke-Morey, M. C., Cummings, E. M., Harold, G. T., &amp; Shelton, K. H. (2003). Categories and continua of destructive and constructive marital conflict tactics from the perspective of U.S. and Welsh children. </w:t>
      </w:r>
      <w:r w:rsidRPr="00CF7751">
        <w:rPr>
          <w:rFonts w:ascii="Times New Roman" w:eastAsia="Calibri" w:hAnsi="Times New Roman" w:cs="Times New Roman"/>
          <w:i/>
          <w:iCs/>
        </w:rPr>
        <w:t>Journal of Family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17</w:t>
      </w:r>
      <w:r w:rsidRPr="00CF7751">
        <w:rPr>
          <w:rFonts w:ascii="Times New Roman" w:eastAsia="Calibri" w:hAnsi="Times New Roman" w:cs="Times New Roman"/>
        </w:rPr>
        <w:t>(3), 327–338. https://doi.org/10.1037/0893-3200.17.3.327</w:t>
      </w:r>
    </w:p>
    <w:p w14:paraId="2FFDCA4B"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Gottman, J. M. (1993). The roles of conflict engagement, escalation, and avoidance in marital interaction: A longitudinal view of five types of couples. </w:t>
      </w:r>
      <w:r w:rsidRPr="00CF7751">
        <w:rPr>
          <w:rFonts w:ascii="Times New Roman" w:eastAsia="Calibri" w:hAnsi="Times New Roman" w:cs="Times New Roman"/>
          <w:i/>
          <w:iCs/>
        </w:rPr>
        <w:t>Journal of Consulting and Clinical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61</w:t>
      </w:r>
      <w:r w:rsidRPr="00CF7751">
        <w:rPr>
          <w:rFonts w:ascii="Times New Roman" w:eastAsia="Calibri" w:hAnsi="Times New Roman" w:cs="Times New Roman"/>
        </w:rPr>
        <w:t>(1), 6–15. https://doi.org/10.1037/0022-006X.61.1.6</w:t>
      </w:r>
    </w:p>
    <w:p w14:paraId="36466754"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Granic, I., &amp; Hollenstein, T. (2015). A Survey of Dynamic Systems Methods for Developmental Psychopathology. In D. Cicchetti &amp; D. J. Cohen (Eds.), </w:t>
      </w:r>
      <w:r w:rsidRPr="00CF7751">
        <w:rPr>
          <w:rFonts w:ascii="Times New Roman" w:eastAsia="Calibri" w:hAnsi="Times New Roman" w:cs="Times New Roman"/>
          <w:i/>
          <w:iCs/>
        </w:rPr>
        <w:t>Developmental Psychopathology</w:t>
      </w:r>
      <w:r w:rsidRPr="00CF7751">
        <w:rPr>
          <w:rFonts w:ascii="Times New Roman" w:eastAsia="Calibri" w:hAnsi="Times New Roman" w:cs="Times New Roman"/>
        </w:rPr>
        <w:t xml:space="preserve"> (pp. 889–930). John Wiley &amp; Sons, Inc. https://doi.org/10.1002/9780470939383.ch22</w:t>
      </w:r>
    </w:p>
    <w:p w14:paraId="45F6D150"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Jarvis, S. N., McClure, M. J., &amp; Bolger, N. (2019). Exploring how exchange orientation affects conflict and intimacy in the daily life of romantic couples. </w:t>
      </w:r>
      <w:r w:rsidRPr="00CF7751">
        <w:rPr>
          <w:rFonts w:ascii="Times New Roman" w:eastAsia="Calibri" w:hAnsi="Times New Roman" w:cs="Times New Roman"/>
          <w:i/>
          <w:iCs/>
        </w:rPr>
        <w:t>Journal of Social and Personal Relationships</w:t>
      </w:r>
      <w:r w:rsidRPr="00CF7751">
        <w:rPr>
          <w:rFonts w:ascii="Times New Roman" w:eastAsia="Calibri" w:hAnsi="Times New Roman" w:cs="Times New Roman"/>
        </w:rPr>
        <w:t xml:space="preserve">, </w:t>
      </w:r>
      <w:r w:rsidRPr="00CF7751">
        <w:rPr>
          <w:rFonts w:ascii="Times New Roman" w:eastAsia="Calibri" w:hAnsi="Times New Roman" w:cs="Times New Roman"/>
          <w:i/>
          <w:iCs/>
        </w:rPr>
        <w:t>36</w:t>
      </w:r>
      <w:r w:rsidRPr="00CF7751">
        <w:rPr>
          <w:rFonts w:ascii="Times New Roman" w:eastAsia="Calibri" w:hAnsi="Times New Roman" w:cs="Times New Roman"/>
        </w:rPr>
        <w:t>(11–12), 3575–3587. https://doi.org/10.1177/0265407519826743</w:t>
      </w:r>
    </w:p>
    <w:p w14:paraId="28C8D510"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Jorgensen, T. D., Pornprasertmanit, S., Schoemann, A. M., Rosseel, Y., Miller, P., Quick, C., &amp; Garnier-Villarreal, M. (2018). semTools: Useful tools for structural equation modeling. </w:t>
      </w:r>
      <w:r w:rsidRPr="00CF7751">
        <w:rPr>
          <w:rFonts w:ascii="Times New Roman" w:eastAsia="Calibri" w:hAnsi="Times New Roman" w:cs="Times New Roman"/>
          <w:i/>
          <w:iCs/>
        </w:rPr>
        <w:t>R Package Version 0.5-0</w:t>
      </w:r>
      <w:r w:rsidRPr="00CF7751">
        <w:rPr>
          <w:rFonts w:ascii="Times New Roman" w:eastAsia="Calibri" w:hAnsi="Times New Roman" w:cs="Times New Roman"/>
        </w:rPr>
        <w:t>.</w:t>
      </w:r>
    </w:p>
    <w:p w14:paraId="3BA288FA"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Jouriles, E. N., &amp; Farris, A. M. (1992). Effects of marital conflict on subsequent parent-son interactions. </w:t>
      </w:r>
      <w:r w:rsidRPr="00CF7751">
        <w:rPr>
          <w:rFonts w:ascii="Times New Roman" w:eastAsia="Calibri" w:hAnsi="Times New Roman" w:cs="Times New Roman"/>
          <w:i/>
          <w:iCs/>
        </w:rPr>
        <w:t>Behavior Therapy</w:t>
      </w:r>
      <w:r w:rsidRPr="00CF7751">
        <w:rPr>
          <w:rFonts w:ascii="Times New Roman" w:eastAsia="Calibri" w:hAnsi="Times New Roman" w:cs="Times New Roman"/>
        </w:rPr>
        <w:t xml:space="preserve">, </w:t>
      </w:r>
      <w:r w:rsidRPr="00CF7751">
        <w:rPr>
          <w:rFonts w:ascii="Times New Roman" w:eastAsia="Calibri" w:hAnsi="Times New Roman" w:cs="Times New Roman"/>
          <w:i/>
          <w:iCs/>
        </w:rPr>
        <w:t>23</w:t>
      </w:r>
      <w:r w:rsidRPr="00CF7751">
        <w:rPr>
          <w:rFonts w:ascii="Times New Roman" w:eastAsia="Calibri" w:hAnsi="Times New Roman" w:cs="Times New Roman"/>
        </w:rPr>
        <w:t>(3), 355–374. https://doi.org/10.1016/S0005-7894(05)80163-7</w:t>
      </w:r>
    </w:p>
    <w:p w14:paraId="656DA134"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Jung, T., &amp; Wickrama, K. A. S. (2008). An Introduction to Latent Class Growth Analysis and Growth Mixture Modeling. </w:t>
      </w:r>
      <w:r w:rsidRPr="00CF7751">
        <w:rPr>
          <w:rFonts w:ascii="Times New Roman" w:eastAsia="Calibri" w:hAnsi="Times New Roman" w:cs="Times New Roman"/>
          <w:i/>
          <w:iCs/>
        </w:rPr>
        <w:t>Social and Personality Psychology Compass</w:t>
      </w:r>
      <w:r w:rsidRPr="00CF7751">
        <w:rPr>
          <w:rFonts w:ascii="Times New Roman" w:eastAsia="Calibri" w:hAnsi="Times New Roman" w:cs="Times New Roman"/>
        </w:rPr>
        <w:t xml:space="preserve">, </w:t>
      </w:r>
      <w:r w:rsidRPr="00CF7751">
        <w:rPr>
          <w:rFonts w:ascii="Times New Roman" w:eastAsia="Calibri" w:hAnsi="Times New Roman" w:cs="Times New Roman"/>
          <w:i/>
          <w:iCs/>
        </w:rPr>
        <w:t>2</w:t>
      </w:r>
      <w:r w:rsidRPr="00CF7751">
        <w:rPr>
          <w:rFonts w:ascii="Times New Roman" w:eastAsia="Calibri" w:hAnsi="Times New Roman" w:cs="Times New Roman"/>
        </w:rPr>
        <w:t>(1), 302–317. https://doi.org/10.1111/j.1751-9004.2007.00054.x</w:t>
      </w:r>
    </w:p>
    <w:p w14:paraId="39CE458C" w14:textId="77777777" w:rsidR="00CF7751" w:rsidRPr="00CF7751" w:rsidRDefault="00CF7751" w:rsidP="00CF7751">
      <w:pPr>
        <w:rPr>
          <w:rFonts w:ascii="Times New Roman" w:eastAsia="Calibri" w:hAnsi="Times New Roman" w:cs="Times New Roman"/>
          <w:lang w:val="nl-NL"/>
        </w:rPr>
      </w:pPr>
      <w:r w:rsidRPr="00CF7751">
        <w:rPr>
          <w:rFonts w:ascii="Times New Roman" w:eastAsia="Calibri" w:hAnsi="Times New Roman" w:cs="Times New Roman"/>
        </w:rPr>
        <w:t xml:space="preserve">Keijsers, L., &amp; van Roekel, E. (2018). Longitudinal methods in adolescent psychology: Where could we go from here? And should we? In L. B. Hendry &amp; M. Kloep (Eds.), </w:t>
      </w:r>
      <w:r w:rsidRPr="00CF7751">
        <w:rPr>
          <w:rFonts w:ascii="Times New Roman" w:eastAsia="Calibri" w:hAnsi="Times New Roman" w:cs="Times New Roman"/>
          <w:i/>
          <w:iCs/>
        </w:rPr>
        <w:t>Reframing Adolescent Research</w:t>
      </w:r>
      <w:r w:rsidRPr="00CF7751">
        <w:rPr>
          <w:rFonts w:ascii="Times New Roman" w:eastAsia="Calibri" w:hAnsi="Times New Roman" w:cs="Times New Roman"/>
        </w:rPr>
        <w:t xml:space="preserve"> (pp. 70–91). </w:t>
      </w:r>
      <w:r w:rsidRPr="00CF7751">
        <w:rPr>
          <w:rFonts w:ascii="Times New Roman" w:eastAsia="Calibri" w:hAnsi="Times New Roman" w:cs="Times New Roman"/>
          <w:lang w:val="nl-NL"/>
        </w:rPr>
        <w:t>Routledge.</w:t>
      </w:r>
    </w:p>
    <w:p w14:paraId="394ED6CA"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lang w:val="nl-NL"/>
        </w:rPr>
        <w:t xml:space="preserve">Keijsers, L., Voelkle, M. C., Maciejewski, D., Branje, S. J. T., Koot, H., Hiemstra, M., &amp; Meeus, W. (2016). </w:t>
      </w:r>
      <w:r w:rsidRPr="00CF7751">
        <w:rPr>
          <w:rFonts w:ascii="Times New Roman" w:eastAsia="Calibri" w:hAnsi="Times New Roman" w:cs="Times New Roman"/>
        </w:rPr>
        <w:t xml:space="preserve">What drives developmental change in adolescent disclosure and maternal knowledge? Heterogeneity in within-family processes. </w:t>
      </w:r>
      <w:r w:rsidRPr="00CF7751">
        <w:rPr>
          <w:rFonts w:ascii="Times New Roman" w:eastAsia="Calibri" w:hAnsi="Times New Roman" w:cs="Times New Roman"/>
          <w:i/>
          <w:iCs/>
        </w:rPr>
        <w:t>Developmental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52</w:t>
      </w:r>
      <w:r w:rsidRPr="00CF7751">
        <w:rPr>
          <w:rFonts w:ascii="Times New Roman" w:eastAsia="Calibri" w:hAnsi="Times New Roman" w:cs="Times New Roman"/>
        </w:rPr>
        <w:t>(12), 2057–2070. https://doi.org/10.1037/dev0000220</w:t>
      </w:r>
    </w:p>
    <w:p w14:paraId="2092CF70"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Kerig, P. K. (2016). Family Systems from a Developmental Psychopathology Perspective. In D. Cicchetti (Ed.), </w:t>
      </w:r>
      <w:r w:rsidRPr="00CF7751">
        <w:rPr>
          <w:rFonts w:ascii="Times New Roman" w:eastAsia="Calibri" w:hAnsi="Times New Roman" w:cs="Times New Roman"/>
          <w:i/>
          <w:iCs/>
        </w:rPr>
        <w:t>Developmental Psychopathology</w:t>
      </w:r>
      <w:r w:rsidRPr="00CF7751">
        <w:rPr>
          <w:rFonts w:ascii="Times New Roman" w:eastAsia="Calibri" w:hAnsi="Times New Roman" w:cs="Times New Roman"/>
        </w:rPr>
        <w:t xml:space="preserve"> (pp. 1–51). John Wiley &amp; Sons, Inc. https://doi.org/10.1002/9781119125556.devpsy113</w:t>
      </w:r>
    </w:p>
    <w:p w14:paraId="3B2CBD2D"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Kopystynska, O., Paschall, K. W., Barnett, M. A., &amp; Curran, M. A. (2017). Patterns of interparental conflict, parenting, and children’s emotional insecurity: A person-centered approach. </w:t>
      </w:r>
      <w:r w:rsidRPr="00CF7751">
        <w:rPr>
          <w:rFonts w:ascii="Times New Roman" w:eastAsia="Calibri" w:hAnsi="Times New Roman" w:cs="Times New Roman"/>
          <w:i/>
          <w:iCs/>
        </w:rPr>
        <w:t>Journal of Family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31</w:t>
      </w:r>
      <w:r w:rsidRPr="00CF7751">
        <w:rPr>
          <w:rFonts w:ascii="Times New Roman" w:eastAsia="Calibri" w:hAnsi="Times New Roman" w:cs="Times New Roman"/>
        </w:rPr>
        <w:t>(7), 922–932. https://doi.org/10.1037/fam0000343</w:t>
      </w:r>
    </w:p>
    <w:p w14:paraId="3E6237BF"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Kouros, C. D., Papp, L. M., Goeke-Morey, M. C., &amp; Cummings, E. M. (2014). Spillover between marital quality and parent–child relationship quality: Parental depressive symptoms as moderators. </w:t>
      </w:r>
      <w:r w:rsidRPr="00CF7751">
        <w:rPr>
          <w:rFonts w:ascii="Times New Roman" w:eastAsia="Calibri" w:hAnsi="Times New Roman" w:cs="Times New Roman"/>
          <w:i/>
          <w:iCs/>
        </w:rPr>
        <w:t>Journal of Family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28</w:t>
      </w:r>
      <w:r w:rsidRPr="00CF7751">
        <w:rPr>
          <w:rFonts w:ascii="Times New Roman" w:eastAsia="Calibri" w:hAnsi="Times New Roman" w:cs="Times New Roman"/>
        </w:rPr>
        <w:t>(3), 315–325. https://doi.org/10.1037/a0036804</w:t>
      </w:r>
    </w:p>
    <w:p w14:paraId="59017067"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Krishnakumar, A., &amp; Buehler, C. (2000). Interparental Conflict and Parenting Behaviors: A Meta-Analytic Review. </w:t>
      </w:r>
      <w:r w:rsidRPr="00CF7751">
        <w:rPr>
          <w:rFonts w:ascii="Times New Roman" w:eastAsia="Calibri" w:hAnsi="Times New Roman" w:cs="Times New Roman"/>
          <w:i/>
          <w:iCs/>
        </w:rPr>
        <w:t>Family Relations</w:t>
      </w:r>
      <w:r w:rsidRPr="00CF7751">
        <w:rPr>
          <w:rFonts w:ascii="Times New Roman" w:eastAsia="Calibri" w:hAnsi="Times New Roman" w:cs="Times New Roman"/>
        </w:rPr>
        <w:t xml:space="preserve">, </w:t>
      </w:r>
      <w:r w:rsidRPr="00CF7751">
        <w:rPr>
          <w:rFonts w:ascii="Times New Roman" w:eastAsia="Calibri" w:hAnsi="Times New Roman" w:cs="Times New Roman"/>
          <w:i/>
          <w:iCs/>
        </w:rPr>
        <w:t>49</w:t>
      </w:r>
      <w:r w:rsidRPr="00CF7751">
        <w:rPr>
          <w:rFonts w:ascii="Times New Roman" w:eastAsia="Calibri" w:hAnsi="Times New Roman" w:cs="Times New Roman"/>
        </w:rPr>
        <w:t>(1), 25–44. https://doi.org/10.1111/j.1741-3729.2000.00025.x</w:t>
      </w:r>
    </w:p>
    <w:p w14:paraId="27420D57"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Laursen, B., Coy, K. C., &amp; Collins, W. A. (1998). Reconsidering Changes in Parent-Child Conflict across Adolescence: A Meta-Analysis. </w:t>
      </w:r>
      <w:r w:rsidRPr="00CF7751">
        <w:rPr>
          <w:rFonts w:ascii="Times New Roman" w:eastAsia="Calibri" w:hAnsi="Times New Roman" w:cs="Times New Roman"/>
          <w:i/>
          <w:iCs/>
        </w:rPr>
        <w:t>Child Development</w:t>
      </w:r>
      <w:r w:rsidRPr="00CF7751">
        <w:rPr>
          <w:rFonts w:ascii="Times New Roman" w:eastAsia="Calibri" w:hAnsi="Times New Roman" w:cs="Times New Roman"/>
        </w:rPr>
        <w:t xml:space="preserve">, </w:t>
      </w:r>
      <w:r w:rsidRPr="00CF7751">
        <w:rPr>
          <w:rFonts w:ascii="Times New Roman" w:eastAsia="Calibri" w:hAnsi="Times New Roman" w:cs="Times New Roman"/>
          <w:i/>
          <w:iCs/>
        </w:rPr>
        <w:t>69</w:t>
      </w:r>
      <w:r w:rsidRPr="00CF7751">
        <w:rPr>
          <w:rFonts w:ascii="Times New Roman" w:eastAsia="Calibri" w:hAnsi="Times New Roman" w:cs="Times New Roman"/>
        </w:rPr>
        <w:t>(3), 817. https://doi.org/10.2307/1132206</w:t>
      </w:r>
    </w:p>
    <w:p w14:paraId="2C0687FE"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lastRenderedPageBreak/>
        <w:t xml:space="preserve">Little, R. J. A. (1988). A Test of Missing Completely at Random for Multivariate Data with Missing Values. </w:t>
      </w:r>
      <w:r w:rsidRPr="00CF7751">
        <w:rPr>
          <w:rFonts w:ascii="Times New Roman" w:eastAsia="Calibri" w:hAnsi="Times New Roman" w:cs="Times New Roman"/>
          <w:i/>
          <w:iCs/>
        </w:rPr>
        <w:t>Journal of the American Statistical Association</w:t>
      </w:r>
      <w:r w:rsidRPr="00CF7751">
        <w:rPr>
          <w:rFonts w:ascii="Times New Roman" w:eastAsia="Calibri" w:hAnsi="Times New Roman" w:cs="Times New Roman"/>
        </w:rPr>
        <w:t xml:space="preserve">, </w:t>
      </w:r>
      <w:r w:rsidRPr="00CF7751">
        <w:rPr>
          <w:rFonts w:ascii="Times New Roman" w:eastAsia="Calibri" w:hAnsi="Times New Roman" w:cs="Times New Roman"/>
          <w:i/>
          <w:iCs/>
        </w:rPr>
        <w:t>83</w:t>
      </w:r>
      <w:r w:rsidRPr="00CF7751">
        <w:rPr>
          <w:rFonts w:ascii="Times New Roman" w:eastAsia="Calibri" w:hAnsi="Times New Roman" w:cs="Times New Roman"/>
        </w:rPr>
        <w:t>(404), 1198–1202. https://doi.org/10.1080/01621459.1988.10478722</w:t>
      </w:r>
    </w:p>
    <w:p w14:paraId="119BD665"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Little, T. D. (2013). </w:t>
      </w:r>
      <w:r w:rsidRPr="00CF7751">
        <w:rPr>
          <w:rFonts w:ascii="Times New Roman" w:eastAsia="Calibri" w:hAnsi="Times New Roman" w:cs="Times New Roman"/>
          <w:i/>
          <w:iCs/>
        </w:rPr>
        <w:t>Longitudinal structural equation modeling</w:t>
      </w:r>
      <w:r w:rsidRPr="00CF7751">
        <w:rPr>
          <w:rFonts w:ascii="Times New Roman" w:eastAsia="Calibri" w:hAnsi="Times New Roman" w:cs="Times New Roman"/>
        </w:rPr>
        <w:t>. Guilford press.</w:t>
      </w:r>
    </w:p>
    <w:p w14:paraId="227CA03C" w14:textId="77777777" w:rsidR="00CF7751" w:rsidRPr="00CF7751" w:rsidRDefault="00CF7751" w:rsidP="00CF7751">
      <w:pPr>
        <w:rPr>
          <w:rFonts w:ascii="Times New Roman" w:eastAsia="Calibri" w:hAnsi="Times New Roman" w:cs="Times New Roman"/>
          <w:lang w:val="nl-NL"/>
        </w:rPr>
      </w:pPr>
      <w:r w:rsidRPr="00CF7751">
        <w:rPr>
          <w:rFonts w:ascii="Times New Roman" w:eastAsia="Calibri" w:hAnsi="Times New Roman" w:cs="Times New Roman"/>
        </w:rPr>
        <w:t xml:space="preserve">Markman, H. J., Rhoades, G. K., Stanley, S. M., Ragan, E. P., &amp; Whitton, S. W. (2010). The premarital communication roots of marital distress and divorce: The first five years of marriage. </w:t>
      </w:r>
      <w:r w:rsidRPr="00CF7751">
        <w:rPr>
          <w:rFonts w:ascii="Times New Roman" w:eastAsia="Calibri" w:hAnsi="Times New Roman" w:cs="Times New Roman"/>
          <w:i/>
          <w:iCs/>
          <w:lang w:val="nl-NL"/>
        </w:rPr>
        <w:t>Journal of Family Psychology</w:t>
      </w:r>
      <w:r w:rsidRPr="00CF7751">
        <w:rPr>
          <w:rFonts w:ascii="Times New Roman" w:eastAsia="Calibri" w:hAnsi="Times New Roman" w:cs="Times New Roman"/>
          <w:lang w:val="nl-NL"/>
        </w:rPr>
        <w:t xml:space="preserve">, </w:t>
      </w:r>
      <w:r w:rsidRPr="00CF7751">
        <w:rPr>
          <w:rFonts w:ascii="Times New Roman" w:eastAsia="Calibri" w:hAnsi="Times New Roman" w:cs="Times New Roman"/>
          <w:i/>
          <w:iCs/>
          <w:lang w:val="nl-NL"/>
        </w:rPr>
        <w:t>24</w:t>
      </w:r>
      <w:r w:rsidRPr="00CF7751">
        <w:rPr>
          <w:rFonts w:ascii="Times New Roman" w:eastAsia="Calibri" w:hAnsi="Times New Roman" w:cs="Times New Roman"/>
          <w:lang w:val="nl-NL"/>
        </w:rPr>
        <w:t>(3), 289–298. https://doi.org/10.1037/a0019481</w:t>
      </w:r>
    </w:p>
    <w:p w14:paraId="221BD279"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lang w:val="nl-NL"/>
        </w:rPr>
        <w:t xml:space="preserve">Mastrotheodoros, S., Van der Graaff, J., Deković, M., Meeus, W. H. J., &amp; Branje, S. (2020). </w:t>
      </w:r>
      <w:r w:rsidRPr="00CF7751">
        <w:rPr>
          <w:rFonts w:ascii="Times New Roman" w:eastAsia="Calibri" w:hAnsi="Times New Roman" w:cs="Times New Roman"/>
        </w:rPr>
        <w:t xml:space="preserve">Parent–Adolescent Conflict across Adolescence: Trajectories of Informant Discrepancies and Associations with Personality Types. </w:t>
      </w:r>
      <w:r w:rsidRPr="00CF7751">
        <w:rPr>
          <w:rFonts w:ascii="Times New Roman" w:eastAsia="Calibri" w:hAnsi="Times New Roman" w:cs="Times New Roman"/>
          <w:i/>
          <w:iCs/>
        </w:rPr>
        <w:t>Journal of Youth and Adolescence</w:t>
      </w:r>
      <w:r w:rsidRPr="00CF7751">
        <w:rPr>
          <w:rFonts w:ascii="Times New Roman" w:eastAsia="Calibri" w:hAnsi="Times New Roman" w:cs="Times New Roman"/>
        </w:rPr>
        <w:t xml:space="preserve">, </w:t>
      </w:r>
      <w:r w:rsidRPr="00CF7751">
        <w:rPr>
          <w:rFonts w:ascii="Times New Roman" w:eastAsia="Calibri" w:hAnsi="Times New Roman" w:cs="Times New Roman"/>
          <w:i/>
          <w:iCs/>
        </w:rPr>
        <w:t>49</w:t>
      </w:r>
      <w:r w:rsidRPr="00CF7751">
        <w:rPr>
          <w:rFonts w:ascii="Times New Roman" w:eastAsia="Calibri" w:hAnsi="Times New Roman" w:cs="Times New Roman"/>
        </w:rPr>
        <w:t>(1), 119–135. https://doi.org/10.1007/s10964-019-01054-7</w:t>
      </w:r>
    </w:p>
    <w:p w14:paraId="20663A09"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Mastrotheodoros, S., Van der Graaff, J., Deković, M., Meeus, W. H. J., &amp; Branje, S. J. T. (2019a). Interparental Conflict Management Strategies and Parent-Adolescent Relationships: Disentangling Between-Person From Within-Person Effects Across Adolescence. </w:t>
      </w:r>
      <w:r w:rsidRPr="00CF7751">
        <w:rPr>
          <w:rFonts w:ascii="Times New Roman" w:eastAsia="Calibri" w:hAnsi="Times New Roman" w:cs="Times New Roman"/>
          <w:i/>
          <w:iCs/>
        </w:rPr>
        <w:t>Journal of Marriage and Family</w:t>
      </w:r>
      <w:r w:rsidRPr="00CF7751">
        <w:rPr>
          <w:rFonts w:ascii="Times New Roman" w:eastAsia="Calibri" w:hAnsi="Times New Roman" w:cs="Times New Roman"/>
        </w:rPr>
        <w:t xml:space="preserve">, </w:t>
      </w:r>
      <w:r w:rsidRPr="00CF7751">
        <w:rPr>
          <w:rFonts w:ascii="Times New Roman" w:eastAsia="Calibri" w:hAnsi="Times New Roman" w:cs="Times New Roman"/>
          <w:i/>
          <w:iCs/>
        </w:rPr>
        <w:t>81</w:t>
      </w:r>
      <w:r w:rsidRPr="00CF7751">
        <w:rPr>
          <w:rFonts w:ascii="Times New Roman" w:eastAsia="Calibri" w:hAnsi="Times New Roman" w:cs="Times New Roman"/>
        </w:rPr>
        <w:t>(1), 185–203. https://doi.org/10.1111/jomf.12528</w:t>
      </w:r>
    </w:p>
    <w:p w14:paraId="0CCD2917" w14:textId="77777777" w:rsidR="00CF7751" w:rsidRPr="00CF7751" w:rsidRDefault="00CF7751" w:rsidP="00CF7751">
      <w:pPr>
        <w:rPr>
          <w:rFonts w:ascii="Times New Roman" w:eastAsia="Calibri" w:hAnsi="Times New Roman" w:cs="Times New Roman"/>
          <w:lang w:val="nl-NL"/>
        </w:rPr>
      </w:pPr>
      <w:r w:rsidRPr="00CF7751">
        <w:rPr>
          <w:rFonts w:ascii="Times New Roman" w:eastAsia="Calibri" w:hAnsi="Times New Roman" w:cs="Times New Roman"/>
        </w:rPr>
        <w:t xml:space="preserve">Mastrotheodoros, S., Van der Graaff, J., Deković, M., Meeus, W. H. J., &amp; Branje, S. J. T. (2019b). Coming Closer in Adolescence: Convergence in Mother, Father, and Adolescent Reports of Parenting. </w:t>
      </w:r>
      <w:r w:rsidRPr="00CF7751">
        <w:rPr>
          <w:rFonts w:ascii="Times New Roman" w:eastAsia="Calibri" w:hAnsi="Times New Roman" w:cs="Times New Roman"/>
          <w:i/>
          <w:iCs/>
          <w:lang w:val="nl-NL"/>
        </w:rPr>
        <w:t>Journal of Research on Adolescence</w:t>
      </w:r>
      <w:r w:rsidRPr="00CF7751">
        <w:rPr>
          <w:rFonts w:ascii="Times New Roman" w:eastAsia="Calibri" w:hAnsi="Times New Roman" w:cs="Times New Roman"/>
          <w:lang w:val="nl-NL"/>
        </w:rPr>
        <w:t xml:space="preserve">, </w:t>
      </w:r>
      <w:r w:rsidRPr="00CF7751">
        <w:rPr>
          <w:rFonts w:ascii="Times New Roman" w:eastAsia="Calibri" w:hAnsi="Times New Roman" w:cs="Times New Roman"/>
          <w:i/>
          <w:iCs/>
          <w:lang w:val="nl-NL"/>
        </w:rPr>
        <w:t>29</w:t>
      </w:r>
      <w:r w:rsidRPr="00CF7751">
        <w:rPr>
          <w:rFonts w:ascii="Times New Roman" w:eastAsia="Calibri" w:hAnsi="Times New Roman" w:cs="Times New Roman"/>
          <w:lang w:val="nl-NL"/>
        </w:rPr>
        <w:t>(4), 846–862. https://doi.org/10.1111/jora.12417</w:t>
      </w:r>
    </w:p>
    <w:p w14:paraId="35AE0536"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lang w:val="nl-NL"/>
        </w:rPr>
        <w:t xml:space="preserve">Mastrotheodoros, S., Van Lissa, C. J., Van der Graaff, J., Deković, M., Meeus, W. H. J., &amp; Branje, S. J. T. (2020). </w:t>
      </w:r>
      <w:r w:rsidRPr="00CF7751">
        <w:rPr>
          <w:rFonts w:ascii="Times New Roman" w:eastAsia="Calibri" w:hAnsi="Times New Roman" w:cs="Times New Roman"/>
        </w:rPr>
        <w:t xml:space="preserve">Day-to-Day Spillover and Long-term Transmission of Interparental Conflict to Adolescent-Mother Conflict: The Role of Mood. </w:t>
      </w:r>
      <w:r w:rsidRPr="00CF7751">
        <w:rPr>
          <w:rFonts w:ascii="Times New Roman" w:eastAsia="Calibri" w:hAnsi="Times New Roman" w:cs="Times New Roman"/>
          <w:i/>
          <w:iCs/>
        </w:rPr>
        <w:t>Journal of Family Psychology</w:t>
      </w:r>
      <w:r w:rsidRPr="00CF7751">
        <w:rPr>
          <w:rFonts w:ascii="Times New Roman" w:eastAsia="Calibri" w:hAnsi="Times New Roman" w:cs="Times New Roman"/>
        </w:rPr>
        <w:t>. https://doi.org/10.1037/fam0000649</w:t>
      </w:r>
    </w:p>
    <w:p w14:paraId="700AC8BF"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McCoy, K. P., Cummings, E. M., &amp; Davies, P. T. (2009). Constructive and destructive marital conflict, emotional security and children’s prosocial behavior. </w:t>
      </w:r>
      <w:r w:rsidRPr="00CF7751">
        <w:rPr>
          <w:rFonts w:ascii="Times New Roman" w:eastAsia="Calibri" w:hAnsi="Times New Roman" w:cs="Times New Roman"/>
          <w:i/>
          <w:iCs/>
        </w:rPr>
        <w:t>Journal of Child Psychology and Psychiatry</w:t>
      </w:r>
      <w:r w:rsidRPr="00CF7751">
        <w:rPr>
          <w:rFonts w:ascii="Times New Roman" w:eastAsia="Calibri" w:hAnsi="Times New Roman" w:cs="Times New Roman"/>
        </w:rPr>
        <w:t xml:space="preserve">, </w:t>
      </w:r>
      <w:r w:rsidRPr="00CF7751">
        <w:rPr>
          <w:rFonts w:ascii="Times New Roman" w:eastAsia="Calibri" w:hAnsi="Times New Roman" w:cs="Times New Roman"/>
          <w:i/>
          <w:iCs/>
        </w:rPr>
        <w:t>50</w:t>
      </w:r>
      <w:r w:rsidRPr="00CF7751">
        <w:rPr>
          <w:rFonts w:ascii="Times New Roman" w:eastAsia="Calibri" w:hAnsi="Times New Roman" w:cs="Times New Roman"/>
        </w:rPr>
        <w:t>(3), 270–279. https://doi.org/10.1111/j.1469-7610.2008.01945.x</w:t>
      </w:r>
    </w:p>
    <w:p w14:paraId="68C4494F"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McCoy, K. P., George, M. R. W., Cummings, E. M., &amp; Davies, P. T. (2013). Constructive and Destructive Marital Conflict, Parenting, and Children’s School and Social Adjustment. </w:t>
      </w:r>
      <w:r w:rsidRPr="00CF7751">
        <w:rPr>
          <w:rFonts w:ascii="Times New Roman" w:eastAsia="Calibri" w:hAnsi="Times New Roman" w:cs="Times New Roman"/>
          <w:i/>
          <w:iCs/>
        </w:rPr>
        <w:t>Social Development</w:t>
      </w:r>
      <w:r w:rsidRPr="00CF7751">
        <w:rPr>
          <w:rFonts w:ascii="Times New Roman" w:eastAsia="Calibri" w:hAnsi="Times New Roman" w:cs="Times New Roman"/>
        </w:rPr>
        <w:t>. https://doi.org/10.1111/sode.12015</w:t>
      </w:r>
    </w:p>
    <w:p w14:paraId="4D3D5AB4"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Merrilees, C. E., McCormick, M. P., Hsueh, J., Chou, P., &amp; Cummings, E. M. (2018). Interparental Interactions and Adolescent Mood: A Daily Diary Approach. </w:t>
      </w:r>
      <w:r w:rsidRPr="00CF7751">
        <w:rPr>
          <w:rFonts w:ascii="Times New Roman" w:eastAsia="Calibri" w:hAnsi="Times New Roman" w:cs="Times New Roman"/>
          <w:i/>
          <w:iCs/>
        </w:rPr>
        <w:t>Journal of Child and Family Studies</w:t>
      </w:r>
      <w:r w:rsidRPr="00CF7751">
        <w:rPr>
          <w:rFonts w:ascii="Times New Roman" w:eastAsia="Calibri" w:hAnsi="Times New Roman" w:cs="Times New Roman"/>
        </w:rPr>
        <w:t xml:space="preserve">, </w:t>
      </w:r>
      <w:r w:rsidRPr="00CF7751">
        <w:rPr>
          <w:rFonts w:ascii="Times New Roman" w:eastAsia="Calibri" w:hAnsi="Times New Roman" w:cs="Times New Roman"/>
          <w:i/>
          <w:iCs/>
        </w:rPr>
        <w:t>27</w:t>
      </w:r>
      <w:r w:rsidRPr="00CF7751">
        <w:rPr>
          <w:rFonts w:ascii="Times New Roman" w:eastAsia="Calibri" w:hAnsi="Times New Roman" w:cs="Times New Roman"/>
        </w:rPr>
        <w:t>(5), 1460–1472. https://doi.org/10.1007/s10826-017-0983-2</w:t>
      </w:r>
    </w:p>
    <w:p w14:paraId="45CD80A9"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Minuchin, S. (1974). </w:t>
      </w:r>
      <w:r w:rsidRPr="00CF7751">
        <w:rPr>
          <w:rFonts w:ascii="Times New Roman" w:eastAsia="Calibri" w:hAnsi="Times New Roman" w:cs="Times New Roman"/>
          <w:i/>
          <w:iCs/>
        </w:rPr>
        <w:t>Families and family therapy</w:t>
      </w:r>
      <w:r w:rsidRPr="00CF7751">
        <w:rPr>
          <w:rFonts w:ascii="Times New Roman" w:eastAsia="Calibri" w:hAnsi="Times New Roman" w:cs="Times New Roman"/>
        </w:rPr>
        <w:t>. Harvard University Press.</w:t>
      </w:r>
    </w:p>
    <w:p w14:paraId="77CDA1FE"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Muthén, B., &amp; Muthén, L. (2018). </w:t>
      </w:r>
      <w:r w:rsidRPr="00CF7751">
        <w:rPr>
          <w:rFonts w:ascii="Times New Roman" w:eastAsia="Calibri" w:hAnsi="Times New Roman" w:cs="Times New Roman"/>
          <w:i/>
          <w:iCs/>
        </w:rPr>
        <w:t>Mplus 8.2</w:t>
      </w:r>
      <w:r w:rsidRPr="00CF7751">
        <w:rPr>
          <w:rFonts w:ascii="Times New Roman" w:eastAsia="Calibri" w:hAnsi="Times New Roman" w:cs="Times New Roman"/>
        </w:rPr>
        <w:t>.</w:t>
      </w:r>
    </w:p>
    <w:p w14:paraId="26CC7BDF"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Nagin, D. S. (2005). </w:t>
      </w:r>
      <w:r w:rsidRPr="00CF7751">
        <w:rPr>
          <w:rFonts w:ascii="Times New Roman" w:eastAsia="Calibri" w:hAnsi="Times New Roman" w:cs="Times New Roman"/>
          <w:i/>
          <w:iCs/>
        </w:rPr>
        <w:t>Group-based modeling of development</w:t>
      </w:r>
      <w:r w:rsidRPr="00CF7751">
        <w:rPr>
          <w:rFonts w:ascii="Times New Roman" w:eastAsia="Calibri" w:hAnsi="Times New Roman" w:cs="Times New Roman"/>
        </w:rPr>
        <w:t>. Harvard University Press.</w:t>
      </w:r>
    </w:p>
    <w:p w14:paraId="0DB8D163"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Nelson, J. A., Boyer, B. P., Villarreal, D. L., &amp; Smith, O. A. (2017). Relations between mothers’ daily work, home, and relationship stress with characteristics of mother–child conflict interactions. </w:t>
      </w:r>
      <w:r w:rsidRPr="00CF7751">
        <w:rPr>
          <w:rFonts w:ascii="Times New Roman" w:eastAsia="Calibri" w:hAnsi="Times New Roman" w:cs="Times New Roman"/>
          <w:i/>
          <w:iCs/>
        </w:rPr>
        <w:t>Journal of Family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31</w:t>
      </w:r>
      <w:r w:rsidRPr="00CF7751">
        <w:rPr>
          <w:rFonts w:ascii="Times New Roman" w:eastAsia="Calibri" w:hAnsi="Times New Roman" w:cs="Times New Roman"/>
        </w:rPr>
        <w:t>(4), 431–441. https://doi.org/10.1037/fam0000276</w:t>
      </w:r>
    </w:p>
    <w:p w14:paraId="06457F5C"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Papp, L. M. (2004). Capturing the interplay among within- and between-person processes using multilevel modeling techniques. </w:t>
      </w:r>
      <w:r w:rsidRPr="00CF7751">
        <w:rPr>
          <w:rFonts w:ascii="Times New Roman" w:eastAsia="Calibri" w:hAnsi="Times New Roman" w:cs="Times New Roman"/>
          <w:i/>
          <w:iCs/>
        </w:rPr>
        <w:t>Applied and Preventive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11</w:t>
      </w:r>
      <w:r w:rsidRPr="00CF7751">
        <w:rPr>
          <w:rFonts w:ascii="Times New Roman" w:eastAsia="Calibri" w:hAnsi="Times New Roman" w:cs="Times New Roman"/>
        </w:rPr>
        <w:t>(2), 115–124. https://doi.org/10.1016/j.appsy.2004.09.002</w:t>
      </w:r>
    </w:p>
    <w:p w14:paraId="3333AF55"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lastRenderedPageBreak/>
        <w:t xml:space="preserve">Repetti, R. L., Reynolds, B. M., &amp; Sears, M. S. (2015). Families Under the Microscope: Repeated Sampling of Perceptions, Experiences, Biology, and Behavior. </w:t>
      </w:r>
      <w:r w:rsidRPr="00CF7751">
        <w:rPr>
          <w:rFonts w:ascii="Times New Roman" w:eastAsia="Calibri" w:hAnsi="Times New Roman" w:cs="Times New Roman"/>
          <w:i/>
          <w:iCs/>
        </w:rPr>
        <w:t>Journal of Marriage and Family</w:t>
      </w:r>
      <w:r w:rsidRPr="00CF7751">
        <w:rPr>
          <w:rFonts w:ascii="Times New Roman" w:eastAsia="Calibri" w:hAnsi="Times New Roman" w:cs="Times New Roman"/>
        </w:rPr>
        <w:t xml:space="preserve">, </w:t>
      </w:r>
      <w:r w:rsidRPr="00CF7751">
        <w:rPr>
          <w:rFonts w:ascii="Times New Roman" w:eastAsia="Calibri" w:hAnsi="Times New Roman" w:cs="Times New Roman"/>
          <w:i/>
          <w:iCs/>
        </w:rPr>
        <w:t>77</w:t>
      </w:r>
      <w:r w:rsidRPr="00CF7751">
        <w:rPr>
          <w:rFonts w:ascii="Times New Roman" w:eastAsia="Calibri" w:hAnsi="Times New Roman" w:cs="Times New Roman"/>
        </w:rPr>
        <w:t>(1), 126–146. https://doi.org/10.1111/jomf.12143</w:t>
      </w:r>
    </w:p>
    <w:p w14:paraId="60DA3195"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Rosseel, Y. (2012). lavaan: An R Package for Structural Equation Modeling. </w:t>
      </w:r>
      <w:r w:rsidRPr="00CF7751">
        <w:rPr>
          <w:rFonts w:ascii="Times New Roman" w:eastAsia="Calibri" w:hAnsi="Times New Roman" w:cs="Times New Roman"/>
          <w:i/>
          <w:iCs/>
        </w:rPr>
        <w:t>Journal of Statistical Software</w:t>
      </w:r>
      <w:r w:rsidRPr="00CF7751">
        <w:rPr>
          <w:rFonts w:ascii="Times New Roman" w:eastAsia="Calibri" w:hAnsi="Times New Roman" w:cs="Times New Roman"/>
        </w:rPr>
        <w:t xml:space="preserve">, </w:t>
      </w:r>
      <w:r w:rsidRPr="00CF7751">
        <w:rPr>
          <w:rFonts w:ascii="Times New Roman" w:eastAsia="Calibri" w:hAnsi="Times New Roman" w:cs="Times New Roman"/>
          <w:i/>
          <w:iCs/>
        </w:rPr>
        <w:t>48</w:t>
      </w:r>
      <w:r w:rsidRPr="00CF7751">
        <w:rPr>
          <w:rFonts w:ascii="Times New Roman" w:eastAsia="Calibri" w:hAnsi="Times New Roman" w:cs="Times New Roman"/>
        </w:rPr>
        <w:t>(2), 1–36. https://doi.org/10.18637/jss.v048.i02</w:t>
      </w:r>
    </w:p>
    <w:p w14:paraId="2DAD1BF0"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Sears, M. S., Repetti, R. L., Reynolds, B. M., Robles, T. F., &amp; Krull, J. L. (2016). Spillover in the Home: The Effects of Family Conflict on Parents’ Behavior. </w:t>
      </w:r>
      <w:r w:rsidRPr="00CF7751">
        <w:rPr>
          <w:rFonts w:ascii="Times New Roman" w:eastAsia="Calibri" w:hAnsi="Times New Roman" w:cs="Times New Roman"/>
          <w:i/>
          <w:iCs/>
        </w:rPr>
        <w:t>Journal of Marriage and Family</w:t>
      </w:r>
      <w:r w:rsidRPr="00CF7751">
        <w:rPr>
          <w:rFonts w:ascii="Times New Roman" w:eastAsia="Calibri" w:hAnsi="Times New Roman" w:cs="Times New Roman"/>
        </w:rPr>
        <w:t xml:space="preserve">, </w:t>
      </w:r>
      <w:r w:rsidRPr="00CF7751">
        <w:rPr>
          <w:rFonts w:ascii="Times New Roman" w:eastAsia="Calibri" w:hAnsi="Times New Roman" w:cs="Times New Roman"/>
          <w:i/>
          <w:iCs/>
        </w:rPr>
        <w:t>78</w:t>
      </w:r>
      <w:r w:rsidRPr="00CF7751">
        <w:rPr>
          <w:rFonts w:ascii="Times New Roman" w:eastAsia="Calibri" w:hAnsi="Times New Roman" w:cs="Times New Roman"/>
        </w:rPr>
        <w:t>(1), 127–141. https://doi.org/10.1111/jomf.12265</w:t>
      </w:r>
    </w:p>
    <w:p w14:paraId="651594DC"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Sturge-Apple, M. L., Davies, P. T., Cicchetti, D., &amp; Fittoria, M. G. (2014). A typology of interpartner conflict and maternal parenting practices in high-risk families: Examining spillover and compensatory models and implications for child adjustment. </w:t>
      </w:r>
      <w:r w:rsidRPr="00CF7751">
        <w:rPr>
          <w:rFonts w:ascii="Times New Roman" w:eastAsia="Calibri" w:hAnsi="Times New Roman" w:cs="Times New Roman"/>
          <w:i/>
          <w:iCs/>
        </w:rPr>
        <w:t>Development and Psychopathology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26</w:t>
      </w:r>
      <w:r w:rsidRPr="00CF7751">
        <w:rPr>
          <w:rFonts w:ascii="Times New Roman" w:eastAsia="Calibri" w:hAnsi="Times New Roman" w:cs="Times New Roman"/>
        </w:rPr>
        <w:t>(4pt1), 983–998.</w:t>
      </w:r>
    </w:p>
    <w:p w14:paraId="07FCB17D"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Timmons, A. C., Arbel, R., &amp; Margolin, G. (2017). Daily patterns of stress and conflict in couples: Associations with marital aggression and family-of-origin aggression. </w:t>
      </w:r>
      <w:r w:rsidRPr="00CF7751">
        <w:rPr>
          <w:rFonts w:ascii="Times New Roman" w:eastAsia="Calibri" w:hAnsi="Times New Roman" w:cs="Times New Roman"/>
          <w:i/>
          <w:iCs/>
        </w:rPr>
        <w:t>Journal of Family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31</w:t>
      </w:r>
      <w:r w:rsidRPr="00CF7751">
        <w:rPr>
          <w:rFonts w:ascii="Times New Roman" w:eastAsia="Calibri" w:hAnsi="Times New Roman" w:cs="Times New Roman"/>
        </w:rPr>
        <w:t>(1), 93–104. https://doi.org/10.1037/fam0000227</w:t>
      </w:r>
    </w:p>
    <w:p w14:paraId="0431BBAA"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van de Schoot, R., Lugtig, P., &amp; Hox, J. (2012a). A checklist for testing measurement invariance. </w:t>
      </w:r>
      <w:r w:rsidRPr="00CF7751">
        <w:rPr>
          <w:rFonts w:ascii="Times New Roman" w:eastAsia="Calibri" w:hAnsi="Times New Roman" w:cs="Times New Roman"/>
          <w:i/>
          <w:iCs/>
        </w:rPr>
        <w:t>European Journal of Developmental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9</w:t>
      </w:r>
      <w:r w:rsidRPr="00CF7751">
        <w:rPr>
          <w:rFonts w:ascii="Times New Roman" w:eastAsia="Calibri" w:hAnsi="Times New Roman" w:cs="Times New Roman"/>
        </w:rPr>
        <w:t>(4), 486–492. https://doi.org/10.1080/17405629.2012.686740</w:t>
      </w:r>
    </w:p>
    <w:p w14:paraId="02F92587"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van de Schoot, R., Lugtig, P., &amp; Hox, J. (2012b). A checklist for testing measurement invariance. </w:t>
      </w:r>
      <w:r w:rsidRPr="00CF7751">
        <w:rPr>
          <w:rFonts w:ascii="Times New Roman" w:eastAsia="Calibri" w:hAnsi="Times New Roman" w:cs="Times New Roman"/>
          <w:i/>
          <w:iCs/>
        </w:rPr>
        <w:t>European Journal of Developmental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9</w:t>
      </w:r>
      <w:r w:rsidRPr="00CF7751">
        <w:rPr>
          <w:rFonts w:ascii="Times New Roman" w:eastAsia="Calibri" w:hAnsi="Times New Roman" w:cs="Times New Roman"/>
        </w:rPr>
        <w:t>(4), 486–492. https://doi.org/10.1080/17405629.2012.686740</w:t>
      </w:r>
    </w:p>
    <w:p w14:paraId="2B216B6F" w14:textId="77777777" w:rsidR="00CF7751" w:rsidRPr="00CF7751" w:rsidRDefault="00CF7751" w:rsidP="00CF7751">
      <w:pPr>
        <w:rPr>
          <w:rFonts w:ascii="Times New Roman" w:eastAsia="Calibri" w:hAnsi="Times New Roman" w:cs="Times New Roman"/>
          <w:lang w:val="nl-NL"/>
        </w:rPr>
      </w:pPr>
      <w:r w:rsidRPr="00CF7751">
        <w:rPr>
          <w:rFonts w:ascii="Times New Roman" w:eastAsia="Calibri" w:hAnsi="Times New Roman" w:cs="Times New Roman"/>
        </w:rPr>
        <w:t xml:space="preserve">Van Doorn, M. D., Branje, S. J. T., &amp; Meeus, W. H. J. (2007). Longitudinal transmission of conflict resolution styles from marital relationships to adolescent-parent relationships. </w:t>
      </w:r>
      <w:r w:rsidRPr="00CF7751">
        <w:rPr>
          <w:rFonts w:ascii="Times New Roman" w:eastAsia="Calibri" w:hAnsi="Times New Roman" w:cs="Times New Roman"/>
          <w:i/>
          <w:iCs/>
          <w:lang w:val="nl-NL"/>
        </w:rPr>
        <w:t>Journal of Family Psychology</w:t>
      </w:r>
      <w:r w:rsidRPr="00CF7751">
        <w:rPr>
          <w:rFonts w:ascii="Times New Roman" w:eastAsia="Calibri" w:hAnsi="Times New Roman" w:cs="Times New Roman"/>
          <w:lang w:val="nl-NL"/>
        </w:rPr>
        <w:t xml:space="preserve">, </w:t>
      </w:r>
      <w:r w:rsidRPr="00CF7751">
        <w:rPr>
          <w:rFonts w:ascii="Times New Roman" w:eastAsia="Calibri" w:hAnsi="Times New Roman" w:cs="Times New Roman"/>
          <w:i/>
          <w:iCs/>
          <w:lang w:val="nl-NL"/>
        </w:rPr>
        <w:t>21</w:t>
      </w:r>
      <w:r w:rsidRPr="00CF7751">
        <w:rPr>
          <w:rFonts w:ascii="Times New Roman" w:eastAsia="Calibri" w:hAnsi="Times New Roman" w:cs="Times New Roman"/>
          <w:lang w:val="nl-NL"/>
        </w:rPr>
        <w:t>(3), 426–434. https://doi.org/10.1037/0893-3200.21.3.426</w:t>
      </w:r>
    </w:p>
    <w:p w14:paraId="3C234E6E"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lang w:val="nl-NL"/>
        </w:rPr>
        <w:t xml:space="preserve">van Eldik, W. M., Prinzie, P., Deković, M., &amp; de Haan, A. D. (2017). </w:t>
      </w:r>
      <w:r w:rsidRPr="00CF7751">
        <w:rPr>
          <w:rFonts w:ascii="Times New Roman" w:eastAsia="Calibri" w:hAnsi="Times New Roman" w:cs="Times New Roman"/>
        </w:rPr>
        <w:t xml:space="preserve">Longitudinal associations between marital stress and externalizing behavior: Does parental sense of competence mediate processes? </w:t>
      </w:r>
      <w:r w:rsidRPr="00CF7751">
        <w:rPr>
          <w:rFonts w:ascii="Times New Roman" w:eastAsia="Calibri" w:hAnsi="Times New Roman" w:cs="Times New Roman"/>
          <w:i/>
          <w:iCs/>
        </w:rPr>
        <w:t>Journal of Family Psychology</w:t>
      </w:r>
      <w:r w:rsidRPr="00CF7751">
        <w:rPr>
          <w:rFonts w:ascii="Times New Roman" w:eastAsia="Calibri" w:hAnsi="Times New Roman" w:cs="Times New Roman"/>
        </w:rPr>
        <w:t xml:space="preserve">, </w:t>
      </w:r>
      <w:r w:rsidRPr="00CF7751">
        <w:rPr>
          <w:rFonts w:ascii="Times New Roman" w:eastAsia="Calibri" w:hAnsi="Times New Roman" w:cs="Times New Roman"/>
          <w:i/>
          <w:iCs/>
        </w:rPr>
        <w:t>31</w:t>
      </w:r>
      <w:r w:rsidRPr="00CF7751">
        <w:rPr>
          <w:rFonts w:ascii="Times New Roman" w:eastAsia="Calibri" w:hAnsi="Times New Roman" w:cs="Times New Roman"/>
        </w:rPr>
        <w:t>(4), 420–430. https://doi.org/10.1037/fam0000282</w:t>
      </w:r>
    </w:p>
    <w:p w14:paraId="318498EB"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Wang, J., &amp; Wang, X. (2012). </w:t>
      </w:r>
      <w:r w:rsidRPr="00CF7751">
        <w:rPr>
          <w:rFonts w:ascii="Times New Roman" w:eastAsia="Calibri" w:hAnsi="Times New Roman" w:cs="Times New Roman"/>
          <w:i/>
          <w:iCs/>
        </w:rPr>
        <w:t>Structural Equation Modeling</w:t>
      </w:r>
      <w:r w:rsidRPr="00CF7751">
        <w:rPr>
          <w:rFonts w:ascii="Times New Roman" w:eastAsia="Calibri" w:hAnsi="Times New Roman" w:cs="Times New Roman"/>
        </w:rPr>
        <w:t>. John Wiley &amp; Sons, Ltd. https://doi.org/10.1002/9781118356258</w:t>
      </w:r>
    </w:p>
    <w:p w14:paraId="46EB49BC"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Whiteman, S. D., McHale, S. M., &amp; Crouter, A. C. (2007). Longitudinal Changes in Marital Relationships: The Role of Offspring?s Pubertal Development. </w:t>
      </w:r>
      <w:r w:rsidRPr="00CF7751">
        <w:rPr>
          <w:rFonts w:ascii="Times New Roman" w:eastAsia="Calibri" w:hAnsi="Times New Roman" w:cs="Times New Roman"/>
          <w:i/>
          <w:iCs/>
        </w:rPr>
        <w:t>Journal of Marriage and Family</w:t>
      </w:r>
      <w:r w:rsidRPr="00CF7751">
        <w:rPr>
          <w:rFonts w:ascii="Times New Roman" w:eastAsia="Calibri" w:hAnsi="Times New Roman" w:cs="Times New Roman"/>
        </w:rPr>
        <w:t xml:space="preserve">, </w:t>
      </w:r>
      <w:r w:rsidRPr="00CF7751">
        <w:rPr>
          <w:rFonts w:ascii="Times New Roman" w:eastAsia="Calibri" w:hAnsi="Times New Roman" w:cs="Times New Roman"/>
          <w:i/>
          <w:iCs/>
        </w:rPr>
        <w:t>69</w:t>
      </w:r>
      <w:r w:rsidRPr="00CF7751">
        <w:rPr>
          <w:rFonts w:ascii="Times New Roman" w:eastAsia="Calibri" w:hAnsi="Times New Roman" w:cs="Times New Roman"/>
        </w:rPr>
        <w:t>(4), 1005–1020. https://doi.org/10.1111/j.1741-3737.2007.00427.x</w:t>
      </w:r>
    </w:p>
    <w:p w14:paraId="4B788D62"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Whitton, S. W., James-Kangal, N., Rhoades, G. K., &amp; Markman, H. J. (2018). Understanding Couple Conflict. In A. Vangelisti &amp; D. Perlman (Eds.), </w:t>
      </w:r>
      <w:r w:rsidRPr="00CF7751">
        <w:rPr>
          <w:rFonts w:ascii="Times New Roman" w:eastAsia="Calibri" w:hAnsi="Times New Roman" w:cs="Times New Roman"/>
          <w:i/>
          <w:iCs/>
        </w:rPr>
        <w:t>The Cambridge Handbook of Personal Relationships</w:t>
      </w:r>
      <w:r w:rsidRPr="00CF7751">
        <w:rPr>
          <w:rFonts w:ascii="Times New Roman" w:eastAsia="Calibri" w:hAnsi="Times New Roman" w:cs="Times New Roman"/>
        </w:rPr>
        <w:t xml:space="preserve"> (pp. 297–310). Cambridge University Press. https://doi.org/10.1017/9781316417867.024</w:t>
      </w:r>
    </w:p>
    <w:p w14:paraId="6AD4CB81" w14:textId="77777777" w:rsidR="00CF7751" w:rsidRPr="00CF7751" w:rsidRDefault="00CF7751" w:rsidP="00CF7751">
      <w:pPr>
        <w:rPr>
          <w:rFonts w:ascii="Times New Roman" w:eastAsia="Calibri" w:hAnsi="Times New Roman" w:cs="Times New Roman"/>
        </w:rPr>
      </w:pPr>
      <w:r w:rsidRPr="00CF7751">
        <w:rPr>
          <w:rFonts w:ascii="Times New Roman" w:eastAsia="Calibri" w:hAnsi="Times New Roman" w:cs="Times New Roman"/>
        </w:rPr>
        <w:t xml:space="preserve">Wickrama, K. A. S., Klopack, E. T., O’Neal, C. W., &amp; Neppl, T. (2020). Patterning of midlife marital trajectories in enduring marriages in a dyadic context: Physical and mental health outcomes in later years. </w:t>
      </w:r>
      <w:r w:rsidRPr="00CF7751">
        <w:rPr>
          <w:rFonts w:ascii="Times New Roman" w:eastAsia="Calibri" w:hAnsi="Times New Roman" w:cs="Times New Roman"/>
          <w:i/>
          <w:iCs/>
        </w:rPr>
        <w:t>Journal of Social and Personal Relationships</w:t>
      </w:r>
      <w:r w:rsidRPr="00CF7751">
        <w:rPr>
          <w:rFonts w:ascii="Times New Roman" w:eastAsia="Calibri" w:hAnsi="Times New Roman" w:cs="Times New Roman"/>
        </w:rPr>
        <w:t xml:space="preserve">, </w:t>
      </w:r>
      <w:r w:rsidRPr="00CF7751">
        <w:rPr>
          <w:rFonts w:ascii="Times New Roman" w:eastAsia="Calibri" w:hAnsi="Times New Roman" w:cs="Times New Roman"/>
          <w:i/>
          <w:iCs/>
        </w:rPr>
        <w:t>37</w:t>
      </w:r>
      <w:r w:rsidRPr="00CF7751">
        <w:rPr>
          <w:rFonts w:ascii="Times New Roman" w:eastAsia="Calibri" w:hAnsi="Times New Roman" w:cs="Times New Roman"/>
        </w:rPr>
        <w:t>(5), 1472–1493. https://doi.org/10.1177/0265407519899726</w:t>
      </w:r>
    </w:p>
    <w:p w14:paraId="00900B14" w14:textId="77777777" w:rsidR="00CF7751" w:rsidRPr="00CF7751" w:rsidRDefault="00CF7751" w:rsidP="00CF7751">
      <w:pPr>
        <w:tabs>
          <w:tab w:val="left" w:pos="875"/>
        </w:tabs>
        <w:autoSpaceDE w:val="0"/>
        <w:autoSpaceDN w:val="0"/>
        <w:adjustRightInd w:val="0"/>
        <w:spacing w:after="0" w:line="480" w:lineRule="auto"/>
        <w:ind w:firstLine="709"/>
        <w:rPr>
          <w:rFonts w:ascii="Times New Roman" w:eastAsia="Times New Roman" w:hAnsi="Times New Roman" w:cs="Times New Roman"/>
          <w:sz w:val="24"/>
          <w:szCs w:val="24"/>
        </w:rPr>
        <w:sectPr w:rsidR="00CF7751" w:rsidRPr="00CF7751">
          <w:pgSz w:w="11906" w:h="16838"/>
          <w:pgMar w:top="1440" w:right="1440" w:bottom="1440" w:left="1440" w:header="708" w:footer="708" w:gutter="0"/>
          <w:cols w:space="708"/>
          <w:docGrid w:linePitch="360"/>
        </w:sectPr>
      </w:pPr>
      <w:r w:rsidRPr="00CF7751">
        <w:rPr>
          <w:rFonts w:ascii="Times New Roman" w:eastAsia="Times New Roman" w:hAnsi="Times New Roman" w:cs="Times New Roman"/>
          <w:sz w:val="24"/>
          <w:szCs w:val="24"/>
        </w:rPr>
        <w:fldChar w:fldCharType="end"/>
      </w:r>
    </w:p>
    <w:p w14:paraId="3105B171" w14:textId="77777777" w:rsidR="00CF7751" w:rsidRPr="00CF7751" w:rsidRDefault="00CF7751" w:rsidP="00CF7751">
      <w:pPr>
        <w:rPr>
          <w:rFonts w:ascii="Times New Roman" w:eastAsia="Calibri" w:hAnsi="Times New Roman" w:cs="Times New Roman"/>
          <w:i/>
          <w:iCs/>
          <w:sz w:val="24"/>
          <w:szCs w:val="24"/>
        </w:rPr>
      </w:pPr>
      <w:r w:rsidRPr="00CF7751">
        <w:rPr>
          <w:rFonts w:ascii="Calibri" w:eastAsia="Calibri" w:hAnsi="Calibri" w:cs="SimSun"/>
        </w:rPr>
        <w:lastRenderedPageBreak/>
        <w:t xml:space="preserve"> </w:t>
      </w:r>
    </w:p>
    <w:p w14:paraId="42751837" w14:textId="77777777" w:rsidR="00CF7751" w:rsidRPr="00CF7751" w:rsidRDefault="00CF7751" w:rsidP="00CF7751">
      <w:pPr>
        <w:keepNext/>
        <w:spacing w:after="200" w:line="240" w:lineRule="auto"/>
        <w:rPr>
          <w:rFonts w:ascii="Times New Roman" w:eastAsia="Calibri" w:hAnsi="Times New Roman" w:cs="Times New Roman"/>
          <w:i/>
          <w:iCs/>
          <w:sz w:val="24"/>
          <w:szCs w:val="24"/>
        </w:rPr>
      </w:pPr>
      <w:bookmarkStart w:id="95" w:name="_Hlk14853676"/>
      <w:r w:rsidRPr="00CF7751">
        <w:rPr>
          <w:rFonts w:ascii="Times New Roman" w:eastAsia="Calibri" w:hAnsi="Times New Roman" w:cs="Times New Roman"/>
          <w:i/>
          <w:iCs/>
          <w:sz w:val="24"/>
          <w:szCs w:val="24"/>
        </w:rPr>
        <w:t xml:space="preserve">Table </w:t>
      </w:r>
      <w:r w:rsidRPr="00CF7751">
        <w:rPr>
          <w:rFonts w:ascii="Times New Roman" w:eastAsia="Calibri" w:hAnsi="Times New Roman" w:cs="Times New Roman"/>
          <w:i/>
          <w:iCs/>
          <w:sz w:val="24"/>
          <w:szCs w:val="24"/>
        </w:rPr>
        <w:fldChar w:fldCharType="begin"/>
      </w:r>
      <w:r w:rsidRPr="00CF7751">
        <w:rPr>
          <w:rFonts w:ascii="Times New Roman" w:eastAsia="Calibri" w:hAnsi="Times New Roman" w:cs="Times New Roman"/>
          <w:i/>
          <w:iCs/>
          <w:sz w:val="24"/>
          <w:szCs w:val="24"/>
        </w:rPr>
        <w:instrText xml:space="preserve"> SEQ Table \* ARABIC </w:instrText>
      </w:r>
      <w:r w:rsidRPr="00CF7751">
        <w:rPr>
          <w:rFonts w:ascii="Times New Roman" w:eastAsia="Calibri" w:hAnsi="Times New Roman" w:cs="Times New Roman"/>
          <w:i/>
          <w:iCs/>
          <w:sz w:val="24"/>
          <w:szCs w:val="24"/>
        </w:rPr>
        <w:fldChar w:fldCharType="separate"/>
      </w:r>
      <w:r w:rsidRPr="00CF7751">
        <w:rPr>
          <w:rFonts w:ascii="Times New Roman" w:eastAsia="Calibri" w:hAnsi="Times New Roman" w:cs="Times New Roman"/>
          <w:i/>
          <w:iCs/>
          <w:noProof/>
          <w:sz w:val="24"/>
          <w:szCs w:val="24"/>
        </w:rPr>
        <w:t>1</w:t>
      </w:r>
      <w:r w:rsidRPr="00CF7751">
        <w:rPr>
          <w:rFonts w:ascii="Times New Roman" w:eastAsia="Calibri" w:hAnsi="Times New Roman" w:cs="Times New Roman"/>
          <w:i/>
          <w:iCs/>
          <w:sz w:val="24"/>
          <w:szCs w:val="24"/>
        </w:rPr>
        <w:fldChar w:fldCharType="end"/>
      </w:r>
    </w:p>
    <w:p w14:paraId="212EC4FF" w14:textId="77777777" w:rsidR="00CF7751" w:rsidRPr="00CF7751" w:rsidRDefault="00CF7751" w:rsidP="00CF7751">
      <w:pPr>
        <w:keepNext/>
        <w:spacing w:after="200" w:line="240" w:lineRule="auto"/>
        <w:rPr>
          <w:rFonts w:ascii="Times New Roman" w:eastAsia="Calibri" w:hAnsi="Times New Roman" w:cs="Times New Roman"/>
          <w:sz w:val="24"/>
          <w:szCs w:val="24"/>
        </w:rPr>
      </w:pPr>
      <w:r w:rsidRPr="00CF7751">
        <w:rPr>
          <w:rFonts w:ascii="Times New Roman" w:eastAsia="Calibri" w:hAnsi="Times New Roman" w:cs="Times New Roman"/>
          <w:sz w:val="24"/>
          <w:szCs w:val="24"/>
        </w:rPr>
        <w:t>Means and 95% Confidence Intervals for Growth Parameters of the Mother-, and Father-Reported Conflict Resolution Styles Inventory for the Four Classes.</w:t>
      </w:r>
    </w:p>
    <w:tbl>
      <w:tblPr>
        <w:tblStyle w:val="TableGrid1"/>
        <w:tblpPr w:leftFromText="180" w:rightFromText="180" w:vertAnchor="text" w:horzAnchor="page" w:tblpX="324" w:tblpY="-51"/>
        <w:tblW w:w="1960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6"/>
        <w:gridCol w:w="2263"/>
        <w:gridCol w:w="2060"/>
        <w:gridCol w:w="2226"/>
        <w:gridCol w:w="2256"/>
        <w:gridCol w:w="2140"/>
        <w:gridCol w:w="2127"/>
        <w:gridCol w:w="2140"/>
        <w:gridCol w:w="2127"/>
      </w:tblGrid>
      <w:tr w:rsidR="00CF7751" w:rsidRPr="00CF7751" w14:paraId="78C9DA99" w14:textId="77777777" w:rsidTr="00BD4D0D">
        <w:trPr>
          <w:trHeight w:val="656"/>
        </w:trPr>
        <w:tc>
          <w:tcPr>
            <w:tcW w:w="2266" w:type="dxa"/>
            <w:vAlign w:val="center"/>
          </w:tcPr>
          <w:p w14:paraId="1A481FB0"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Conflict Resolution Patterns</w:t>
            </w:r>
          </w:p>
        </w:tc>
        <w:tc>
          <w:tcPr>
            <w:tcW w:w="4323" w:type="dxa"/>
            <w:gridSpan w:val="2"/>
            <w:tcBorders>
              <w:top w:val="single" w:sz="4" w:space="0" w:color="auto"/>
              <w:bottom w:val="single" w:sz="4" w:space="0" w:color="auto"/>
            </w:tcBorders>
            <w:vAlign w:val="center"/>
          </w:tcPr>
          <w:p w14:paraId="5BF46D7D"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 xml:space="preserve">Couple Constructive </w:t>
            </w:r>
          </w:p>
          <w:p w14:paraId="4B194A5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r w:rsidRPr="00CF7751">
              <w:rPr>
                <w:rFonts w:ascii="Times New Roman" w:hAnsi="Times New Roman" w:cs="Times New Roman"/>
                <w:i/>
                <w:sz w:val="24"/>
                <w:szCs w:val="24"/>
              </w:rPr>
              <w:t>n</w:t>
            </w:r>
            <w:r w:rsidRPr="00CF7751">
              <w:rPr>
                <w:rFonts w:ascii="Times New Roman" w:hAnsi="Times New Roman" w:cs="Times New Roman"/>
                <w:sz w:val="24"/>
                <w:szCs w:val="24"/>
              </w:rPr>
              <w:t xml:space="preserve"> = 132)</w:t>
            </w:r>
          </w:p>
        </w:tc>
        <w:tc>
          <w:tcPr>
            <w:tcW w:w="4482" w:type="dxa"/>
            <w:gridSpan w:val="2"/>
            <w:tcBorders>
              <w:top w:val="single" w:sz="4" w:space="0" w:color="auto"/>
              <w:bottom w:val="single" w:sz="4" w:space="0" w:color="auto"/>
            </w:tcBorders>
            <w:vAlign w:val="center"/>
          </w:tcPr>
          <w:p w14:paraId="24460E6D"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 xml:space="preserve">Couple Destructive </w:t>
            </w:r>
          </w:p>
          <w:p w14:paraId="2EA43A20"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r w:rsidRPr="00CF7751">
              <w:rPr>
                <w:rFonts w:ascii="Times New Roman" w:hAnsi="Times New Roman" w:cs="Times New Roman"/>
                <w:i/>
                <w:sz w:val="24"/>
                <w:szCs w:val="24"/>
              </w:rPr>
              <w:t>n</w:t>
            </w:r>
            <w:r w:rsidRPr="00CF7751">
              <w:rPr>
                <w:rFonts w:ascii="Times New Roman" w:hAnsi="Times New Roman" w:cs="Times New Roman"/>
                <w:sz w:val="24"/>
                <w:szCs w:val="24"/>
              </w:rPr>
              <w:t xml:space="preserve"> = 53)</w:t>
            </w:r>
          </w:p>
        </w:tc>
        <w:tc>
          <w:tcPr>
            <w:tcW w:w="4267" w:type="dxa"/>
            <w:gridSpan w:val="2"/>
            <w:tcBorders>
              <w:top w:val="single" w:sz="4" w:space="0" w:color="auto"/>
              <w:bottom w:val="single" w:sz="4" w:space="0" w:color="auto"/>
            </w:tcBorders>
            <w:vAlign w:val="center"/>
          </w:tcPr>
          <w:p w14:paraId="6D569EE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 xml:space="preserve">Mother Constructive - Father Submissive </w:t>
            </w:r>
          </w:p>
          <w:p w14:paraId="2F1A4C5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r w:rsidRPr="00CF7751">
              <w:rPr>
                <w:rFonts w:ascii="Times New Roman" w:hAnsi="Times New Roman" w:cs="Times New Roman"/>
                <w:i/>
                <w:iCs/>
                <w:sz w:val="24"/>
                <w:szCs w:val="24"/>
              </w:rPr>
              <w:t xml:space="preserve">n </w:t>
            </w:r>
            <w:r w:rsidRPr="00CF7751">
              <w:rPr>
                <w:rFonts w:ascii="Times New Roman" w:hAnsi="Times New Roman" w:cs="Times New Roman"/>
                <w:sz w:val="24"/>
                <w:szCs w:val="24"/>
              </w:rPr>
              <w:t>= 91)</w:t>
            </w:r>
          </w:p>
        </w:tc>
        <w:tc>
          <w:tcPr>
            <w:tcW w:w="4267" w:type="dxa"/>
            <w:gridSpan w:val="2"/>
            <w:tcBorders>
              <w:top w:val="single" w:sz="4" w:space="0" w:color="auto"/>
              <w:bottom w:val="single" w:sz="4" w:space="0" w:color="auto"/>
            </w:tcBorders>
            <w:vAlign w:val="center"/>
          </w:tcPr>
          <w:p w14:paraId="1EEEC85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 xml:space="preserve">Father Constructive - Mother Average </w:t>
            </w:r>
          </w:p>
          <w:p w14:paraId="4987C62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r w:rsidRPr="00CF7751">
              <w:rPr>
                <w:rFonts w:ascii="Times New Roman" w:hAnsi="Times New Roman" w:cs="Times New Roman"/>
                <w:i/>
                <w:iCs/>
                <w:sz w:val="24"/>
                <w:szCs w:val="24"/>
              </w:rPr>
              <w:t xml:space="preserve">n </w:t>
            </w:r>
            <w:r w:rsidRPr="00CF7751">
              <w:rPr>
                <w:rFonts w:ascii="Times New Roman" w:hAnsi="Times New Roman" w:cs="Times New Roman"/>
                <w:sz w:val="24"/>
                <w:szCs w:val="24"/>
              </w:rPr>
              <w:t>= 141)</w:t>
            </w:r>
          </w:p>
        </w:tc>
      </w:tr>
      <w:tr w:rsidR="00CF7751" w:rsidRPr="00CF7751" w14:paraId="7F3E916D" w14:textId="77777777" w:rsidTr="00BD4D0D">
        <w:trPr>
          <w:trHeight w:val="325"/>
        </w:trPr>
        <w:tc>
          <w:tcPr>
            <w:tcW w:w="2266" w:type="dxa"/>
            <w:tcBorders>
              <w:bottom w:val="nil"/>
            </w:tcBorders>
            <w:vAlign w:val="center"/>
          </w:tcPr>
          <w:p w14:paraId="72D41943" w14:textId="77777777" w:rsidR="00CF7751" w:rsidRPr="00CF7751" w:rsidRDefault="00CF7751" w:rsidP="00CF7751">
            <w:pPr>
              <w:rPr>
                <w:rFonts w:ascii="Times New Roman" w:hAnsi="Times New Roman" w:cs="Times New Roman"/>
                <w:sz w:val="24"/>
                <w:szCs w:val="24"/>
              </w:rPr>
            </w:pPr>
          </w:p>
        </w:tc>
        <w:tc>
          <w:tcPr>
            <w:tcW w:w="4323" w:type="dxa"/>
            <w:gridSpan w:val="2"/>
            <w:tcBorders>
              <w:top w:val="single" w:sz="4" w:space="0" w:color="auto"/>
              <w:bottom w:val="single" w:sz="4" w:space="0" w:color="auto"/>
            </w:tcBorders>
            <w:vAlign w:val="center"/>
          </w:tcPr>
          <w:p w14:paraId="4DDA1EF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i/>
                <w:sz w:val="24"/>
                <w:szCs w:val="24"/>
              </w:rPr>
              <w:t>M</w:t>
            </w:r>
            <w:r w:rsidRPr="00CF7751">
              <w:rPr>
                <w:rFonts w:ascii="Times New Roman" w:hAnsi="Times New Roman" w:cs="Times New Roman"/>
                <w:sz w:val="24"/>
                <w:szCs w:val="24"/>
              </w:rPr>
              <w:t xml:space="preserve"> (95% C.I.)</w:t>
            </w:r>
          </w:p>
        </w:tc>
        <w:tc>
          <w:tcPr>
            <w:tcW w:w="4482" w:type="dxa"/>
            <w:gridSpan w:val="2"/>
            <w:tcBorders>
              <w:top w:val="single" w:sz="4" w:space="0" w:color="auto"/>
              <w:bottom w:val="single" w:sz="4" w:space="0" w:color="auto"/>
            </w:tcBorders>
            <w:vAlign w:val="center"/>
          </w:tcPr>
          <w:p w14:paraId="43E1EA47" w14:textId="77777777" w:rsidR="00CF7751" w:rsidRPr="00CF7751" w:rsidRDefault="00CF7751" w:rsidP="00CF7751">
            <w:pPr>
              <w:jc w:val="center"/>
              <w:rPr>
                <w:rFonts w:ascii="Times New Roman" w:hAnsi="Times New Roman" w:cs="Times New Roman"/>
                <w:i/>
                <w:sz w:val="24"/>
                <w:szCs w:val="24"/>
              </w:rPr>
            </w:pPr>
            <w:r w:rsidRPr="00CF7751">
              <w:rPr>
                <w:rFonts w:ascii="Times New Roman" w:hAnsi="Times New Roman" w:cs="Times New Roman"/>
                <w:i/>
                <w:sz w:val="24"/>
                <w:szCs w:val="24"/>
              </w:rPr>
              <w:t>M</w:t>
            </w:r>
            <w:r w:rsidRPr="00CF7751">
              <w:rPr>
                <w:rFonts w:ascii="Times New Roman" w:hAnsi="Times New Roman" w:cs="Times New Roman"/>
                <w:sz w:val="24"/>
                <w:szCs w:val="24"/>
              </w:rPr>
              <w:t xml:space="preserve"> (95% C.I.)</w:t>
            </w:r>
          </w:p>
        </w:tc>
        <w:tc>
          <w:tcPr>
            <w:tcW w:w="4267" w:type="dxa"/>
            <w:gridSpan w:val="2"/>
            <w:tcBorders>
              <w:top w:val="single" w:sz="4" w:space="0" w:color="auto"/>
              <w:bottom w:val="single" w:sz="4" w:space="0" w:color="auto"/>
            </w:tcBorders>
            <w:vAlign w:val="center"/>
          </w:tcPr>
          <w:p w14:paraId="4CE580C1" w14:textId="77777777" w:rsidR="00CF7751" w:rsidRPr="00CF7751" w:rsidRDefault="00CF7751" w:rsidP="00CF7751">
            <w:pPr>
              <w:jc w:val="center"/>
              <w:rPr>
                <w:rFonts w:ascii="Times New Roman" w:hAnsi="Times New Roman" w:cs="Times New Roman"/>
                <w:i/>
                <w:sz w:val="24"/>
                <w:szCs w:val="24"/>
              </w:rPr>
            </w:pPr>
            <w:r w:rsidRPr="00CF7751">
              <w:rPr>
                <w:rFonts w:ascii="Times New Roman" w:hAnsi="Times New Roman" w:cs="Times New Roman"/>
                <w:i/>
                <w:sz w:val="24"/>
                <w:szCs w:val="24"/>
              </w:rPr>
              <w:t>M</w:t>
            </w:r>
            <w:r w:rsidRPr="00CF7751">
              <w:rPr>
                <w:rFonts w:ascii="Times New Roman" w:hAnsi="Times New Roman" w:cs="Times New Roman"/>
                <w:sz w:val="24"/>
                <w:szCs w:val="24"/>
              </w:rPr>
              <w:t xml:space="preserve"> (95% C.I.)</w:t>
            </w:r>
          </w:p>
        </w:tc>
        <w:tc>
          <w:tcPr>
            <w:tcW w:w="4267" w:type="dxa"/>
            <w:gridSpan w:val="2"/>
            <w:tcBorders>
              <w:top w:val="single" w:sz="4" w:space="0" w:color="auto"/>
              <w:bottom w:val="single" w:sz="4" w:space="0" w:color="auto"/>
            </w:tcBorders>
            <w:vAlign w:val="center"/>
          </w:tcPr>
          <w:p w14:paraId="1B895996" w14:textId="77777777" w:rsidR="00CF7751" w:rsidRPr="00CF7751" w:rsidRDefault="00CF7751" w:rsidP="00CF7751">
            <w:pPr>
              <w:jc w:val="center"/>
              <w:rPr>
                <w:rFonts w:ascii="Times New Roman" w:hAnsi="Times New Roman" w:cs="Times New Roman"/>
                <w:i/>
                <w:sz w:val="24"/>
                <w:szCs w:val="24"/>
              </w:rPr>
            </w:pPr>
            <w:r w:rsidRPr="00CF7751">
              <w:rPr>
                <w:rFonts w:ascii="Times New Roman" w:hAnsi="Times New Roman" w:cs="Times New Roman"/>
                <w:i/>
                <w:sz w:val="24"/>
                <w:szCs w:val="24"/>
              </w:rPr>
              <w:t>M</w:t>
            </w:r>
            <w:r w:rsidRPr="00CF7751">
              <w:rPr>
                <w:rFonts w:ascii="Times New Roman" w:hAnsi="Times New Roman" w:cs="Times New Roman"/>
                <w:sz w:val="24"/>
                <w:szCs w:val="24"/>
              </w:rPr>
              <w:t xml:space="preserve"> (95% C.I.)</w:t>
            </w:r>
          </w:p>
        </w:tc>
      </w:tr>
      <w:tr w:rsidR="00CF7751" w:rsidRPr="00CF7751" w14:paraId="14EB6A8B" w14:textId="77777777" w:rsidTr="00BD4D0D">
        <w:trPr>
          <w:trHeight w:val="325"/>
        </w:trPr>
        <w:tc>
          <w:tcPr>
            <w:tcW w:w="2266" w:type="dxa"/>
            <w:tcBorders>
              <w:top w:val="nil"/>
              <w:bottom w:val="single" w:sz="4" w:space="0" w:color="auto"/>
            </w:tcBorders>
            <w:vAlign w:val="center"/>
          </w:tcPr>
          <w:p w14:paraId="1E5DFCCF"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 xml:space="preserve">Intercepts </w:t>
            </w:r>
          </w:p>
        </w:tc>
        <w:tc>
          <w:tcPr>
            <w:tcW w:w="2263" w:type="dxa"/>
            <w:tcBorders>
              <w:top w:val="single" w:sz="4" w:space="0" w:color="auto"/>
              <w:bottom w:val="single" w:sz="4" w:space="0" w:color="auto"/>
            </w:tcBorders>
            <w:vAlign w:val="center"/>
          </w:tcPr>
          <w:p w14:paraId="16B84E9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Mothers</w:t>
            </w:r>
          </w:p>
        </w:tc>
        <w:tc>
          <w:tcPr>
            <w:tcW w:w="2060" w:type="dxa"/>
            <w:tcBorders>
              <w:top w:val="single" w:sz="4" w:space="0" w:color="auto"/>
              <w:bottom w:val="single" w:sz="4" w:space="0" w:color="auto"/>
            </w:tcBorders>
            <w:vAlign w:val="center"/>
          </w:tcPr>
          <w:p w14:paraId="37AAE17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Fathers</w:t>
            </w:r>
          </w:p>
        </w:tc>
        <w:tc>
          <w:tcPr>
            <w:tcW w:w="2226" w:type="dxa"/>
            <w:tcBorders>
              <w:top w:val="single" w:sz="4" w:space="0" w:color="auto"/>
              <w:bottom w:val="single" w:sz="4" w:space="0" w:color="auto"/>
            </w:tcBorders>
            <w:vAlign w:val="center"/>
          </w:tcPr>
          <w:p w14:paraId="3197CB4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Mothers</w:t>
            </w:r>
          </w:p>
        </w:tc>
        <w:tc>
          <w:tcPr>
            <w:tcW w:w="2256" w:type="dxa"/>
            <w:tcBorders>
              <w:top w:val="single" w:sz="4" w:space="0" w:color="auto"/>
              <w:bottom w:val="single" w:sz="4" w:space="0" w:color="auto"/>
            </w:tcBorders>
            <w:vAlign w:val="center"/>
          </w:tcPr>
          <w:p w14:paraId="275E15B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Fathers</w:t>
            </w:r>
          </w:p>
        </w:tc>
        <w:tc>
          <w:tcPr>
            <w:tcW w:w="2140" w:type="dxa"/>
            <w:tcBorders>
              <w:top w:val="single" w:sz="4" w:space="0" w:color="auto"/>
              <w:bottom w:val="single" w:sz="4" w:space="0" w:color="auto"/>
            </w:tcBorders>
            <w:vAlign w:val="center"/>
          </w:tcPr>
          <w:p w14:paraId="5F7507A4"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Mothers</w:t>
            </w:r>
          </w:p>
        </w:tc>
        <w:tc>
          <w:tcPr>
            <w:tcW w:w="2127" w:type="dxa"/>
            <w:tcBorders>
              <w:top w:val="single" w:sz="4" w:space="0" w:color="auto"/>
              <w:bottom w:val="single" w:sz="4" w:space="0" w:color="auto"/>
            </w:tcBorders>
            <w:vAlign w:val="center"/>
          </w:tcPr>
          <w:p w14:paraId="27B314D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Fathers</w:t>
            </w:r>
          </w:p>
        </w:tc>
        <w:tc>
          <w:tcPr>
            <w:tcW w:w="2140" w:type="dxa"/>
            <w:tcBorders>
              <w:top w:val="single" w:sz="4" w:space="0" w:color="auto"/>
              <w:bottom w:val="single" w:sz="4" w:space="0" w:color="auto"/>
            </w:tcBorders>
            <w:vAlign w:val="center"/>
          </w:tcPr>
          <w:p w14:paraId="1C32618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Mothers</w:t>
            </w:r>
          </w:p>
        </w:tc>
        <w:tc>
          <w:tcPr>
            <w:tcW w:w="2127" w:type="dxa"/>
            <w:tcBorders>
              <w:top w:val="single" w:sz="4" w:space="0" w:color="auto"/>
              <w:bottom w:val="single" w:sz="4" w:space="0" w:color="auto"/>
            </w:tcBorders>
            <w:vAlign w:val="center"/>
          </w:tcPr>
          <w:p w14:paraId="53D45C7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Fathers</w:t>
            </w:r>
          </w:p>
        </w:tc>
      </w:tr>
      <w:tr w:rsidR="00CF7751" w:rsidRPr="00CF7751" w14:paraId="316E1035" w14:textId="77777777" w:rsidTr="00BD4D0D">
        <w:trPr>
          <w:trHeight w:val="325"/>
        </w:trPr>
        <w:tc>
          <w:tcPr>
            <w:tcW w:w="2266" w:type="dxa"/>
            <w:tcBorders>
              <w:top w:val="single" w:sz="4" w:space="0" w:color="auto"/>
              <w:bottom w:val="nil"/>
            </w:tcBorders>
            <w:vAlign w:val="center"/>
          </w:tcPr>
          <w:p w14:paraId="266303E8"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PS</w:t>
            </w:r>
          </w:p>
        </w:tc>
        <w:tc>
          <w:tcPr>
            <w:tcW w:w="2263" w:type="dxa"/>
            <w:tcBorders>
              <w:top w:val="single" w:sz="4" w:space="0" w:color="auto"/>
              <w:bottom w:val="nil"/>
            </w:tcBorders>
            <w:vAlign w:val="center"/>
          </w:tcPr>
          <w:p w14:paraId="3F99919B"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4.17</w:t>
            </w:r>
            <w:r w:rsidRPr="00CF7751">
              <w:rPr>
                <w:rFonts w:ascii="Times New Roman" w:hAnsi="Times New Roman" w:cs="Times New Roman"/>
                <w:sz w:val="24"/>
                <w:szCs w:val="24"/>
                <w:vertAlign w:val="superscript"/>
              </w:rPr>
              <w:t>a, 1</w:t>
            </w:r>
            <w:r w:rsidRPr="00CF7751">
              <w:rPr>
                <w:rFonts w:ascii="Times New Roman" w:hAnsi="Times New Roman" w:cs="Times New Roman"/>
                <w:sz w:val="24"/>
                <w:szCs w:val="24"/>
              </w:rPr>
              <w:t xml:space="preserve"> (4.05-4.28)</w:t>
            </w:r>
          </w:p>
        </w:tc>
        <w:tc>
          <w:tcPr>
            <w:tcW w:w="2060" w:type="dxa"/>
            <w:tcBorders>
              <w:top w:val="single" w:sz="4" w:space="0" w:color="auto"/>
              <w:bottom w:val="nil"/>
            </w:tcBorders>
            <w:vAlign w:val="center"/>
          </w:tcPr>
          <w:p w14:paraId="0173B53D"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3.90</w:t>
            </w:r>
            <w:r w:rsidRPr="00CF7751">
              <w:rPr>
                <w:rFonts w:ascii="Times New Roman" w:hAnsi="Times New Roman" w:cs="Times New Roman"/>
                <w:sz w:val="24"/>
                <w:szCs w:val="24"/>
                <w:vertAlign w:val="superscript"/>
              </w:rPr>
              <w:t>b, 1</w:t>
            </w:r>
            <w:r w:rsidRPr="00CF7751">
              <w:rPr>
                <w:rFonts w:ascii="Times New Roman" w:hAnsi="Times New Roman" w:cs="Times New Roman"/>
                <w:sz w:val="24"/>
                <w:szCs w:val="24"/>
              </w:rPr>
              <w:t xml:space="preserve"> (3.79-4.01)</w:t>
            </w:r>
          </w:p>
        </w:tc>
        <w:tc>
          <w:tcPr>
            <w:tcW w:w="2226" w:type="dxa"/>
            <w:tcBorders>
              <w:top w:val="single" w:sz="4" w:space="0" w:color="auto"/>
              <w:bottom w:val="nil"/>
            </w:tcBorders>
            <w:vAlign w:val="center"/>
          </w:tcPr>
          <w:p w14:paraId="4EFC950A"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3.24</w:t>
            </w:r>
            <w:r w:rsidRPr="00CF7751">
              <w:rPr>
                <w:rFonts w:ascii="Times New Roman" w:hAnsi="Times New Roman" w:cs="Times New Roman"/>
                <w:sz w:val="24"/>
                <w:szCs w:val="24"/>
                <w:vertAlign w:val="superscript"/>
              </w:rPr>
              <w:t>3</w:t>
            </w:r>
            <w:r w:rsidRPr="00CF7751">
              <w:rPr>
                <w:rFonts w:ascii="Times New Roman" w:hAnsi="Times New Roman" w:cs="Times New Roman"/>
                <w:sz w:val="24"/>
                <w:szCs w:val="24"/>
              </w:rPr>
              <w:t xml:space="preserve"> (2.91-3.57)</w:t>
            </w:r>
          </w:p>
        </w:tc>
        <w:tc>
          <w:tcPr>
            <w:tcW w:w="2256" w:type="dxa"/>
            <w:tcBorders>
              <w:top w:val="single" w:sz="4" w:space="0" w:color="auto"/>
              <w:bottom w:val="nil"/>
            </w:tcBorders>
            <w:vAlign w:val="center"/>
          </w:tcPr>
          <w:p w14:paraId="4AEE7D1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3.34</w:t>
            </w:r>
            <w:r w:rsidRPr="00CF7751">
              <w:rPr>
                <w:rFonts w:ascii="Times New Roman" w:hAnsi="Times New Roman" w:cs="Times New Roman"/>
                <w:sz w:val="24"/>
                <w:szCs w:val="24"/>
                <w:vertAlign w:val="superscript"/>
              </w:rPr>
              <w:t>2</w:t>
            </w:r>
            <w:r w:rsidRPr="00CF7751">
              <w:rPr>
                <w:rFonts w:ascii="Times New Roman" w:hAnsi="Times New Roman" w:cs="Times New Roman"/>
                <w:sz w:val="24"/>
                <w:szCs w:val="24"/>
              </w:rPr>
              <w:t xml:space="preserve"> (3.09-3.60)</w:t>
            </w:r>
          </w:p>
        </w:tc>
        <w:tc>
          <w:tcPr>
            <w:tcW w:w="2140" w:type="dxa"/>
            <w:tcBorders>
              <w:top w:val="single" w:sz="4" w:space="0" w:color="auto"/>
              <w:bottom w:val="nil"/>
            </w:tcBorders>
            <w:vAlign w:val="center"/>
          </w:tcPr>
          <w:p w14:paraId="3A41EC9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3.83</w:t>
            </w:r>
            <w:r w:rsidRPr="00CF7751">
              <w:rPr>
                <w:rFonts w:ascii="Times New Roman" w:hAnsi="Times New Roman" w:cs="Times New Roman"/>
                <w:sz w:val="24"/>
                <w:szCs w:val="24"/>
                <w:vertAlign w:val="superscript"/>
              </w:rPr>
              <w:t>a, 2</w:t>
            </w:r>
            <w:r w:rsidRPr="00CF7751">
              <w:rPr>
                <w:rFonts w:ascii="Times New Roman" w:hAnsi="Times New Roman" w:cs="Times New Roman"/>
                <w:sz w:val="24"/>
                <w:szCs w:val="24"/>
              </w:rPr>
              <w:t xml:space="preserve"> (3.70-3.95)</w:t>
            </w:r>
          </w:p>
        </w:tc>
        <w:tc>
          <w:tcPr>
            <w:tcW w:w="2127" w:type="dxa"/>
            <w:tcBorders>
              <w:top w:val="single" w:sz="4" w:space="0" w:color="auto"/>
              <w:bottom w:val="nil"/>
            </w:tcBorders>
            <w:vAlign w:val="center"/>
          </w:tcPr>
          <w:p w14:paraId="0E1D5144"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3.36</w:t>
            </w:r>
            <w:r w:rsidRPr="00CF7751">
              <w:rPr>
                <w:rFonts w:ascii="Times New Roman" w:hAnsi="Times New Roman" w:cs="Times New Roman"/>
                <w:sz w:val="24"/>
                <w:szCs w:val="24"/>
                <w:vertAlign w:val="superscript"/>
              </w:rPr>
              <w:t>b, 2</w:t>
            </w:r>
            <w:r w:rsidRPr="00CF7751">
              <w:rPr>
                <w:rFonts w:ascii="Times New Roman" w:hAnsi="Times New Roman" w:cs="Times New Roman"/>
                <w:sz w:val="24"/>
                <w:szCs w:val="24"/>
              </w:rPr>
              <w:t xml:space="preserve"> (3.23-3.49)</w:t>
            </w:r>
          </w:p>
        </w:tc>
        <w:tc>
          <w:tcPr>
            <w:tcW w:w="2140" w:type="dxa"/>
            <w:tcBorders>
              <w:top w:val="single" w:sz="4" w:space="0" w:color="auto"/>
              <w:bottom w:val="nil"/>
            </w:tcBorders>
            <w:vAlign w:val="center"/>
          </w:tcPr>
          <w:p w14:paraId="15C3685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3.70</w:t>
            </w:r>
            <w:r w:rsidRPr="00CF7751">
              <w:rPr>
                <w:rFonts w:ascii="Times New Roman" w:hAnsi="Times New Roman" w:cs="Times New Roman"/>
                <w:sz w:val="24"/>
                <w:szCs w:val="24"/>
                <w:vertAlign w:val="superscript"/>
              </w:rPr>
              <w:t>b, 2</w:t>
            </w:r>
            <w:r w:rsidRPr="00CF7751">
              <w:rPr>
                <w:rFonts w:ascii="Times New Roman" w:hAnsi="Times New Roman" w:cs="Times New Roman"/>
                <w:sz w:val="24"/>
                <w:szCs w:val="24"/>
              </w:rPr>
              <w:t xml:space="preserve"> (3.58-3.81)</w:t>
            </w:r>
          </w:p>
        </w:tc>
        <w:tc>
          <w:tcPr>
            <w:tcW w:w="2127" w:type="dxa"/>
            <w:tcBorders>
              <w:top w:val="single" w:sz="4" w:space="0" w:color="auto"/>
              <w:bottom w:val="nil"/>
            </w:tcBorders>
            <w:vAlign w:val="center"/>
          </w:tcPr>
          <w:p w14:paraId="04865B6D"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3.93</w:t>
            </w:r>
            <w:r w:rsidRPr="00CF7751">
              <w:rPr>
                <w:rFonts w:ascii="Times New Roman" w:hAnsi="Times New Roman" w:cs="Times New Roman"/>
                <w:sz w:val="24"/>
                <w:szCs w:val="24"/>
                <w:vertAlign w:val="superscript"/>
              </w:rPr>
              <w:t>a, 1</w:t>
            </w:r>
            <w:r w:rsidRPr="00CF7751">
              <w:rPr>
                <w:rFonts w:ascii="Times New Roman" w:hAnsi="Times New Roman" w:cs="Times New Roman"/>
                <w:sz w:val="24"/>
                <w:szCs w:val="24"/>
              </w:rPr>
              <w:t xml:space="preserve"> (3.81-4.06)</w:t>
            </w:r>
          </w:p>
        </w:tc>
      </w:tr>
      <w:tr w:rsidR="00CF7751" w:rsidRPr="00CF7751" w14:paraId="6FDDB1FB" w14:textId="77777777" w:rsidTr="00BD4D0D">
        <w:trPr>
          <w:trHeight w:val="325"/>
        </w:trPr>
        <w:tc>
          <w:tcPr>
            <w:tcW w:w="2266" w:type="dxa"/>
            <w:tcBorders>
              <w:top w:val="nil"/>
            </w:tcBorders>
            <w:vAlign w:val="center"/>
          </w:tcPr>
          <w:p w14:paraId="66709027"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CE</w:t>
            </w:r>
          </w:p>
        </w:tc>
        <w:tc>
          <w:tcPr>
            <w:tcW w:w="2263" w:type="dxa"/>
            <w:tcBorders>
              <w:top w:val="nil"/>
            </w:tcBorders>
            <w:vAlign w:val="center"/>
          </w:tcPr>
          <w:p w14:paraId="07570C47"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1.60</w:t>
            </w:r>
            <w:r w:rsidRPr="00CF7751">
              <w:rPr>
                <w:rFonts w:ascii="Times New Roman" w:hAnsi="Times New Roman" w:cs="Times New Roman"/>
                <w:sz w:val="24"/>
                <w:szCs w:val="24"/>
                <w:vertAlign w:val="superscript"/>
              </w:rPr>
              <w:t>a, 3</w:t>
            </w:r>
            <w:r w:rsidRPr="00CF7751">
              <w:rPr>
                <w:rFonts w:ascii="Times New Roman" w:hAnsi="Times New Roman" w:cs="Times New Roman"/>
                <w:sz w:val="24"/>
                <w:szCs w:val="24"/>
              </w:rPr>
              <w:t xml:space="preserve"> (1.48-1.72)</w:t>
            </w:r>
          </w:p>
        </w:tc>
        <w:tc>
          <w:tcPr>
            <w:tcW w:w="2060" w:type="dxa"/>
            <w:tcBorders>
              <w:top w:val="nil"/>
            </w:tcBorders>
            <w:vAlign w:val="center"/>
          </w:tcPr>
          <w:p w14:paraId="317EA6A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1.43</w:t>
            </w:r>
            <w:r w:rsidRPr="00CF7751">
              <w:rPr>
                <w:rFonts w:ascii="Times New Roman" w:hAnsi="Times New Roman" w:cs="Times New Roman"/>
                <w:sz w:val="24"/>
                <w:szCs w:val="24"/>
                <w:vertAlign w:val="superscript"/>
              </w:rPr>
              <w:t>b, 2</w:t>
            </w:r>
            <w:r w:rsidRPr="00CF7751">
              <w:rPr>
                <w:rFonts w:ascii="Times New Roman" w:hAnsi="Times New Roman" w:cs="Times New Roman"/>
                <w:sz w:val="24"/>
                <w:szCs w:val="24"/>
              </w:rPr>
              <w:t xml:space="preserve"> (1.35-1.51)</w:t>
            </w:r>
          </w:p>
        </w:tc>
        <w:tc>
          <w:tcPr>
            <w:tcW w:w="2226" w:type="dxa"/>
            <w:tcBorders>
              <w:top w:val="nil"/>
            </w:tcBorders>
            <w:vAlign w:val="center"/>
          </w:tcPr>
          <w:p w14:paraId="62CD4577"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2.43</w:t>
            </w:r>
            <w:r w:rsidRPr="00CF7751">
              <w:rPr>
                <w:rFonts w:ascii="Times New Roman" w:hAnsi="Times New Roman" w:cs="Times New Roman"/>
                <w:sz w:val="24"/>
                <w:szCs w:val="24"/>
                <w:vertAlign w:val="superscript"/>
              </w:rPr>
              <w:t>a, 1</w:t>
            </w:r>
            <w:r w:rsidRPr="00CF7751">
              <w:rPr>
                <w:rFonts w:ascii="Times New Roman" w:hAnsi="Times New Roman" w:cs="Times New Roman"/>
                <w:sz w:val="24"/>
                <w:szCs w:val="24"/>
              </w:rPr>
              <w:t xml:space="preserve"> (2.09-2.77)</w:t>
            </w:r>
          </w:p>
        </w:tc>
        <w:tc>
          <w:tcPr>
            <w:tcW w:w="2256" w:type="dxa"/>
            <w:tcBorders>
              <w:top w:val="nil"/>
            </w:tcBorders>
            <w:vAlign w:val="center"/>
          </w:tcPr>
          <w:p w14:paraId="77EEC16A"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2.01</w:t>
            </w:r>
            <w:r w:rsidRPr="00CF7751">
              <w:rPr>
                <w:rFonts w:ascii="Times New Roman" w:hAnsi="Times New Roman" w:cs="Times New Roman"/>
                <w:sz w:val="24"/>
                <w:szCs w:val="24"/>
                <w:vertAlign w:val="superscript"/>
              </w:rPr>
              <w:t>b, 1</w:t>
            </w:r>
            <w:r w:rsidRPr="00CF7751">
              <w:rPr>
                <w:rFonts w:ascii="Times New Roman" w:hAnsi="Times New Roman" w:cs="Times New Roman"/>
                <w:sz w:val="24"/>
                <w:szCs w:val="24"/>
              </w:rPr>
              <w:t xml:space="preserve"> (1.58-2.44)</w:t>
            </w:r>
          </w:p>
        </w:tc>
        <w:tc>
          <w:tcPr>
            <w:tcW w:w="2140" w:type="dxa"/>
            <w:tcBorders>
              <w:top w:val="nil"/>
            </w:tcBorders>
            <w:vAlign w:val="center"/>
          </w:tcPr>
          <w:p w14:paraId="1D7F01E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2.08</w:t>
            </w:r>
            <w:r w:rsidRPr="00CF7751">
              <w:rPr>
                <w:rFonts w:ascii="Times New Roman" w:hAnsi="Times New Roman" w:cs="Times New Roman"/>
                <w:sz w:val="24"/>
                <w:szCs w:val="24"/>
                <w:vertAlign w:val="superscript"/>
              </w:rPr>
              <w:t>2</w:t>
            </w:r>
            <w:r w:rsidRPr="00CF7751">
              <w:rPr>
                <w:rFonts w:ascii="Times New Roman" w:hAnsi="Times New Roman" w:cs="Times New Roman"/>
                <w:sz w:val="24"/>
                <w:szCs w:val="24"/>
              </w:rPr>
              <w:t xml:space="preserve"> (1.84-2.32)</w:t>
            </w:r>
          </w:p>
        </w:tc>
        <w:tc>
          <w:tcPr>
            <w:tcW w:w="2127" w:type="dxa"/>
            <w:tcBorders>
              <w:top w:val="nil"/>
            </w:tcBorders>
            <w:vAlign w:val="center"/>
          </w:tcPr>
          <w:p w14:paraId="2C78170A"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1.96</w:t>
            </w:r>
            <w:r w:rsidRPr="00CF7751">
              <w:rPr>
                <w:rFonts w:ascii="Times New Roman" w:hAnsi="Times New Roman" w:cs="Times New Roman"/>
                <w:sz w:val="24"/>
                <w:szCs w:val="24"/>
                <w:vertAlign w:val="superscript"/>
              </w:rPr>
              <w:t>1</w:t>
            </w:r>
            <w:r w:rsidRPr="00CF7751">
              <w:rPr>
                <w:rFonts w:ascii="Times New Roman" w:hAnsi="Times New Roman" w:cs="Times New Roman"/>
                <w:sz w:val="24"/>
                <w:szCs w:val="24"/>
              </w:rPr>
              <w:t xml:space="preserve"> (1.73-2.19)</w:t>
            </w:r>
          </w:p>
        </w:tc>
        <w:tc>
          <w:tcPr>
            <w:tcW w:w="2140" w:type="dxa"/>
            <w:tcBorders>
              <w:top w:val="nil"/>
            </w:tcBorders>
            <w:vAlign w:val="center"/>
          </w:tcPr>
          <w:p w14:paraId="1618AF9B"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2.05</w:t>
            </w:r>
            <w:r w:rsidRPr="00CF7751">
              <w:rPr>
                <w:rFonts w:ascii="Times New Roman" w:hAnsi="Times New Roman" w:cs="Times New Roman"/>
                <w:sz w:val="24"/>
                <w:szCs w:val="24"/>
                <w:vertAlign w:val="superscript"/>
              </w:rPr>
              <w:t>a, 2</w:t>
            </w:r>
            <w:r w:rsidRPr="00CF7751">
              <w:rPr>
                <w:rFonts w:ascii="Times New Roman" w:hAnsi="Times New Roman" w:cs="Times New Roman"/>
                <w:sz w:val="24"/>
                <w:szCs w:val="24"/>
              </w:rPr>
              <w:t xml:space="preserve"> (1.91-2.19)</w:t>
            </w:r>
          </w:p>
        </w:tc>
        <w:tc>
          <w:tcPr>
            <w:tcW w:w="2127" w:type="dxa"/>
            <w:tcBorders>
              <w:top w:val="nil"/>
            </w:tcBorders>
            <w:vAlign w:val="center"/>
          </w:tcPr>
          <w:p w14:paraId="4C15800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1.51</w:t>
            </w:r>
            <w:r w:rsidRPr="00CF7751">
              <w:rPr>
                <w:rFonts w:ascii="Times New Roman" w:hAnsi="Times New Roman" w:cs="Times New Roman"/>
                <w:sz w:val="24"/>
                <w:szCs w:val="24"/>
                <w:vertAlign w:val="superscript"/>
              </w:rPr>
              <w:t>b, 2</w:t>
            </w:r>
            <w:r w:rsidRPr="00CF7751">
              <w:rPr>
                <w:rFonts w:ascii="Times New Roman" w:hAnsi="Times New Roman" w:cs="Times New Roman"/>
                <w:sz w:val="24"/>
                <w:szCs w:val="24"/>
              </w:rPr>
              <w:t xml:space="preserve"> (1.40-1.62)</w:t>
            </w:r>
          </w:p>
        </w:tc>
      </w:tr>
      <w:tr w:rsidR="00CF7751" w:rsidRPr="00CF7751" w14:paraId="20F646EF" w14:textId="77777777" w:rsidTr="00BD4D0D">
        <w:trPr>
          <w:trHeight w:val="325"/>
        </w:trPr>
        <w:tc>
          <w:tcPr>
            <w:tcW w:w="2266" w:type="dxa"/>
            <w:vAlign w:val="center"/>
          </w:tcPr>
          <w:p w14:paraId="2701ECC9"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CO</w:t>
            </w:r>
          </w:p>
        </w:tc>
        <w:tc>
          <w:tcPr>
            <w:tcW w:w="2263" w:type="dxa"/>
            <w:vAlign w:val="center"/>
          </w:tcPr>
          <w:p w14:paraId="0FE5A594"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1.70</w:t>
            </w:r>
            <w:r w:rsidRPr="00CF7751">
              <w:rPr>
                <w:rFonts w:ascii="Times New Roman" w:hAnsi="Times New Roman" w:cs="Times New Roman"/>
                <w:sz w:val="24"/>
                <w:szCs w:val="24"/>
                <w:vertAlign w:val="superscript"/>
              </w:rPr>
              <w:t>b, 4</w:t>
            </w:r>
            <w:r w:rsidRPr="00CF7751">
              <w:rPr>
                <w:rFonts w:ascii="Times New Roman" w:hAnsi="Times New Roman" w:cs="Times New Roman"/>
                <w:sz w:val="24"/>
                <w:szCs w:val="24"/>
              </w:rPr>
              <w:t xml:space="preserve"> (1.59-1.80)</w:t>
            </w:r>
          </w:p>
        </w:tc>
        <w:tc>
          <w:tcPr>
            <w:tcW w:w="2060" w:type="dxa"/>
            <w:vAlign w:val="center"/>
          </w:tcPr>
          <w:p w14:paraId="780DC7F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2.16</w:t>
            </w:r>
            <w:r w:rsidRPr="00CF7751">
              <w:rPr>
                <w:rFonts w:ascii="Times New Roman" w:hAnsi="Times New Roman" w:cs="Times New Roman"/>
                <w:sz w:val="24"/>
                <w:szCs w:val="24"/>
                <w:vertAlign w:val="superscript"/>
              </w:rPr>
              <w:t>a, 2</w:t>
            </w:r>
            <w:r w:rsidRPr="00CF7751">
              <w:rPr>
                <w:rFonts w:ascii="Times New Roman" w:hAnsi="Times New Roman" w:cs="Times New Roman"/>
                <w:sz w:val="24"/>
                <w:szCs w:val="24"/>
              </w:rPr>
              <w:t xml:space="preserve"> (2.06-2.26)</w:t>
            </w:r>
          </w:p>
        </w:tc>
        <w:tc>
          <w:tcPr>
            <w:tcW w:w="2226" w:type="dxa"/>
            <w:vAlign w:val="center"/>
          </w:tcPr>
          <w:p w14:paraId="43BD97EA"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2.67</w:t>
            </w:r>
            <w:r w:rsidRPr="00CF7751">
              <w:rPr>
                <w:rFonts w:ascii="Times New Roman" w:hAnsi="Times New Roman" w:cs="Times New Roman"/>
                <w:sz w:val="24"/>
                <w:szCs w:val="24"/>
                <w:vertAlign w:val="superscript"/>
              </w:rPr>
              <w:t>1</w:t>
            </w:r>
            <w:r w:rsidRPr="00CF7751">
              <w:rPr>
                <w:rFonts w:ascii="Times New Roman" w:hAnsi="Times New Roman" w:cs="Times New Roman"/>
                <w:sz w:val="24"/>
                <w:szCs w:val="24"/>
              </w:rPr>
              <w:t xml:space="preserve"> (2.37-2.97)</w:t>
            </w:r>
          </w:p>
        </w:tc>
        <w:tc>
          <w:tcPr>
            <w:tcW w:w="2256" w:type="dxa"/>
            <w:vAlign w:val="center"/>
          </w:tcPr>
          <w:p w14:paraId="5B79BA9B"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2.64</w:t>
            </w:r>
            <w:r w:rsidRPr="00CF7751">
              <w:rPr>
                <w:rFonts w:ascii="Times New Roman" w:hAnsi="Times New Roman" w:cs="Times New Roman"/>
                <w:sz w:val="24"/>
                <w:szCs w:val="24"/>
                <w:vertAlign w:val="superscript"/>
              </w:rPr>
              <w:t>1</w:t>
            </w:r>
            <w:r w:rsidRPr="00CF7751">
              <w:rPr>
                <w:rFonts w:ascii="Times New Roman" w:hAnsi="Times New Roman" w:cs="Times New Roman"/>
                <w:sz w:val="24"/>
                <w:szCs w:val="24"/>
              </w:rPr>
              <w:t xml:space="preserve"> (2.41-2.88)</w:t>
            </w:r>
          </w:p>
        </w:tc>
        <w:tc>
          <w:tcPr>
            <w:tcW w:w="2140" w:type="dxa"/>
            <w:vAlign w:val="center"/>
          </w:tcPr>
          <w:p w14:paraId="67F8BAE7"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1.95</w:t>
            </w:r>
            <w:r w:rsidRPr="00CF7751">
              <w:rPr>
                <w:rFonts w:ascii="Times New Roman" w:hAnsi="Times New Roman" w:cs="Times New Roman"/>
                <w:sz w:val="24"/>
                <w:szCs w:val="24"/>
                <w:vertAlign w:val="superscript"/>
              </w:rPr>
              <w:t>b, 3</w:t>
            </w:r>
            <w:r w:rsidRPr="00CF7751">
              <w:rPr>
                <w:rFonts w:ascii="Times New Roman" w:hAnsi="Times New Roman" w:cs="Times New Roman"/>
                <w:sz w:val="24"/>
                <w:szCs w:val="24"/>
              </w:rPr>
              <w:t xml:space="preserve"> (1.80-2.10)</w:t>
            </w:r>
          </w:p>
        </w:tc>
        <w:tc>
          <w:tcPr>
            <w:tcW w:w="2127" w:type="dxa"/>
            <w:vAlign w:val="center"/>
          </w:tcPr>
          <w:p w14:paraId="4C270DA7"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2.71</w:t>
            </w:r>
            <w:r w:rsidRPr="00CF7751">
              <w:rPr>
                <w:rFonts w:ascii="Times New Roman" w:hAnsi="Times New Roman" w:cs="Times New Roman"/>
                <w:sz w:val="24"/>
                <w:szCs w:val="24"/>
                <w:vertAlign w:val="superscript"/>
              </w:rPr>
              <w:t>a, 1</w:t>
            </w:r>
            <w:r w:rsidRPr="00CF7751">
              <w:rPr>
                <w:rFonts w:ascii="Times New Roman" w:hAnsi="Times New Roman" w:cs="Times New Roman"/>
                <w:sz w:val="24"/>
                <w:szCs w:val="24"/>
              </w:rPr>
              <w:t xml:space="preserve"> (2.57-2.85)</w:t>
            </w:r>
          </w:p>
        </w:tc>
        <w:tc>
          <w:tcPr>
            <w:tcW w:w="2140" w:type="dxa"/>
            <w:vAlign w:val="center"/>
          </w:tcPr>
          <w:p w14:paraId="1143A26D"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2.20</w:t>
            </w:r>
            <w:r w:rsidRPr="00CF7751">
              <w:rPr>
                <w:rFonts w:ascii="Times New Roman" w:hAnsi="Times New Roman" w:cs="Times New Roman"/>
                <w:sz w:val="24"/>
                <w:szCs w:val="24"/>
                <w:vertAlign w:val="superscript"/>
              </w:rPr>
              <w:t>2</w:t>
            </w:r>
            <w:r w:rsidRPr="00CF7751">
              <w:rPr>
                <w:rFonts w:ascii="Times New Roman" w:hAnsi="Times New Roman" w:cs="Times New Roman"/>
                <w:sz w:val="24"/>
                <w:szCs w:val="24"/>
              </w:rPr>
              <w:t xml:space="preserve"> (2.08-2.33)</w:t>
            </w:r>
          </w:p>
        </w:tc>
        <w:tc>
          <w:tcPr>
            <w:tcW w:w="2127" w:type="dxa"/>
            <w:vAlign w:val="center"/>
          </w:tcPr>
          <w:p w14:paraId="6ABAF28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2.15</w:t>
            </w:r>
            <w:r w:rsidRPr="00CF7751">
              <w:rPr>
                <w:rFonts w:ascii="Times New Roman" w:hAnsi="Times New Roman" w:cs="Times New Roman"/>
                <w:sz w:val="24"/>
                <w:szCs w:val="24"/>
                <w:vertAlign w:val="superscript"/>
              </w:rPr>
              <w:t>2</w:t>
            </w:r>
            <w:r w:rsidRPr="00CF7751">
              <w:rPr>
                <w:rFonts w:ascii="Times New Roman" w:hAnsi="Times New Roman" w:cs="Times New Roman"/>
                <w:sz w:val="24"/>
                <w:szCs w:val="24"/>
              </w:rPr>
              <w:t xml:space="preserve"> (2.06-2.25)</w:t>
            </w:r>
          </w:p>
        </w:tc>
      </w:tr>
      <w:tr w:rsidR="00CF7751" w:rsidRPr="00CF7751" w14:paraId="4CA7CD74" w14:textId="77777777" w:rsidTr="00BD4D0D">
        <w:trPr>
          <w:trHeight w:val="325"/>
        </w:trPr>
        <w:tc>
          <w:tcPr>
            <w:tcW w:w="2266" w:type="dxa"/>
            <w:vAlign w:val="center"/>
          </w:tcPr>
          <w:p w14:paraId="230C1345"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WI</w:t>
            </w:r>
          </w:p>
        </w:tc>
        <w:tc>
          <w:tcPr>
            <w:tcW w:w="2263" w:type="dxa"/>
            <w:vAlign w:val="center"/>
          </w:tcPr>
          <w:p w14:paraId="214C0CB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1.44</w:t>
            </w:r>
            <w:r w:rsidRPr="00CF7751">
              <w:rPr>
                <w:rFonts w:ascii="Times New Roman" w:hAnsi="Times New Roman" w:cs="Times New Roman"/>
                <w:sz w:val="24"/>
                <w:szCs w:val="24"/>
                <w:vertAlign w:val="superscript"/>
              </w:rPr>
              <w:t>b, 4</w:t>
            </w:r>
            <w:r w:rsidRPr="00CF7751">
              <w:rPr>
                <w:rFonts w:ascii="Times New Roman" w:hAnsi="Times New Roman" w:cs="Times New Roman"/>
                <w:sz w:val="24"/>
                <w:szCs w:val="24"/>
              </w:rPr>
              <w:t xml:space="preserve"> (1.35-1.52)</w:t>
            </w:r>
          </w:p>
        </w:tc>
        <w:tc>
          <w:tcPr>
            <w:tcW w:w="2060" w:type="dxa"/>
            <w:vAlign w:val="center"/>
          </w:tcPr>
          <w:p w14:paraId="7D91A43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1.76</w:t>
            </w:r>
            <w:r w:rsidRPr="00CF7751">
              <w:rPr>
                <w:rFonts w:ascii="Times New Roman" w:hAnsi="Times New Roman" w:cs="Times New Roman"/>
                <w:sz w:val="24"/>
                <w:szCs w:val="24"/>
                <w:vertAlign w:val="superscript"/>
              </w:rPr>
              <w:t>a, 2</w:t>
            </w:r>
            <w:r w:rsidRPr="00CF7751">
              <w:rPr>
                <w:rFonts w:ascii="Times New Roman" w:hAnsi="Times New Roman" w:cs="Times New Roman"/>
                <w:sz w:val="24"/>
                <w:szCs w:val="24"/>
              </w:rPr>
              <w:t xml:space="preserve"> (1.64-1.88)</w:t>
            </w:r>
          </w:p>
        </w:tc>
        <w:tc>
          <w:tcPr>
            <w:tcW w:w="2226" w:type="dxa"/>
            <w:vAlign w:val="center"/>
          </w:tcPr>
          <w:p w14:paraId="5755F85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2.98</w:t>
            </w:r>
            <w:r w:rsidRPr="00CF7751">
              <w:rPr>
                <w:rFonts w:ascii="Times New Roman" w:hAnsi="Times New Roman" w:cs="Times New Roman"/>
                <w:sz w:val="24"/>
                <w:szCs w:val="24"/>
                <w:vertAlign w:val="superscript"/>
              </w:rPr>
              <w:t>1</w:t>
            </w:r>
            <w:r w:rsidRPr="00CF7751">
              <w:rPr>
                <w:rFonts w:ascii="Times New Roman" w:hAnsi="Times New Roman" w:cs="Times New Roman"/>
                <w:sz w:val="24"/>
                <w:szCs w:val="24"/>
              </w:rPr>
              <w:t xml:space="preserve"> (2.76-3.20)</w:t>
            </w:r>
          </w:p>
        </w:tc>
        <w:tc>
          <w:tcPr>
            <w:tcW w:w="2256" w:type="dxa"/>
            <w:vAlign w:val="center"/>
          </w:tcPr>
          <w:p w14:paraId="182444EC"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2.68</w:t>
            </w:r>
            <w:r w:rsidRPr="00CF7751">
              <w:rPr>
                <w:rFonts w:ascii="Times New Roman" w:hAnsi="Times New Roman" w:cs="Times New Roman"/>
                <w:sz w:val="24"/>
                <w:szCs w:val="24"/>
                <w:vertAlign w:val="superscript"/>
              </w:rPr>
              <w:t>1</w:t>
            </w:r>
            <w:r w:rsidRPr="00CF7751">
              <w:rPr>
                <w:rFonts w:ascii="Times New Roman" w:hAnsi="Times New Roman" w:cs="Times New Roman"/>
                <w:sz w:val="24"/>
                <w:szCs w:val="24"/>
              </w:rPr>
              <w:t xml:space="preserve"> (2.46-2.90)</w:t>
            </w:r>
          </w:p>
        </w:tc>
        <w:tc>
          <w:tcPr>
            <w:tcW w:w="2140" w:type="dxa"/>
            <w:vAlign w:val="center"/>
          </w:tcPr>
          <w:p w14:paraId="4274D120"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1.89</w:t>
            </w:r>
            <w:r w:rsidRPr="00CF7751">
              <w:rPr>
                <w:rFonts w:ascii="Times New Roman" w:hAnsi="Times New Roman" w:cs="Times New Roman"/>
                <w:sz w:val="24"/>
                <w:szCs w:val="24"/>
                <w:vertAlign w:val="superscript"/>
              </w:rPr>
              <w:t>b, 3</w:t>
            </w:r>
            <w:r w:rsidRPr="00CF7751">
              <w:rPr>
                <w:rFonts w:ascii="Times New Roman" w:hAnsi="Times New Roman" w:cs="Times New Roman"/>
                <w:sz w:val="24"/>
                <w:szCs w:val="24"/>
              </w:rPr>
              <w:t xml:space="preserve"> (1.75-2.03)</w:t>
            </w:r>
          </w:p>
        </w:tc>
        <w:tc>
          <w:tcPr>
            <w:tcW w:w="2127" w:type="dxa"/>
            <w:vAlign w:val="center"/>
          </w:tcPr>
          <w:p w14:paraId="168785BB"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2.77</w:t>
            </w:r>
            <w:r w:rsidRPr="00CF7751">
              <w:rPr>
                <w:rFonts w:ascii="Times New Roman" w:hAnsi="Times New Roman" w:cs="Times New Roman"/>
                <w:sz w:val="24"/>
                <w:szCs w:val="24"/>
                <w:vertAlign w:val="superscript"/>
              </w:rPr>
              <w:t>a, 1</w:t>
            </w:r>
            <w:r w:rsidRPr="00CF7751">
              <w:rPr>
                <w:rFonts w:ascii="Times New Roman" w:hAnsi="Times New Roman" w:cs="Times New Roman"/>
                <w:sz w:val="24"/>
                <w:szCs w:val="24"/>
              </w:rPr>
              <w:t xml:space="preserve"> (2.61-2.93)</w:t>
            </w:r>
          </w:p>
        </w:tc>
        <w:tc>
          <w:tcPr>
            <w:tcW w:w="2140" w:type="dxa"/>
            <w:vAlign w:val="center"/>
          </w:tcPr>
          <w:p w14:paraId="682206E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2.27</w:t>
            </w:r>
            <w:r w:rsidRPr="00CF7751">
              <w:rPr>
                <w:rFonts w:ascii="Times New Roman" w:hAnsi="Times New Roman" w:cs="Times New Roman"/>
                <w:sz w:val="24"/>
                <w:szCs w:val="24"/>
                <w:vertAlign w:val="superscript"/>
              </w:rPr>
              <w:t>a, 2</w:t>
            </w:r>
            <w:r w:rsidRPr="00CF7751">
              <w:rPr>
                <w:rFonts w:ascii="Times New Roman" w:hAnsi="Times New Roman" w:cs="Times New Roman"/>
                <w:sz w:val="24"/>
                <w:szCs w:val="24"/>
              </w:rPr>
              <w:t xml:space="preserve"> (2.10-2.44)</w:t>
            </w:r>
          </w:p>
        </w:tc>
        <w:tc>
          <w:tcPr>
            <w:tcW w:w="2127" w:type="dxa"/>
            <w:vAlign w:val="center"/>
          </w:tcPr>
          <w:p w14:paraId="7C6F15E4"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1.76</w:t>
            </w:r>
            <w:r w:rsidRPr="00CF7751">
              <w:rPr>
                <w:rFonts w:ascii="Times New Roman" w:hAnsi="Times New Roman" w:cs="Times New Roman"/>
                <w:sz w:val="24"/>
                <w:szCs w:val="24"/>
                <w:vertAlign w:val="superscript"/>
              </w:rPr>
              <w:t>b, 2</w:t>
            </w:r>
            <w:r w:rsidRPr="00CF7751">
              <w:rPr>
                <w:rFonts w:ascii="Times New Roman" w:hAnsi="Times New Roman" w:cs="Times New Roman"/>
                <w:sz w:val="24"/>
                <w:szCs w:val="24"/>
              </w:rPr>
              <w:t xml:space="preserve"> (1.66-1.87)</w:t>
            </w:r>
          </w:p>
        </w:tc>
      </w:tr>
      <w:tr w:rsidR="00CF7751" w:rsidRPr="00CF7751" w14:paraId="7F481E7A" w14:textId="77777777" w:rsidTr="00BD4D0D">
        <w:trPr>
          <w:trHeight w:val="339"/>
        </w:trPr>
        <w:tc>
          <w:tcPr>
            <w:tcW w:w="2266" w:type="dxa"/>
            <w:vAlign w:val="center"/>
          </w:tcPr>
          <w:p w14:paraId="5C81BE45" w14:textId="77777777" w:rsidR="00CF7751" w:rsidRPr="00CF7751" w:rsidRDefault="00CF7751" w:rsidP="00CF7751">
            <w:pPr>
              <w:rPr>
                <w:rFonts w:ascii="Times New Roman" w:hAnsi="Times New Roman" w:cs="Times New Roman"/>
                <w:sz w:val="24"/>
                <w:szCs w:val="24"/>
                <w:u w:val="single"/>
              </w:rPr>
            </w:pPr>
            <w:r w:rsidRPr="00CF7751">
              <w:rPr>
                <w:rFonts w:ascii="Times New Roman" w:hAnsi="Times New Roman" w:cs="Times New Roman"/>
                <w:sz w:val="24"/>
                <w:szCs w:val="24"/>
                <w:u w:val="single"/>
              </w:rPr>
              <w:t>Linear Slopes</w:t>
            </w:r>
          </w:p>
        </w:tc>
        <w:tc>
          <w:tcPr>
            <w:tcW w:w="2263" w:type="dxa"/>
            <w:vAlign w:val="center"/>
          </w:tcPr>
          <w:p w14:paraId="786D42D1" w14:textId="77777777" w:rsidR="00CF7751" w:rsidRPr="00CF7751" w:rsidRDefault="00CF7751" w:rsidP="00CF7751">
            <w:pPr>
              <w:jc w:val="center"/>
              <w:rPr>
                <w:rFonts w:ascii="Times New Roman" w:hAnsi="Times New Roman" w:cs="Times New Roman"/>
                <w:sz w:val="24"/>
                <w:szCs w:val="24"/>
              </w:rPr>
            </w:pPr>
          </w:p>
        </w:tc>
        <w:tc>
          <w:tcPr>
            <w:tcW w:w="2060" w:type="dxa"/>
            <w:vAlign w:val="center"/>
          </w:tcPr>
          <w:p w14:paraId="12A93F65" w14:textId="77777777" w:rsidR="00CF7751" w:rsidRPr="00CF7751" w:rsidRDefault="00CF7751" w:rsidP="00CF7751">
            <w:pPr>
              <w:jc w:val="center"/>
              <w:rPr>
                <w:rFonts w:ascii="Times New Roman" w:hAnsi="Times New Roman" w:cs="Times New Roman"/>
                <w:sz w:val="24"/>
                <w:szCs w:val="24"/>
              </w:rPr>
            </w:pPr>
          </w:p>
        </w:tc>
        <w:tc>
          <w:tcPr>
            <w:tcW w:w="2226" w:type="dxa"/>
            <w:vAlign w:val="center"/>
          </w:tcPr>
          <w:p w14:paraId="01F1B5B9" w14:textId="77777777" w:rsidR="00CF7751" w:rsidRPr="00CF7751" w:rsidRDefault="00CF7751" w:rsidP="00CF7751">
            <w:pPr>
              <w:jc w:val="center"/>
              <w:rPr>
                <w:rFonts w:ascii="Times New Roman" w:hAnsi="Times New Roman" w:cs="Times New Roman"/>
                <w:sz w:val="24"/>
                <w:szCs w:val="24"/>
              </w:rPr>
            </w:pPr>
          </w:p>
        </w:tc>
        <w:tc>
          <w:tcPr>
            <w:tcW w:w="2256" w:type="dxa"/>
            <w:vAlign w:val="center"/>
          </w:tcPr>
          <w:p w14:paraId="30D53E3E" w14:textId="77777777" w:rsidR="00CF7751" w:rsidRPr="00CF7751" w:rsidRDefault="00CF7751" w:rsidP="00CF7751">
            <w:pPr>
              <w:jc w:val="center"/>
              <w:rPr>
                <w:rFonts w:ascii="Times New Roman" w:hAnsi="Times New Roman" w:cs="Times New Roman"/>
                <w:sz w:val="24"/>
                <w:szCs w:val="24"/>
              </w:rPr>
            </w:pPr>
          </w:p>
        </w:tc>
        <w:tc>
          <w:tcPr>
            <w:tcW w:w="2140" w:type="dxa"/>
            <w:vAlign w:val="center"/>
          </w:tcPr>
          <w:p w14:paraId="7FC1A7AA" w14:textId="77777777" w:rsidR="00CF7751" w:rsidRPr="00CF7751" w:rsidRDefault="00CF7751" w:rsidP="00CF7751">
            <w:pPr>
              <w:jc w:val="center"/>
              <w:rPr>
                <w:rFonts w:ascii="Times New Roman" w:hAnsi="Times New Roman" w:cs="Times New Roman"/>
                <w:sz w:val="24"/>
                <w:szCs w:val="24"/>
              </w:rPr>
            </w:pPr>
          </w:p>
        </w:tc>
        <w:tc>
          <w:tcPr>
            <w:tcW w:w="2127" w:type="dxa"/>
            <w:vAlign w:val="center"/>
          </w:tcPr>
          <w:p w14:paraId="434A1F1E" w14:textId="77777777" w:rsidR="00CF7751" w:rsidRPr="00CF7751" w:rsidRDefault="00CF7751" w:rsidP="00CF7751">
            <w:pPr>
              <w:jc w:val="center"/>
              <w:rPr>
                <w:rFonts w:ascii="Times New Roman" w:hAnsi="Times New Roman" w:cs="Times New Roman"/>
                <w:sz w:val="24"/>
                <w:szCs w:val="24"/>
              </w:rPr>
            </w:pPr>
          </w:p>
        </w:tc>
        <w:tc>
          <w:tcPr>
            <w:tcW w:w="2140" w:type="dxa"/>
            <w:vAlign w:val="center"/>
          </w:tcPr>
          <w:p w14:paraId="0D988D34" w14:textId="77777777" w:rsidR="00CF7751" w:rsidRPr="00CF7751" w:rsidRDefault="00CF7751" w:rsidP="00CF7751">
            <w:pPr>
              <w:jc w:val="center"/>
              <w:rPr>
                <w:rFonts w:ascii="Times New Roman" w:hAnsi="Times New Roman" w:cs="Times New Roman"/>
                <w:sz w:val="24"/>
                <w:szCs w:val="24"/>
              </w:rPr>
            </w:pPr>
          </w:p>
        </w:tc>
        <w:tc>
          <w:tcPr>
            <w:tcW w:w="2127" w:type="dxa"/>
            <w:vAlign w:val="center"/>
          </w:tcPr>
          <w:p w14:paraId="306DCC6C" w14:textId="77777777" w:rsidR="00CF7751" w:rsidRPr="00CF7751" w:rsidRDefault="00CF7751" w:rsidP="00CF7751">
            <w:pPr>
              <w:jc w:val="center"/>
              <w:rPr>
                <w:rFonts w:ascii="Times New Roman" w:hAnsi="Times New Roman" w:cs="Times New Roman"/>
                <w:sz w:val="24"/>
                <w:szCs w:val="24"/>
              </w:rPr>
            </w:pPr>
          </w:p>
        </w:tc>
      </w:tr>
      <w:tr w:rsidR="00CF7751" w:rsidRPr="00CF7751" w14:paraId="242CFE98" w14:textId="77777777" w:rsidTr="00BD4D0D">
        <w:trPr>
          <w:trHeight w:val="325"/>
        </w:trPr>
        <w:tc>
          <w:tcPr>
            <w:tcW w:w="2266" w:type="dxa"/>
            <w:vAlign w:val="center"/>
          </w:tcPr>
          <w:p w14:paraId="0CC626F5"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PS</w:t>
            </w:r>
          </w:p>
        </w:tc>
        <w:tc>
          <w:tcPr>
            <w:tcW w:w="2263" w:type="dxa"/>
            <w:vAlign w:val="center"/>
          </w:tcPr>
          <w:p w14:paraId="28D1499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0.02 (0.00-0.04)</w:t>
            </w:r>
          </w:p>
        </w:tc>
        <w:tc>
          <w:tcPr>
            <w:tcW w:w="2060" w:type="dxa"/>
            <w:vAlign w:val="center"/>
          </w:tcPr>
          <w:p w14:paraId="7FFFFAD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0.02 (-0.01-0.04)</w:t>
            </w:r>
          </w:p>
        </w:tc>
        <w:tc>
          <w:tcPr>
            <w:tcW w:w="2226" w:type="dxa"/>
            <w:vAlign w:val="center"/>
          </w:tcPr>
          <w:p w14:paraId="1A48038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-0.04 (-0.09-0.00)</w:t>
            </w:r>
          </w:p>
        </w:tc>
        <w:tc>
          <w:tcPr>
            <w:tcW w:w="2256" w:type="dxa"/>
            <w:vAlign w:val="center"/>
          </w:tcPr>
          <w:p w14:paraId="57BBDC4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(-0.06-0.04)</w:t>
            </w:r>
          </w:p>
        </w:tc>
        <w:tc>
          <w:tcPr>
            <w:tcW w:w="2140" w:type="dxa"/>
            <w:vAlign w:val="center"/>
          </w:tcPr>
          <w:p w14:paraId="5CFF981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(-0.02-0.04)</w:t>
            </w:r>
          </w:p>
        </w:tc>
        <w:tc>
          <w:tcPr>
            <w:tcW w:w="2127" w:type="dxa"/>
            <w:vAlign w:val="center"/>
          </w:tcPr>
          <w:p w14:paraId="547B936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0.00 (-0.03-0.04)</w:t>
            </w:r>
          </w:p>
        </w:tc>
        <w:tc>
          <w:tcPr>
            <w:tcW w:w="2140" w:type="dxa"/>
            <w:vAlign w:val="center"/>
          </w:tcPr>
          <w:p w14:paraId="23D3EFA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0.02 (0.00-0.04)</w:t>
            </w:r>
          </w:p>
        </w:tc>
        <w:tc>
          <w:tcPr>
            <w:tcW w:w="2127" w:type="dxa"/>
            <w:vAlign w:val="center"/>
          </w:tcPr>
          <w:p w14:paraId="149E9E5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0.00 (-0.04-0.03)</w:t>
            </w:r>
          </w:p>
        </w:tc>
      </w:tr>
      <w:tr w:rsidR="00CF7751" w:rsidRPr="00CF7751" w14:paraId="77292B1D" w14:textId="77777777" w:rsidTr="00BD4D0D">
        <w:trPr>
          <w:trHeight w:val="325"/>
        </w:trPr>
        <w:tc>
          <w:tcPr>
            <w:tcW w:w="2266" w:type="dxa"/>
            <w:vAlign w:val="center"/>
          </w:tcPr>
          <w:p w14:paraId="6D2FCD48"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CE</w:t>
            </w:r>
          </w:p>
        </w:tc>
        <w:tc>
          <w:tcPr>
            <w:tcW w:w="2263" w:type="dxa"/>
            <w:vAlign w:val="center"/>
          </w:tcPr>
          <w:p w14:paraId="5DE3289C"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-0.19 (-0.33--0.05)</w:t>
            </w:r>
          </w:p>
        </w:tc>
        <w:tc>
          <w:tcPr>
            <w:tcW w:w="2060" w:type="dxa"/>
            <w:vAlign w:val="center"/>
          </w:tcPr>
          <w:p w14:paraId="6E99C06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-0.04 (-0.05--0.02)</w:t>
            </w:r>
          </w:p>
        </w:tc>
        <w:tc>
          <w:tcPr>
            <w:tcW w:w="2226" w:type="dxa"/>
            <w:vAlign w:val="center"/>
          </w:tcPr>
          <w:p w14:paraId="1B7770E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-0.16 (-0.54-0.23)</w:t>
            </w:r>
          </w:p>
        </w:tc>
        <w:tc>
          <w:tcPr>
            <w:tcW w:w="2256" w:type="dxa"/>
            <w:vAlign w:val="center"/>
          </w:tcPr>
          <w:p w14:paraId="503267F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-0.08 (-0.11--0.04)</w:t>
            </w:r>
          </w:p>
        </w:tc>
        <w:tc>
          <w:tcPr>
            <w:tcW w:w="2140" w:type="dxa"/>
            <w:vAlign w:val="center"/>
          </w:tcPr>
          <w:p w14:paraId="38CA5A3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-0.03 (-0.22-0.16)</w:t>
            </w:r>
          </w:p>
        </w:tc>
        <w:tc>
          <w:tcPr>
            <w:tcW w:w="2127" w:type="dxa"/>
            <w:vAlign w:val="center"/>
          </w:tcPr>
          <w:p w14:paraId="45F4161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-0.04 (-0.08--0.01)</w:t>
            </w:r>
          </w:p>
        </w:tc>
        <w:tc>
          <w:tcPr>
            <w:tcW w:w="2140" w:type="dxa"/>
            <w:vAlign w:val="center"/>
          </w:tcPr>
          <w:p w14:paraId="40008B4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-0.16 (-0.31--0.01)</w:t>
            </w:r>
          </w:p>
        </w:tc>
        <w:tc>
          <w:tcPr>
            <w:tcW w:w="2127" w:type="dxa"/>
            <w:vAlign w:val="center"/>
          </w:tcPr>
          <w:p w14:paraId="6FED217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-0.04 (-0.06--0.02)</w:t>
            </w:r>
          </w:p>
        </w:tc>
      </w:tr>
      <w:tr w:rsidR="00CF7751" w:rsidRPr="00CF7751" w14:paraId="7543E36C" w14:textId="77777777" w:rsidTr="00BD4D0D">
        <w:trPr>
          <w:trHeight w:val="325"/>
        </w:trPr>
        <w:tc>
          <w:tcPr>
            <w:tcW w:w="2266" w:type="dxa"/>
            <w:vAlign w:val="center"/>
          </w:tcPr>
          <w:p w14:paraId="0167FEEF"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CO</w:t>
            </w:r>
          </w:p>
        </w:tc>
        <w:tc>
          <w:tcPr>
            <w:tcW w:w="2263" w:type="dxa"/>
            <w:vAlign w:val="center"/>
          </w:tcPr>
          <w:p w14:paraId="0DABD2F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-0.10 (-0.27-0.08)</w:t>
            </w:r>
          </w:p>
        </w:tc>
        <w:tc>
          <w:tcPr>
            <w:tcW w:w="2060" w:type="dxa"/>
            <w:vAlign w:val="center"/>
          </w:tcPr>
          <w:p w14:paraId="13CA2EA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(-0.04-0.01)</w:t>
            </w:r>
          </w:p>
        </w:tc>
        <w:tc>
          <w:tcPr>
            <w:tcW w:w="2226" w:type="dxa"/>
            <w:vAlign w:val="center"/>
          </w:tcPr>
          <w:p w14:paraId="4E6C432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-0.38 (-0.64--0.11)</w:t>
            </w:r>
          </w:p>
        </w:tc>
        <w:tc>
          <w:tcPr>
            <w:tcW w:w="2256" w:type="dxa"/>
            <w:vAlign w:val="center"/>
          </w:tcPr>
          <w:p w14:paraId="2A58EAC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(-0.06-0.04)</w:t>
            </w:r>
          </w:p>
        </w:tc>
        <w:tc>
          <w:tcPr>
            <w:tcW w:w="2140" w:type="dxa"/>
            <w:vAlign w:val="center"/>
          </w:tcPr>
          <w:p w14:paraId="3033878C"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0.02 (-0.20-0.25)</w:t>
            </w:r>
          </w:p>
        </w:tc>
        <w:tc>
          <w:tcPr>
            <w:tcW w:w="2127" w:type="dxa"/>
            <w:vAlign w:val="center"/>
          </w:tcPr>
          <w:p w14:paraId="43E3C2A0"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-0.02 (-0.05-0.01)</w:t>
            </w:r>
          </w:p>
        </w:tc>
        <w:tc>
          <w:tcPr>
            <w:tcW w:w="2140" w:type="dxa"/>
            <w:vAlign w:val="center"/>
          </w:tcPr>
          <w:p w14:paraId="13AE59E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-0.05 (-0.20-0.10)</w:t>
            </w:r>
          </w:p>
        </w:tc>
        <w:tc>
          <w:tcPr>
            <w:tcW w:w="2127" w:type="dxa"/>
            <w:vAlign w:val="center"/>
          </w:tcPr>
          <w:p w14:paraId="22BAD9D7"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-0.02 (-0.04-0.01)</w:t>
            </w:r>
          </w:p>
        </w:tc>
      </w:tr>
      <w:tr w:rsidR="00CF7751" w:rsidRPr="00CF7751" w14:paraId="70A098CE" w14:textId="77777777" w:rsidTr="00BD4D0D">
        <w:trPr>
          <w:trHeight w:val="325"/>
        </w:trPr>
        <w:tc>
          <w:tcPr>
            <w:tcW w:w="2266" w:type="dxa"/>
            <w:vAlign w:val="center"/>
          </w:tcPr>
          <w:p w14:paraId="487889AA"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WI</w:t>
            </w:r>
          </w:p>
        </w:tc>
        <w:tc>
          <w:tcPr>
            <w:tcW w:w="2263" w:type="dxa"/>
            <w:vAlign w:val="center"/>
          </w:tcPr>
          <w:p w14:paraId="53461A1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-0.03 (-0.05--0.01)</w:t>
            </w:r>
          </w:p>
        </w:tc>
        <w:tc>
          <w:tcPr>
            <w:tcW w:w="2060" w:type="dxa"/>
            <w:vAlign w:val="center"/>
          </w:tcPr>
          <w:p w14:paraId="4363F4AB"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-0.03 (-0.06--0.01)</w:t>
            </w:r>
          </w:p>
        </w:tc>
        <w:tc>
          <w:tcPr>
            <w:tcW w:w="2226" w:type="dxa"/>
            <w:vAlign w:val="center"/>
          </w:tcPr>
          <w:p w14:paraId="6CAE17D0"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0.00 (-0.06-0.05)</w:t>
            </w:r>
          </w:p>
        </w:tc>
        <w:tc>
          <w:tcPr>
            <w:tcW w:w="2256" w:type="dxa"/>
            <w:vAlign w:val="center"/>
          </w:tcPr>
          <w:p w14:paraId="6DD482A4"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(-0.08-0.06)</w:t>
            </w:r>
          </w:p>
        </w:tc>
        <w:tc>
          <w:tcPr>
            <w:tcW w:w="2140" w:type="dxa"/>
            <w:vAlign w:val="center"/>
          </w:tcPr>
          <w:p w14:paraId="0CA4C5F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-0.02 (-0.06-0.02)</w:t>
            </w:r>
          </w:p>
        </w:tc>
        <w:tc>
          <w:tcPr>
            <w:tcW w:w="2127" w:type="dxa"/>
            <w:vAlign w:val="center"/>
          </w:tcPr>
          <w:p w14:paraId="284C50DB"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-0.02 (-0.05-0.01)</w:t>
            </w:r>
          </w:p>
        </w:tc>
        <w:tc>
          <w:tcPr>
            <w:tcW w:w="2140" w:type="dxa"/>
            <w:vAlign w:val="center"/>
          </w:tcPr>
          <w:p w14:paraId="12C6A22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-0.02 (-0.04-0.00)</w:t>
            </w:r>
          </w:p>
        </w:tc>
        <w:tc>
          <w:tcPr>
            <w:tcW w:w="2127" w:type="dxa"/>
            <w:vAlign w:val="center"/>
          </w:tcPr>
          <w:p w14:paraId="6947554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-0.02 (-0.05-0.00)</w:t>
            </w:r>
          </w:p>
        </w:tc>
      </w:tr>
      <w:tr w:rsidR="00CF7751" w:rsidRPr="00CF7751" w14:paraId="7EB2EA08" w14:textId="77777777" w:rsidTr="00BD4D0D">
        <w:trPr>
          <w:trHeight w:val="339"/>
        </w:trPr>
        <w:tc>
          <w:tcPr>
            <w:tcW w:w="2266" w:type="dxa"/>
            <w:vAlign w:val="center"/>
          </w:tcPr>
          <w:p w14:paraId="5C130042" w14:textId="77777777" w:rsidR="00CF7751" w:rsidRPr="00CF7751" w:rsidRDefault="00CF7751" w:rsidP="00CF7751">
            <w:pPr>
              <w:rPr>
                <w:rFonts w:ascii="Times New Roman" w:hAnsi="Times New Roman" w:cs="Times New Roman"/>
                <w:sz w:val="24"/>
                <w:szCs w:val="24"/>
                <w:u w:val="single"/>
              </w:rPr>
            </w:pPr>
            <w:r w:rsidRPr="00CF7751">
              <w:rPr>
                <w:rFonts w:ascii="Times New Roman" w:hAnsi="Times New Roman" w:cs="Times New Roman"/>
                <w:sz w:val="24"/>
                <w:szCs w:val="24"/>
                <w:u w:val="single"/>
              </w:rPr>
              <w:t>Quadratic Slopes</w:t>
            </w:r>
          </w:p>
        </w:tc>
        <w:tc>
          <w:tcPr>
            <w:tcW w:w="2263" w:type="dxa"/>
            <w:vAlign w:val="center"/>
          </w:tcPr>
          <w:p w14:paraId="5FFDD3B1" w14:textId="77777777" w:rsidR="00CF7751" w:rsidRPr="00CF7751" w:rsidRDefault="00CF7751" w:rsidP="00CF7751">
            <w:pPr>
              <w:jc w:val="center"/>
              <w:rPr>
                <w:rFonts w:ascii="Times New Roman" w:hAnsi="Times New Roman" w:cs="Times New Roman"/>
                <w:sz w:val="24"/>
                <w:szCs w:val="24"/>
              </w:rPr>
            </w:pPr>
          </w:p>
        </w:tc>
        <w:tc>
          <w:tcPr>
            <w:tcW w:w="2060" w:type="dxa"/>
            <w:vAlign w:val="center"/>
          </w:tcPr>
          <w:p w14:paraId="27AF26D6" w14:textId="77777777" w:rsidR="00CF7751" w:rsidRPr="00CF7751" w:rsidRDefault="00CF7751" w:rsidP="00CF7751">
            <w:pPr>
              <w:jc w:val="center"/>
              <w:rPr>
                <w:rFonts w:ascii="Times New Roman" w:hAnsi="Times New Roman" w:cs="Times New Roman"/>
                <w:sz w:val="24"/>
                <w:szCs w:val="24"/>
              </w:rPr>
            </w:pPr>
          </w:p>
        </w:tc>
        <w:tc>
          <w:tcPr>
            <w:tcW w:w="2226" w:type="dxa"/>
            <w:vAlign w:val="center"/>
          </w:tcPr>
          <w:p w14:paraId="0571AB0D" w14:textId="77777777" w:rsidR="00CF7751" w:rsidRPr="00CF7751" w:rsidRDefault="00CF7751" w:rsidP="00CF7751">
            <w:pPr>
              <w:jc w:val="center"/>
              <w:rPr>
                <w:rFonts w:ascii="Times New Roman" w:hAnsi="Times New Roman" w:cs="Times New Roman"/>
                <w:sz w:val="24"/>
                <w:szCs w:val="24"/>
              </w:rPr>
            </w:pPr>
          </w:p>
        </w:tc>
        <w:tc>
          <w:tcPr>
            <w:tcW w:w="2256" w:type="dxa"/>
            <w:vAlign w:val="center"/>
          </w:tcPr>
          <w:p w14:paraId="74BBB3E3" w14:textId="77777777" w:rsidR="00CF7751" w:rsidRPr="00CF7751" w:rsidRDefault="00CF7751" w:rsidP="00CF7751">
            <w:pPr>
              <w:jc w:val="center"/>
              <w:rPr>
                <w:rFonts w:ascii="Times New Roman" w:hAnsi="Times New Roman" w:cs="Times New Roman"/>
                <w:sz w:val="24"/>
                <w:szCs w:val="24"/>
              </w:rPr>
            </w:pPr>
          </w:p>
        </w:tc>
        <w:tc>
          <w:tcPr>
            <w:tcW w:w="2140" w:type="dxa"/>
            <w:vAlign w:val="center"/>
          </w:tcPr>
          <w:p w14:paraId="5FF10512" w14:textId="77777777" w:rsidR="00CF7751" w:rsidRPr="00CF7751" w:rsidRDefault="00CF7751" w:rsidP="00CF7751">
            <w:pPr>
              <w:jc w:val="center"/>
              <w:rPr>
                <w:rFonts w:ascii="Times New Roman" w:hAnsi="Times New Roman" w:cs="Times New Roman"/>
                <w:sz w:val="24"/>
                <w:szCs w:val="24"/>
              </w:rPr>
            </w:pPr>
          </w:p>
        </w:tc>
        <w:tc>
          <w:tcPr>
            <w:tcW w:w="2127" w:type="dxa"/>
            <w:vAlign w:val="center"/>
          </w:tcPr>
          <w:p w14:paraId="3C5C7C40" w14:textId="77777777" w:rsidR="00CF7751" w:rsidRPr="00CF7751" w:rsidRDefault="00CF7751" w:rsidP="00CF7751">
            <w:pPr>
              <w:jc w:val="center"/>
              <w:rPr>
                <w:rFonts w:ascii="Times New Roman" w:hAnsi="Times New Roman" w:cs="Times New Roman"/>
                <w:sz w:val="24"/>
                <w:szCs w:val="24"/>
              </w:rPr>
            </w:pPr>
          </w:p>
        </w:tc>
        <w:tc>
          <w:tcPr>
            <w:tcW w:w="2140" w:type="dxa"/>
            <w:vAlign w:val="center"/>
          </w:tcPr>
          <w:p w14:paraId="43176EA1" w14:textId="77777777" w:rsidR="00CF7751" w:rsidRPr="00CF7751" w:rsidRDefault="00CF7751" w:rsidP="00CF7751">
            <w:pPr>
              <w:jc w:val="center"/>
              <w:rPr>
                <w:rFonts w:ascii="Times New Roman" w:hAnsi="Times New Roman" w:cs="Times New Roman"/>
                <w:sz w:val="24"/>
                <w:szCs w:val="24"/>
              </w:rPr>
            </w:pPr>
          </w:p>
        </w:tc>
        <w:tc>
          <w:tcPr>
            <w:tcW w:w="2127" w:type="dxa"/>
            <w:vAlign w:val="center"/>
          </w:tcPr>
          <w:p w14:paraId="74FBE5FC" w14:textId="77777777" w:rsidR="00CF7751" w:rsidRPr="00CF7751" w:rsidRDefault="00CF7751" w:rsidP="00CF7751">
            <w:pPr>
              <w:jc w:val="center"/>
              <w:rPr>
                <w:rFonts w:ascii="Times New Roman" w:hAnsi="Times New Roman" w:cs="Times New Roman"/>
                <w:sz w:val="24"/>
                <w:szCs w:val="24"/>
              </w:rPr>
            </w:pPr>
          </w:p>
        </w:tc>
      </w:tr>
      <w:tr w:rsidR="00CF7751" w:rsidRPr="00CF7751" w14:paraId="6D3092B4" w14:textId="77777777" w:rsidTr="00BD4D0D">
        <w:trPr>
          <w:trHeight w:val="325"/>
        </w:trPr>
        <w:tc>
          <w:tcPr>
            <w:tcW w:w="2266" w:type="dxa"/>
            <w:vAlign w:val="center"/>
          </w:tcPr>
          <w:p w14:paraId="30C92DEB"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CE</w:t>
            </w:r>
          </w:p>
        </w:tc>
        <w:tc>
          <w:tcPr>
            <w:tcW w:w="2263" w:type="dxa"/>
            <w:vAlign w:val="center"/>
          </w:tcPr>
          <w:p w14:paraId="30F3515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0.07 (-0.01-0.15)</w:t>
            </w:r>
          </w:p>
        </w:tc>
        <w:tc>
          <w:tcPr>
            <w:tcW w:w="2060" w:type="dxa"/>
            <w:vAlign w:val="center"/>
          </w:tcPr>
          <w:p w14:paraId="0184163B"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226" w:type="dxa"/>
            <w:vAlign w:val="center"/>
          </w:tcPr>
          <w:p w14:paraId="43557B9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0.06 (-0.19-0.31)</w:t>
            </w:r>
          </w:p>
        </w:tc>
        <w:tc>
          <w:tcPr>
            <w:tcW w:w="2256" w:type="dxa"/>
            <w:vAlign w:val="center"/>
          </w:tcPr>
          <w:p w14:paraId="41727B5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140" w:type="dxa"/>
            <w:vAlign w:val="center"/>
          </w:tcPr>
          <w:p w14:paraId="5FF27BBD"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(-0.13-0.10)</w:t>
            </w:r>
          </w:p>
        </w:tc>
        <w:tc>
          <w:tcPr>
            <w:tcW w:w="2127" w:type="dxa"/>
            <w:vAlign w:val="center"/>
          </w:tcPr>
          <w:p w14:paraId="7481F845"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140" w:type="dxa"/>
            <w:vAlign w:val="center"/>
          </w:tcPr>
          <w:p w14:paraId="391E5D8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0.06 (-0.04-0.16)</w:t>
            </w:r>
          </w:p>
        </w:tc>
        <w:tc>
          <w:tcPr>
            <w:tcW w:w="2127" w:type="dxa"/>
            <w:vAlign w:val="center"/>
          </w:tcPr>
          <w:p w14:paraId="5CF63A8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r>
      <w:tr w:rsidR="00CF7751" w:rsidRPr="00CF7751" w14:paraId="3B89A617" w14:textId="77777777" w:rsidTr="00BD4D0D">
        <w:trPr>
          <w:trHeight w:val="325"/>
        </w:trPr>
        <w:tc>
          <w:tcPr>
            <w:tcW w:w="2266" w:type="dxa"/>
            <w:vAlign w:val="center"/>
          </w:tcPr>
          <w:p w14:paraId="7B78E3AC"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CO</w:t>
            </w:r>
          </w:p>
        </w:tc>
        <w:tc>
          <w:tcPr>
            <w:tcW w:w="2263" w:type="dxa"/>
            <w:vAlign w:val="center"/>
          </w:tcPr>
          <w:p w14:paraId="67C3270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0.05 (-0.06-0.15)</w:t>
            </w:r>
          </w:p>
        </w:tc>
        <w:tc>
          <w:tcPr>
            <w:tcW w:w="2060" w:type="dxa"/>
            <w:vAlign w:val="center"/>
          </w:tcPr>
          <w:p w14:paraId="44BE41B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226" w:type="dxa"/>
            <w:vAlign w:val="center"/>
          </w:tcPr>
          <w:p w14:paraId="51ECE0F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0.22* (0.06-0.39)</w:t>
            </w:r>
          </w:p>
        </w:tc>
        <w:tc>
          <w:tcPr>
            <w:tcW w:w="2256" w:type="dxa"/>
            <w:vAlign w:val="center"/>
          </w:tcPr>
          <w:p w14:paraId="077EBCB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140" w:type="dxa"/>
            <w:vAlign w:val="center"/>
          </w:tcPr>
          <w:p w14:paraId="2419BA27"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0.00 (-0.13-0.14)</w:t>
            </w:r>
          </w:p>
        </w:tc>
        <w:tc>
          <w:tcPr>
            <w:tcW w:w="2127" w:type="dxa"/>
            <w:vAlign w:val="center"/>
          </w:tcPr>
          <w:p w14:paraId="0A073A9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140" w:type="dxa"/>
            <w:vAlign w:val="center"/>
          </w:tcPr>
          <w:p w14:paraId="525EA2B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0.03 (-0.06-0.12)</w:t>
            </w:r>
          </w:p>
        </w:tc>
        <w:tc>
          <w:tcPr>
            <w:tcW w:w="2127" w:type="dxa"/>
            <w:vAlign w:val="center"/>
          </w:tcPr>
          <w:p w14:paraId="13944E3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r>
      <w:tr w:rsidR="00CF7751" w:rsidRPr="00CF7751" w14:paraId="0D91C796" w14:textId="77777777" w:rsidTr="00BD4D0D">
        <w:trPr>
          <w:trHeight w:val="339"/>
        </w:trPr>
        <w:tc>
          <w:tcPr>
            <w:tcW w:w="2266" w:type="dxa"/>
            <w:vAlign w:val="center"/>
          </w:tcPr>
          <w:p w14:paraId="2AB5A1D7" w14:textId="77777777" w:rsidR="00CF7751" w:rsidRPr="00CF7751" w:rsidRDefault="00CF7751" w:rsidP="00CF7751">
            <w:pPr>
              <w:rPr>
                <w:rFonts w:ascii="Times New Roman" w:hAnsi="Times New Roman" w:cs="Times New Roman"/>
                <w:sz w:val="24"/>
                <w:szCs w:val="24"/>
                <w:u w:val="single"/>
              </w:rPr>
            </w:pPr>
            <w:r w:rsidRPr="00CF7751">
              <w:rPr>
                <w:rFonts w:ascii="Times New Roman" w:hAnsi="Times New Roman" w:cs="Times New Roman"/>
                <w:sz w:val="24"/>
                <w:szCs w:val="24"/>
                <w:u w:val="single"/>
              </w:rPr>
              <w:t xml:space="preserve">Cubic Slopes </w:t>
            </w:r>
          </w:p>
        </w:tc>
        <w:tc>
          <w:tcPr>
            <w:tcW w:w="2263" w:type="dxa"/>
            <w:vAlign w:val="center"/>
          </w:tcPr>
          <w:p w14:paraId="150E74A6" w14:textId="77777777" w:rsidR="00CF7751" w:rsidRPr="00CF7751" w:rsidRDefault="00CF7751" w:rsidP="00CF7751">
            <w:pPr>
              <w:jc w:val="center"/>
              <w:rPr>
                <w:rFonts w:ascii="Times New Roman" w:hAnsi="Times New Roman" w:cs="Times New Roman"/>
                <w:sz w:val="24"/>
                <w:szCs w:val="24"/>
              </w:rPr>
            </w:pPr>
          </w:p>
        </w:tc>
        <w:tc>
          <w:tcPr>
            <w:tcW w:w="2060" w:type="dxa"/>
            <w:vAlign w:val="center"/>
          </w:tcPr>
          <w:p w14:paraId="669DB8FA" w14:textId="77777777" w:rsidR="00CF7751" w:rsidRPr="00CF7751" w:rsidRDefault="00CF7751" w:rsidP="00CF7751">
            <w:pPr>
              <w:jc w:val="center"/>
              <w:rPr>
                <w:rFonts w:ascii="Times New Roman" w:hAnsi="Times New Roman" w:cs="Times New Roman"/>
                <w:sz w:val="24"/>
                <w:szCs w:val="24"/>
              </w:rPr>
            </w:pPr>
          </w:p>
        </w:tc>
        <w:tc>
          <w:tcPr>
            <w:tcW w:w="2226" w:type="dxa"/>
            <w:vAlign w:val="center"/>
          </w:tcPr>
          <w:p w14:paraId="4BCE4342" w14:textId="77777777" w:rsidR="00CF7751" w:rsidRPr="00CF7751" w:rsidRDefault="00CF7751" w:rsidP="00CF7751">
            <w:pPr>
              <w:jc w:val="center"/>
              <w:rPr>
                <w:rFonts w:ascii="Times New Roman" w:hAnsi="Times New Roman" w:cs="Times New Roman"/>
                <w:sz w:val="24"/>
                <w:szCs w:val="24"/>
              </w:rPr>
            </w:pPr>
          </w:p>
        </w:tc>
        <w:tc>
          <w:tcPr>
            <w:tcW w:w="2256" w:type="dxa"/>
            <w:vAlign w:val="center"/>
          </w:tcPr>
          <w:p w14:paraId="42F71F28" w14:textId="77777777" w:rsidR="00CF7751" w:rsidRPr="00CF7751" w:rsidRDefault="00CF7751" w:rsidP="00CF7751">
            <w:pPr>
              <w:jc w:val="center"/>
              <w:rPr>
                <w:rFonts w:ascii="Times New Roman" w:hAnsi="Times New Roman" w:cs="Times New Roman"/>
                <w:sz w:val="24"/>
                <w:szCs w:val="24"/>
              </w:rPr>
            </w:pPr>
          </w:p>
        </w:tc>
        <w:tc>
          <w:tcPr>
            <w:tcW w:w="2140" w:type="dxa"/>
            <w:vAlign w:val="center"/>
          </w:tcPr>
          <w:p w14:paraId="1D7315C1" w14:textId="77777777" w:rsidR="00CF7751" w:rsidRPr="00CF7751" w:rsidRDefault="00CF7751" w:rsidP="00CF7751">
            <w:pPr>
              <w:jc w:val="center"/>
              <w:rPr>
                <w:rFonts w:ascii="Times New Roman" w:hAnsi="Times New Roman" w:cs="Times New Roman"/>
                <w:sz w:val="24"/>
                <w:szCs w:val="24"/>
              </w:rPr>
            </w:pPr>
          </w:p>
        </w:tc>
        <w:tc>
          <w:tcPr>
            <w:tcW w:w="2127" w:type="dxa"/>
            <w:vAlign w:val="center"/>
          </w:tcPr>
          <w:p w14:paraId="631646E2" w14:textId="77777777" w:rsidR="00CF7751" w:rsidRPr="00CF7751" w:rsidRDefault="00CF7751" w:rsidP="00CF7751">
            <w:pPr>
              <w:jc w:val="center"/>
              <w:rPr>
                <w:rFonts w:ascii="Times New Roman" w:hAnsi="Times New Roman" w:cs="Times New Roman"/>
                <w:sz w:val="24"/>
                <w:szCs w:val="24"/>
              </w:rPr>
            </w:pPr>
          </w:p>
        </w:tc>
        <w:tc>
          <w:tcPr>
            <w:tcW w:w="2140" w:type="dxa"/>
            <w:vAlign w:val="center"/>
          </w:tcPr>
          <w:p w14:paraId="68AA27A9" w14:textId="77777777" w:rsidR="00CF7751" w:rsidRPr="00CF7751" w:rsidRDefault="00CF7751" w:rsidP="00CF7751">
            <w:pPr>
              <w:jc w:val="center"/>
              <w:rPr>
                <w:rFonts w:ascii="Times New Roman" w:hAnsi="Times New Roman" w:cs="Times New Roman"/>
                <w:sz w:val="24"/>
                <w:szCs w:val="24"/>
              </w:rPr>
            </w:pPr>
          </w:p>
        </w:tc>
        <w:tc>
          <w:tcPr>
            <w:tcW w:w="2127" w:type="dxa"/>
            <w:vAlign w:val="center"/>
          </w:tcPr>
          <w:p w14:paraId="62C07D3F" w14:textId="77777777" w:rsidR="00CF7751" w:rsidRPr="00CF7751" w:rsidRDefault="00CF7751" w:rsidP="00CF7751">
            <w:pPr>
              <w:jc w:val="center"/>
              <w:rPr>
                <w:rFonts w:ascii="Times New Roman" w:hAnsi="Times New Roman" w:cs="Times New Roman"/>
                <w:sz w:val="24"/>
                <w:szCs w:val="24"/>
              </w:rPr>
            </w:pPr>
          </w:p>
        </w:tc>
      </w:tr>
      <w:tr w:rsidR="00CF7751" w:rsidRPr="00CF7751" w14:paraId="76AB72E8" w14:textId="77777777" w:rsidTr="00BD4D0D">
        <w:trPr>
          <w:trHeight w:val="307"/>
        </w:trPr>
        <w:tc>
          <w:tcPr>
            <w:tcW w:w="2266" w:type="dxa"/>
            <w:tcBorders>
              <w:bottom w:val="nil"/>
            </w:tcBorders>
            <w:vAlign w:val="center"/>
          </w:tcPr>
          <w:p w14:paraId="2CA275F9"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CE</w:t>
            </w:r>
          </w:p>
        </w:tc>
        <w:tc>
          <w:tcPr>
            <w:tcW w:w="2263" w:type="dxa"/>
            <w:tcBorders>
              <w:bottom w:val="nil"/>
            </w:tcBorders>
            <w:vAlign w:val="center"/>
          </w:tcPr>
          <w:p w14:paraId="6F9498F0"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(-0.02-0.00)</w:t>
            </w:r>
          </w:p>
        </w:tc>
        <w:tc>
          <w:tcPr>
            <w:tcW w:w="2060" w:type="dxa"/>
            <w:tcBorders>
              <w:bottom w:val="nil"/>
            </w:tcBorders>
            <w:vAlign w:val="center"/>
          </w:tcPr>
          <w:p w14:paraId="32BC13F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226" w:type="dxa"/>
            <w:tcBorders>
              <w:bottom w:val="nil"/>
            </w:tcBorders>
            <w:vAlign w:val="center"/>
          </w:tcPr>
          <w:p w14:paraId="7456D06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(-0.05-0.03)</w:t>
            </w:r>
          </w:p>
        </w:tc>
        <w:tc>
          <w:tcPr>
            <w:tcW w:w="2256" w:type="dxa"/>
            <w:tcBorders>
              <w:bottom w:val="nil"/>
            </w:tcBorders>
            <w:vAlign w:val="center"/>
          </w:tcPr>
          <w:p w14:paraId="41861247"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140" w:type="dxa"/>
            <w:tcBorders>
              <w:bottom w:val="nil"/>
            </w:tcBorders>
            <w:vAlign w:val="center"/>
          </w:tcPr>
          <w:p w14:paraId="4F78083B"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0.00 (-0.02-0.02)</w:t>
            </w:r>
          </w:p>
        </w:tc>
        <w:tc>
          <w:tcPr>
            <w:tcW w:w="2127" w:type="dxa"/>
            <w:tcBorders>
              <w:bottom w:val="nil"/>
            </w:tcBorders>
            <w:vAlign w:val="center"/>
          </w:tcPr>
          <w:p w14:paraId="4AE0A27D"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140" w:type="dxa"/>
            <w:tcBorders>
              <w:bottom w:val="nil"/>
            </w:tcBorders>
            <w:vAlign w:val="center"/>
          </w:tcPr>
          <w:p w14:paraId="26C6743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(-0.02-0.01)</w:t>
            </w:r>
          </w:p>
        </w:tc>
        <w:tc>
          <w:tcPr>
            <w:tcW w:w="2127" w:type="dxa"/>
            <w:tcBorders>
              <w:bottom w:val="nil"/>
            </w:tcBorders>
            <w:vAlign w:val="center"/>
          </w:tcPr>
          <w:p w14:paraId="2664736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r>
      <w:tr w:rsidR="00CF7751" w:rsidRPr="00CF7751" w14:paraId="531012E4" w14:textId="77777777" w:rsidTr="00BD4D0D">
        <w:trPr>
          <w:trHeight w:val="307"/>
        </w:trPr>
        <w:tc>
          <w:tcPr>
            <w:tcW w:w="2266" w:type="dxa"/>
            <w:tcBorders>
              <w:top w:val="nil"/>
              <w:bottom w:val="single" w:sz="12" w:space="0" w:color="auto"/>
            </w:tcBorders>
            <w:vAlign w:val="center"/>
          </w:tcPr>
          <w:p w14:paraId="2A64153C"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CO</w:t>
            </w:r>
          </w:p>
        </w:tc>
        <w:tc>
          <w:tcPr>
            <w:tcW w:w="2263" w:type="dxa"/>
            <w:tcBorders>
              <w:top w:val="nil"/>
              <w:bottom w:val="single" w:sz="12" w:space="0" w:color="auto"/>
            </w:tcBorders>
            <w:vAlign w:val="center"/>
          </w:tcPr>
          <w:p w14:paraId="5C8F687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(-0.03-0.01)</w:t>
            </w:r>
          </w:p>
        </w:tc>
        <w:tc>
          <w:tcPr>
            <w:tcW w:w="2060" w:type="dxa"/>
            <w:tcBorders>
              <w:top w:val="nil"/>
              <w:bottom w:val="single" w:sz="12" w:space="0" w:color="auto"/>
            </w:tcBorders>
            <w:vAlign w:val="center"/>
          </w:tcPr>
          <w:p w14:paraId="04A6F2D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226" w:type="dxa"/>
            <w:tcBorders>
              <w:top w:val="nil"/>
              <w:bottom w:val="single" w:sz="12" w:space="0" w:color="auto"/>
            </w:tcBorders>
            <w:vAlign w:val="center"/>
          </w:tcPr>
          <w:p w14:paraId="13BE437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-0.04 (-0.06--0.01)</w:t>
            </w:r>
          </w:p>
        </w:tc>
        <w:tc>
          <w:tcPr>
            <w:tcW w:w="2256" w:type="dxa"/>
            <w:tcBorders>
              <w:top w:val="nil"/>
              <w:bottom w:val="single" w:sz="12" w:space="0" w:color="auto"/>
            </w:tcBorders>
            <w:vAlign w:val="center"/>
          </w:tcPr>
          <w:p w14:paraId="052F42FD"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140" w:type="dxa"/>
            <w:tcBorders>
              <w:top w:val="nil"/>
              <w:bottom w:val="single" w:sz="12" w:space="0" w:color="auto"/>
            </w:tcBorders>
            <w:vAlign w:val="center"/>
          </w:tcPr>
          <w:p w14:paraId="0129A913"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0.00 (-0.02-0.02)</w:t>
            </w:r>
          </w:p>
        </w:tc>
        <w:tc>
          <w:tcPr>
            <w:tcW w:w="2127" w:type="dxa"/>
            <w:tcBorders>
              <w:top w:val="nil"/>
              <w:bottom w:val="single" w:sz="12" w:space="0" w:color="auto"/>
            </w:tcBorders>
            <w:vAlign w:val="center"/>
          </w:tcPr>
          <w:p w14:paraId="3647E41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p>
        </w:tc>
        <w:tc>
          <w:tcPr>
            <w:tcW w:w="2140" w:type="dxa"/>
            <w:tcBorders>
              <w:top w:val="nil"/>
              <w:bottom w:val="single" w:sz="12" w:space="0" w:color="auto"/>
            </w:tcBorders>
            <w:vAlign w:val="center"/>
          </w:tcPr>
          <w:p w14:paraId="7F071ECC"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-0.01 (-0.02-0.01)</w:t>
            </w:r>
          </w:p>
        </w:tc>
        <w:tc>
          <w:tcPr>
            <w:tcW w:w="2127" w:type="dxa"/>
            <w:tcBorders>
              <w:top w:val="nil"/>
              <w:bottom w:val="single" w:sz="12" w:space="0" w:color="auto"/>
            </w:tcBorders>
            <w:vAlign w:val="center"/>
          </w:tcPr>
          <w:p w14:paraId="4F3583DA" w14:textId="77777777" w:rsidR="00CF7751" w:rsidRPr="00CF7751" w:rsidRDefault="00CF7751" w:rsidP="00CF7751">
            <w:pPr>
              <w:keepNext/>
              <w:jc w:val="center"/>
              <w:rPr>
                <w:rFonts w:ascii="Times New Roman" w:hAnsi="Times New Roman" w:cs="Times New Roman"/>
                <w:sz w:val="24"/>
                <w:szCs w:val="24"/>
              </w:rPr>
            </w:pPr>
            <w:r w:rsidRPr="00CF7751">
              <w:rPr>
                <w:rFonts w:ascii="Times New Roman" w:hAnsi="Times New Roman" w:cs="Times New Roman"/>
                <w:sz w:val="24"/>
                <w:szCs w:val="24"/>
              </w:rPr>
              <w:t>-</w:t>
            </w:r>
          </w:p>
        </w:tc>
      </w:tr>
    </w:tbl>
    <w:p w14:paraId="2AB1A6B9" w14:textId="77777777" w:rsidR="00CF7751" w:rsidRPr="00CF7751" w:rsidRDefault="00CF7751" w:rsidP="00CF7751">
      <w:pPr>
        <w:framePr w:hSpace="180" w:wrap="around" w:vAnchor="text" w:hAnchor="page" w:x="662" w:y="6558"/>
        <w:spacing w:after="200" w:line="240" w:lineRule="auto"/>
        <w:rPr>
          <w:rFonts w:ascii="Times New Roman" w:eastAsia="Calibri" w:hAnsi="Times New Roman" w:cs="Times New Roman"/>
          <w:sz w:val="24"/>
          <w:szCs w:val="24"/>
        </w:rPr>
      </w:pPr>
      <w:r w:rsidRPr="00CF7751">
        <w:rPr>
          <w:rFonts w:ascii="Times New Roman" w:eastAsia="Calibri" w:hAnsi="Times New Roman" w:cs="Times New Roman"/>
          <w:i/>
          <w:iCs/>
          <w:sz w:val="24"/>
          <w:szCs w:val="24"/>
        </w:rPr>
        <w:t>Note</w:t>
      </w:r>
      <w:r w:rsidRPr="00CF7751">
        <w:rPr>
          <w:rFonts w:ascii="Times New Roman" w:eastAsia="Calibri" w:hAnsi="Times New Roman" w:cs="Times New Roman"/>
          <w:sz w:val="24"/>
          <w:szCs w:val="24"/>
        </w:rPr>
        <w:t xml:space="preserve">: PS: Problem Solving; CE: Conflict Engagement; CO: Compliance; WI: Withdrawal; C.I.: Confidence Intervals. Values with different </w:t>
      </w:r>
      <w:r w:rsidRPr="00CF7751">
        <w:rPr>
          <w:rFonts w:ascii="Times New Roman" w:eastAsia="Calibri" w:hAnsi="Times New Roman" w:cs="Times New Roman"/>
          <w:b/>
          <w:bCs/>
          <w:i/>
          <w:iCs/>
          <w:sz w:val="24"/>
          <w:szCs w:val="24"/>
        </w:rPr>
        <w:t>letter indicators</w:t>
      </w:r>
      <w:r w:rsidRPr="00CF7751">
        <w:rPr>
          <w:rFonts w:ascii="Times New Roman" w:eastAsia="Calibri" w:hAnsi="Times New Roman" w:cs="Times New Roman"/>
          <w:sz w:val="24"/>
          <w:szCs w:val="24"/>
        </w:rPr>
        <w:t xml:space="preserve"> indicate statistically different means </w:t>
      </w:r>
      <w:r w:rsidRPr="00CF7751">
        <w:rPr>
          <w:rFonts w:ascii="Times New Roman" w:eastAsia="Calibri" w:hAnsi="Times New Roman" w:cs="Times New Roman"/>
          <w:b/>
          <w:bCs/>
          <w:i/>
          <w:iCs/>
          <w:sz w:val="24"/>
          <w:szCs w:val="24"/>
        </w:rPr>
        <w:t>across sex within each class</w:t>
      </w:r>
      <w:r w:rsidRPr="00CF7751">
        <w:rPr>
          <w:rFonts w:ascii="Times New Roman" w:eastAsia="Calibri" w:hAnsi="Times New Roman" w:cs="Times New Roman"/>
          <w:sz w:val="24"/>
          <w:szCs w:val="24"/>
        </w:rPr>
        <w:t xml:space="preserve">, where “a” denotes a higher mean than “b”. </w:t>
      </w:r>
      <w:bookmarkStart w:id="96" w:name="_Hlk28947118"/>
      <w:r w:rsidRPr="00CF7751">
        <w:rPr>
          <w:rFonts w:ascii="Times New Roman" w:eastAsia="Calibri" w:hAnsi="Times New Roman" w:cs="Times New Roman"/>
          <w:sz w:val="24"/>
          <w:szCs w:val="24"/>
        </w:rPr>
        <w:t xml:space="preserve">Values with different </w:t>
      </w:r>
      <w:r w:rsidRPr="00CF7751">
        <w:rPr>
          <w:rFonts w:ascii="Times New Roman" w:eastAsia="Calibri" w:hAnsi="Times New Roman" w:cs="Times New Roman"/>
          <w:b/>
          <w:bCs/>
          <w:i/>
          <w:iCs/>
          <w:sz w:val="24"/>
          <w:szCs w:val="24"/>
        </w:rPr>
        <w:t>number indicators</w:t>
      </w:r>
      <w:r w:rsidRPr="00CF7751">
        <w:rPr>
          <w:rFonts w:ascii="Times New Roman" w:eastAsia="Calibri" w:hAnsi="Times New Roman" w:cs="Times New Roman"/>
          <w:sz w:val="24"/>
          <w:szCs w:val="24"/>
        </w:rPr>
        <w:t xml:space="preserve"> indicate statistically different means </w:t>
      </w:r>
      <w:r w:rsidRPr="00CF7751">
        <w:rPr>
          <w:rFonts w:ascii="Times New Roman" w:eastAsia="Calibri" w:hAnsi="Times New Roman" w:cs="Times New Roman"/>
          <w:b/>
          <w:bCs/>
          <w:i/>
          <w:iCs/>
          <w:sz w:val="24"/>
          <w:szCs w:val="24"/>
        </w:rPr>
        <w:t>across classes</w:t>
      </w:r>
      <w:r w:rsidRPr="00CF7751">
        <w:rPr>
          <w:rFonts w:ascii="Times New Roman" w:eastAsia="Calibri" w:hAnsi="Times New Roman" w:cs="Times New Roman"/>
          <w:sz w:val="24"/>
          <w:szCs w:val="24"/>
        </w:rPr>
        <w:t xml:space="preserve"> </w:t>
      </w:r>
      <w:r w:rsidRPr="00CF7751">
        <w:rPr>
          <w:rFonts w:ascii="Times New Roman" w:eastAsia="Calibri" w:hAnsi="Times New Roman" w:cs="Times New Roman"/>
          <w:b/>
          <w:bCs/>
          <w:i/>
          <w:iCs/>
          <w:sz w:val="24"/>
          <w:szCs w:val="24"/>
        </w:rPr>
        <w:t>within each sex</w:t>
      </w:r>
      <w:r w:rsidRPr="00CF7751">
        <w:rPr>
          <w:rFonts w:ascii="Times New Roman" w:eastAsia="Calibri" w:hAnsi="Times New Roman" w:cs="Times New Roman"/>
          <w:sz w:val="24"/>
          <w:szCs w:val="24"/>
        </w:rPr>
        <w:t xml:space="preserve">, where “1” indicates higher mean than “2”, “2” indicates higher mean than “3”, </w:t>
      </w:r>
      <w:bookmarkStart w:id="97" w:name="_Hlk28947978"/>
      <w:r w:rsidRPr="00CF7751">
        <w:rPr>
          <w:rFonts w:ascii="Times New Roman" w:eastAsia="Calibri" w:hAnsi="Times New Roman" w:cs="Times New Roman"/>
          <w:sz w:val="24"/>
          <w:szCs w:val="24"/>
        </w:rPr>
        <w:t>and “3” indicates a higher mean than “4”</w:t>
      </w:r>
      <w:bookmarkEnd w:id="97"/>
      <w:r w:rsidRPr="00CF7751">
        <w:rPr>
          <w:rFonts w:ascii="Times New Roman" w:eastAsia="Calibri" w:hAnsi="Times New Roman" w:cs="Times New Roman"/>
          <w:sz w:val="24"/>
          <w:szCs w:val="24"/>
        </w:rPr>
        <w:t xml:space="preserve">. </w:t>
      </w:r>
    </w:p>
    <w:bookmarkEnd w:id="96"/>
    <w:p w14:paraId="7C55BE47" w14:textId="77777777" w:rsidR="00CF7751" w:rsidRPr="00CF7751" w:rsidRDefault="00CF7751" w:rsidP="00CF7751">
      <w:pPr>
        <w:keepNext/>
        <w:spacing w:after="200" w:line="240" w:lineRule="auto"/>
        <w:rPr>
          <w:rFonts w:ascii="Times New Roman" w:eastAsia="Calibri" w:hAnsi="Times New Roman" w:cs="Times New Roman"/>
          <w:sz w:val="24"/>
          <w:szCs w:val="24"/>
        </w:rPr>
      </w:pPr>
    </w:p>
    <w:bookmarkEnd w:id="95"/>
    <w:p w14:paraId="0071970B" w14:textId="77777777" w:rsidR="00CF7751" w:rsidRPr="00CF7751" w:rsidRDefault="00CF7751" w:rsidP="00CF7751">
      <w:pPr>
        <w:rPr>
          <w:rFonts w:ascii="Calibri" w:eastAsia="Calibri" w:hAnsi="Calibri" w:cs="SimSun"/>
        </w:rPr>
        <w:sectPr w:rsidR="00CF7751" w:rsidRPr="00CF7751">
          <w:pgSz w:w="20160" w:h="12240" w:orient="landscape" w:code="5"/>
          <w:pgMar w:top="1440" w:right="1440" w:bottom="1440" w:left="1440" w:header="708" w:footer="708" w:gutter="0"/>
          <w:cols w:space="708"/>
          <w:docGrid w:linePitch="360"/>
        </w:sectPr>
      </w:pPr>
    </w:p>
    <w:bookmarkEnd w:id="41"/>
    <w:p w14:paraId="20BC2E2E" w14:textId="77777777" w:rsidR="00CF7751" w:rsidRPr="00CF7751" w:rsidRDefault="00CF7751" w:rsidP="00CF7751">
      <w:pPr>
        <w:keepNext/>
        <w:spacing w:after="200" w:line="240" w:lineRule="auto"/>
        <w:rPr>
          <w:rFonts w:ascii="Times New Roman" w:eastAsia="Calibri" w:hAnsi="Times New Roman" w:cs="Times New Roman"/>
          <w:i/>
          <w:iCs/>
          <w:sz w:val="24"/>
          <w:szCs w:val="24"/>
        </w:rPr>
      </w:pPr>
      <w:r w:rsidRPr="00CF7751">
        <w:rPr>
          <w:rFonts w:ascii="Times New Roman" w:eastAsia="Calibri" w:hAnsi="Times New Roman" w:cs="Times New Roman"/>
          <w:i/>
          <w:iCs/>
          <w:sz w:val="24"/>
          <w:szCs w:val="24"/>
        </w:rPr>
        <w:lastRenderedPageBreak/>
        <w:t xml:space="preserve">Table </w:t>
      </w:r>
      <w:r w:rsidRPr="00CF7751">
        <w:rPr>
          <w:rFonts w:ascii="Times New Roman" w:eastAsia="Calibri" w:hAnsi="Times New Roman" w:cs="Times New Roman"/>
          <w:i/>
          <w:iCs/>
          <w:sz w:val="24"/>
          <w:szCs w:val="24"/>
        </w:rPr>
        <w:fldChar w:fldCharType="begin"/>
      </w:r>
      <w:r w:rsidRPr="00CF7751">
        <w:rPr>
          <w:rFonts w:ascii="Times New Roman" w:eastAsia="Calibri" w:hAnsi="Times New Roman" w:cs="Times New Roman"/>
          <w:i/>
          <w:iCs/>
          <w:sz w:val="24"/>
          <w:szCs w:val="24"/>
        </w:rPr>
        <w:instrText xml:space="preserve"> SEQ Table \* ARABIC </w:instrText>
      </w:r>
      <w:r w:rsidRPr="00CF7751">
        <w:rPr>
          <w:rFonts w:ascii="Times New Roman" w:eastAsia="Calibri" w:hAnsi="Times New Roman" w:cs="Times New Roman"/>
          <w:i/>
          <w:iCs/>
          <w:sz w:val="24"/>
          <w:szCs w:val="24"/>
        </w:rPr>
        <w:fldChar w:fldCharType="separate"/>
      </w:r>
      <w:r w:rsidRPr="00CF7751">
        <w:rPr>
          <w:rFonts w:ascii="Times New Roman" w:eastAsia="Calibri" w:hAnsi="Times New Roman" w:cs="Times New Roman"/>
          <w:i/>
          <w:iCs/>
          <w:noProof/>
          <w:sz w:val="24"/>
          <w:szCs w:val="24"/>
        </w:rPr>
        <w:t>2</w:t>
      </w:r>
      <w:r w:rsidRPr="00CF7751">
        <w:rPr>
          <w:rFonts w:ascii="Times New Roman" w:eastAsia="Calibri" w:hAnsi="Times New Roman" w:cs="Times New Roman"/>
          <w:i/>
          <w:iCs/>
          <w:sz w:val="24"/>
          <w:szCs w:val="24"/>
        </w:rPr>
        <w:fldChar w:fldCharType="end"/>
      </w:r>
      <w:r w:rsidRPr="00CF7751">
        <w:rPr>
          <w:rFonts w:ascii="Times New Roman" w:eastAsia="Calibri" w:hAnsi="Times New Roman" w:cs="Times New Roman"/>
          <w:i/>
          <w:iCs/>
          <w:sz w:val="24"/>
          <w:szCs w:val="24"/>
        </w:rPr>
        <w:t xml:space="preserve"> </w:t>
      </w:r>
    </w:p>
    <w:p w14:paraId="6E44627E" w14:textId="77777777" w:rsidR="00CF7751" w:rsidRPr="00CF7751" w:rsidRDefault="00CF7751" w:rsidP="00CF7751">
      <w:pPr>
        <w:framePr w:w="16137" w:h="1355" w:hRule="exact" w:hSpace="180" w:wrap="around" w:vAnchor="text" w:hAnchor="page" w:x="663" w:y="7323"/>
        <w:spacing w:after="0" w:line="240" w:lineRule="auto"/>
        <w:rPr>
          <w:rFonts w:ascii="Times New Roman" w:eastAsia="Calibri" w:hAnsi="Times New Roman" w:cs="Times New Roman"/>
          <w:sz w:val="24"/>
          <w:szCs w:val="24"/>
        </w:rPr>
      </w:pPr>
      <w:r w:rsidRPr="00CF7751">
        <w:rPr>
          <w:rFonts w:ascii="Times New Roman" w:eastAsia="Calibri" w:hAnsi="Times New Roman" w:cs="Times New Roman"/>
          <w:i/>
          <w:iCs/>
          <w:sz w:val="24"/>
          <w:szCs w:val="24"/>
        </w:rPr>
        <w:t>Note:</w:t>
      </w:r>
      <w:r w:rsidRPr="00CF7751">
        <w:rPr>
          <w:rFonts w:ascii="Times New Roman" w:eastAsia="Calibri" w:hAnsi="Times New Roman" w:cs="Times New Roman"/>
          <w:sz w:val="24"/>
          <w:szCs w:val="24"/>
        </w:rPr>
        <w:t xml:space="preserve"> Conflict Resolution Patterns are the result of the four-class solution of the Latent Class Growth Analysis on the four scales of the Conflict Resolution Strategies Inventory as reported by mothers and fathers. Levels represent the between-person estimates of the average daily conflict. Cross-Lagged Effects represent the within-person average day-to-day cross-lagged effects. Estimates with different numeric indicators differ significantly at </w:t>
      </w:r>
      <w:r w:rsidRPr="00CF7751">
        <w:rPr>
          <w:rFonts w:ascii="Times New Roman" w:eastAsia="Calibri" w:hAnsi="Times New Roman" w:cs="Times New Roman"/>
          <w:i/>
          <w:iCs/>
          <w:sz w:val="24"/>
          <w:szCs w:val="24"/>
        </w:rPr>
        <w:t>p</w:t>
      </w:r>
      <w:r w:rsidRPr="00CF7751">
        <w:rPr>
          <w:rFonts w:ascii="Times New Roman" w:eastAsia="Calibri" w:hAnsi="Times New Roman" w:cs="Times New Roman"/>
          <w:sz w:val="24"/>
          <w:szCs w:val="24"/>
        </w:rPr>
        <w:t xml:space="preserve"> = 0.05, where “1” indicates a higher mean. * Fisher’s Z was non-significant for all Pearson’s </w:t>
      </w:r>
      <w:r w:rsidRPr="00CF7751">
        <w:rPr>
          <w:rFonts w:ascii="Times New Roman" w:eastAsia="Calibri" w:hAnsi="Times New Roman" w:cs="Times New Roman"/>
          <w:i/>
          <w:iCs/>
          <w:sz w:val="24"/>
          <w:szCs w:val="24"/>
        </w:rPr>
        <w:t>r</w:t>
      </w:r>
      <w:r w:rsidRPr="00CF7751">
        <w:rPr>
          <w:rFonts w:ascii="Times New Roman" w:eastAsia="Calibri" w:hAnsi="Times New Roman" w:cs="Times New Roman"/>
          <w:sz w:val="24"/>
          <w:szCs w:val="24"/>
        </w:rPr>
        <w:t xml:space="preserve"> comparisons. </w:t>
      </w:r>
    </w:p>
    <w:p w14:paraId="50836190" w14:textId="77777777" w:rsidR="00CF7751" w:rsidRPr="00CF7751" w:rsidRDefault="00CF7751" w:rsidP="00CF7751">
      <w:pPr>
        <w:framePr w:w="16137" w:h="1355" w:hRule="exact" w:hSpace="180" w:wrap="around" w:vAnchor="text" w:hAnchor="page" w:x="663" w:y="7323"/>
        <w:spacing w:after="0" w:line="240" w:lineRule="auto"/>
        <w:rPr>
          <w:rFonts w:ascii="Times New Roman" w:eastAsia="Calibri" w:hAnsi="Times New Roman" w:cs="Times New Roman"/>
          <w:sz w:val="24"/>
          <w:szCs w:val="24"/>
        </w:rPr>
      </w:pPr>
      <w:r w:rsidRPr="00CF7751">
        <w:rPr>
          <w:rFonts w:ascii="Times New Roman" w:eastAsia="Calibri" w:hAnsi="Times New Roman" w:cs="Times New Roman"/>
          <w:sz w:val="24"/>
          <w:szCs w:val="24"/>
        </w:rPr>
        <w:t xml:space="preserve">*** </w:t>
      </w:r>
      <w:r w:rsidRPr="00CF7751">
        <w:rPr>
          <w:rFonts w:ascii="Times New Roman" w:eastAsia="Calibri" w:hAnsi="Times New Roman" w:cs="Times New Roman"/>
          <w:i/>
          <w:iCs/>
          <w:sz w:val="24"/>
          <w:szCs w:val="24"/>
        </w:rPr>
        <w:t>p</w:t>
      </w:r>
      <w:r w:rsidRPr="00CF7751">
        <w:rPr>
          <w:rFonts w:ascii="Times New Roman" w:eastAsia="Calibri" w:hAnsi="Times New Roman" w:cs="Times New Roman"/>
          <w:sz w:val="24"/>
          <w:szCs w:val="24"/>
        </w:rPr>
        <w:t xml:space="preserve"> &lt; .001</w:t>
      </w:r>
    </w:p>
    <w:p w14:paraId="5B42B531" w14:textId="77777777" w:rsidR="00CF7751" w:rsidRPr="00CF7751" w:rsidRDefault="00CF7751" w:rsidP="00CF7751">
      <w:pPr>
        <w:keepNext/>
        <w:spacing w:after="200" w:line="240" w:lineRule="auto"/>
        <w:rPr>
          <w:rFonts w:ascii="Times New Roman" w:eastAsia="Calibri" w:hAnsi="Times New Roman" w:cs="Times New Roman"/>
          <w:sz w:val="24"/>
          <w:szCs w:val="24"/>
        </w:rPr>
      </w:pPr>
      <w:r w:rsidRPr="00CF7751">
        <w:rPr>
          <w:rFonts w:ascii="Times New Roman" w:eastAsia="Calibri" w:hAnsi="Times New Roman" w:cs="Times New Roman"/>
          <w:sz w:val="24"/>
          <w:szCs w:val="24"/>
        </w:rPr>
        <w:t>Means, and Confidence Intervals of Levels of Daily Conflict, and Day-to-Day Cross-Lagged Effects, as well as Bivariate Between-Person Correlations Across Conflict Resolution Patterns.</w:t>
      </w:r>
    </w:p>
    <w:tbl>
      <w:tblPr>
        <w:tblStyle w:val="TableGrid1"/>
        <w:tblpPr w:leftFromText="180" w:rightFromText="180" w:vertAnchor="text" w:horzAnchor="margin" w:tblpXSpec="right" w:tblpY="83"/>
        <w:tblW w:w="14613"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1"/>
        <w:gridCol w:w="919"/>
        <w:gridCol w:w="379"/>
        <w:gridCol w:w="1134"/>
        <w:gridCol w:w="1515"/>
        <w:gridCol w:w="1517"/>
        <w:gridCol w:w="85"/>
        <w:gridCol w:w="1429"/>
        <w:gridCol w:w="1518"/>
        <w:gridCol w:w="59"/>
        <w:gridCol w:w="1455"/>
        <w:gridCol w:w="1519"/>
        <w:gridCol w:w="63"/>
      </w:tblGrid>
      <w:tr w:rsidR="00CF7751" w:rsidRPr="00CF7751" w14:paraId="53480688" w14:textId="77777777" w:rsidTr="00BD4D0D">
        <w:trPr>
          <w:trHeight w:val="803"/>
        </w:trPr>
        <w:tc>
          <w:tcPr>
            <w:tcW w:w="4319" w:type="dxa"/>
            <w:gridSpan w:val="3"/>
            <w:vAlign w:val="center"/>
          </w:tcPr>
          <w:p w14:paraId="292DF783" w14:textId="77777777" w:rsidR="00CF7751" w:rsidRPr="00CF7751" w:rsidRDefault="00CF7751" w:rsidP="00CF7751">
            <w:pPr>
              <w:rPr>
                <w:rFonts w:ascii="Times New Roman" w:hAnsi="Times New Roman" w:cs="Times New Roman"/>
                <w:sz w:val="24"/>
                <w:szCs w:val="24"/>
              </w:rPr>
            </w:pPr>
          </w:p>
        </w:tc>
        <w:tc>
          <w:tcPr>
            <w:tcW w:w="10294" w:type="dxa"/>
            <w:gridSpan w:val="10"/>
            <w:vAlign w:val="center"/>
          </w:tcPr>
          <w:p w14:paraId="637D26D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Conflict Resolution Patterns</w:t>
            </w:r>
          </w:p>
        </w:tc>
      </w:tr>
      <w:tr w:rsidR="00CF7751" w:rsidRPr="00CF7751" w14:paraId="0BC1A96A" w14:textId="77777777" w:rsidTr="00BD4D0D">
        <w:trPr>
          <w:trHeight w:val="803"/>
        </w:trPr>
        <w:tc>
          <w:tcPr>
            <w:tcW w:w="3021" w:type="dxa"/>
            <w:vAlign w:val="center"/>
          </w:tcPr>
          <w:p w14:paraId="0D2F75FD"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Daily Conflict</w:t>
            </w:r>
          </w:p>
        </w:tc>
        <w:tc>
          <w:tcPr>
            <w:tcW w:w="2432" w:type="dxa"/>
            <w:gridSpan w:val="3"/>
            <w:tcBorders>
              <w:top w:val="single" w:sz="4" w:space="0" w:color="auto"/>
              <w:bottom w:val="single" w:sz="4" w:space="0" w:color="auto"/>
            </w:tcBorders>
            <w:vAlign w:val="center"/>
          </w:tcPr>
          <w:p w14:paraId="70CE119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Couple Constructive</w:t>
            </w:r>
          </w:p>
          <w:p w14:paraId="2C8503C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r w:rsidRPr="00CF7751">
              <w:rPr>
                <w:rFonts w:ascii="Times New Roman" w:hAnsi="Times New Roman" w:cs="Times New Roman"/>
                <w:i/>
                <w:sz w:val="24"/>
                <w:szCs w:val="24"/>
              </w:rPr>
              <w:t>n</w:t>
            </w:r>
            <w:r w:rsidRPr="00CF7751">
              <w:rPr>
                <w:rFonts w:ascii="Times New Roman" w:hAnsi="Times New Roman" w:cs="Times New Roman"/>
                <w:sz w:val="24"/>
                <w:szCs w:val="24"/>
              </w:rPr>
              <w:t xml:space="preserve"> = 132)</w:t>
            </w:r>
          </w:p>
        </w:tc>
        <w:tc>
          <w:tcPr>
            <w:tcW w:w="3117" w:type="dxa"/>
            <w:gridSpan w:val="3"/>
            <w:tcBorders>
              <w:top w:val="single" w:sz="4" w:space="0" w:color="auto"/>
              <w:bottom w:val="single" w:sz="4" w:space="0" w:color="auto"/>
            </w:tcBorders>
            <w:vAlign w:val="center"/>
          </w:tcPr>
          <w:p w14:paraId="05EDC46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 xml:space="preserve">Couple Destructive </w:t>
            </w:r>
          </w:p>
          <w:p w14:paraId="0D9378BC"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r w:rsidRPr="00CF7751">
              <w:rPr>
                <w:rFonts w:ascii="Times New Roman" w:hAnsi="Times New Roman" w:cs="Times New Roman"/>
                <w:i/>
                <w:sz w:val="24"/>
                <w:szCs w:val="24"/>
              </w:rPr>
              <w:t>n</w:t>
            </w:r>
            <w:r w:rsidRPr="00CF7751">
              <w:rPr>
                <w:rFonts w:ascii="Times New Roman" w:hAnsi="Times New Roman" w:cs="Times New Roman"/>
                <w:sz w:val="24"/>
                <w:szCs w:val="24"/>
              </w:rPr>
              <w:t xml:space="preserve"> = 53)</w:t>
            </w:r>
          </w:p>
        </w:tc>
        <w:tc>
          <w:tcPr>
            <w:tcW w:w="3006" w:type="dxa"/>
            <w:gridSpan w:val="3"/>
            <w:tcBorders>
              <w:top w:val="single" w:sz="4" w:space="0" w:color="auto"/>
              <w:bottom w:val="single" w:sz="4" w:space="0" w:color="auto"/>
            </w:tcBorders>
            <w:vAlign w:val="center"/>
          </w:tcPr>
          <w:p w14:paraId="6D8B8050"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Father Constructive - Mother Average</w:t>
            </w:r>
          </w:p>
          <w:p w14:paraId="1BC669DC"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r w:rsidRPr="00CF7751">
              <w:rPr>
                <w:rFonts w:ascii="Times New Roman" w:hAnsi="Times New Roman" w:cs="Times New Roman"/>
                <w:i/>
                <w:iCs/>
                <w:sz w:val="24"/>
                <w:szCs w:val="24"/>
              </w:rPr>
              <w:t xml:space="preserve">n </w:t>
            </w:r>
            <w:r w:rsidRPr="00CF7751">
              <w:rPr>
                <w:rFonts w:ascii="Times New Roman" w:hAnsi="Times New Roman" w:cs="Times New Roman"/>
                <w:sz w:val="24"/>
                <w:szCs w:val="24"/>
              </w:rPr>
              <w:t>= 141)</w:t>
            </w:r>
          </w:p>
        </w:tc>
        <w:tc>
          <w:tcPr>
            <w:tcW w:w="3037" w:type="dxa"/>
            <w:gridSpan w:val="3"/>
            <w:tcBorders>
              <w:top w:val="single" w:sz="4" w:space="0" w:color="auto"/>
              <w:bottom w:val="single" w:sz="4" w:space="0" w:color="auto"/>
            </w:tcBorders>
            <w:vAlign w:val="center"/>
          </w:tcPr>
          <w:p w14:paraId="25D7ECD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Mother Constructive - Father Submissive</w:t>
            </w:r>
          </w:p>
          <w:p w14:paraId="67A6F995"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w:t>
            </w:r>
            <w:r w:rsidRPr="00CF7751">
              <w:rPr>
                <w:rFonts w:ascii="Times New Roman" w:hAnsi="Times New Roman" w:cs="Times New Roman"/>
                <w:i/>
                <w:sz w:val="24"/>
                <w:szCs w:val="24"/>
              </w:rPr>
              <w:t>n</w:t>
            </w:r>
            <w:r w:rsidRPr="00CF7751">
              <w:rPr>
                <w:rFonts w:ascii="Times New Roman" w:hAnsi="Times New Roman" w:cs="Times New Roman"/>
                <w:sz w:val="24"/>
                <w:szCs w:val="24"/>
              </w:rPr>
              <w:t xml:space="preserve"> = 91)</w:t>
            </w:r>
          </w:p>
        </w:tc>
      </w:tr>
      <w:tr w:rsidR="00CF7751" w:rsidRPr="00CF7751" w14:paraId="3D7041A6" w14:textId="77777777" w:rsidTr="00BD4D0D">
        <w:trPr>
          <w:gridAfter w:val="1"/>
          <w:wAfter w:w="63" w:type="dxa"/>
          <w:trHeight w:val="396"/>
        </w:trPr>
        <w:tc>
          <w:tcPr>
            <w:tcW w:w="3021" w:type="dxa"/>
            <w:tcBorders>
              <w:top w:val="nil"/>
              <w:bottom w:val="single" w:sz="4" w:space="0" w:color="auto"/>
            </w:tcBorders>
            <w:vAlign w:val="center"/>
          </w:tcPr>
          <w:p w14:paraId="1F8D0AA5" w14:textId="77777777" w:rsidR="00CF7751" w:rsidRPr="00CF7751" w:rsidRDefault="00CF7751" w:rsidP="00CF7751">
            <w:pPr>
              <w:rPr>
                <w:rFonts w:ascii="Times New Roman" w:hAnsi="Times New Roman" w:cs="Times New Roman"/>
                <w:b/>
                <w:bCs/>
                <w:sz w:val="24"/>
                <w:szCs w:val="24"/>
              </w:rPr>
            </w:pPr>
            <w:r w:rsidRPr="00CF7751">
              <w:rPr>
                <w:rFonts w:ascii="Times New Roman" w:hAnsi="Times New Roman" w:cs="Times New Roman"/>
                <w:b/>
                <w:bCs/>
                <w:sz w:val="24"/>
                <w:szCs w:val="24"/>
              </w:rPr>
              <w:t>Level</w:t>
            </w:r>
          </w:p>
        </w:tc>
        <w:tc>
          <w:tcPr>
            <w:tcW w:w="919" w:type="dxa"/>
            <w:tcBorders>
              <w:top w:val="single" w:sz="4" w:space="0" w:color="auto"/>
              <w:bottom w:val="single" w:sz="4" w:space="0" w:color="auto"/>
            </w:tcBorders>
            <w:vAlign w:val="center"/>
          </w:tcPr>
          <w:p w14:paraId="00DE2C3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i/>
                <w:iCs/>
                <w:sz w:val="24"/>
                <w:szCs w:val="24"/>
              </w:rPr>
              <w:t>M</w:t>
            </w:r>
          </w:p>
        </w:tc>
        <w:tc>
          <w:tcPr>
            <w:tcW w:w="1513" w:type="dxa"/>
            <w:gridSpan w:val="2"/>
            <w:tcBorders>
              <w:top w:val="single" w:sz="4" w:space="0" w:color="auto"/>
              <w:bottom w:val="single" w:sz="4" w:space="0" w:color="auto"/>
            </w:tcBorders>
            <w:vAlign w:val="center"/>
          </w:tcPr>
          <w:p w14:paraId="66521BE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95% C.I.</w:t>
            </w:r>
          </w:p>
        </w:tc>
        <w:tc>
          <w:tcPr>
            <w:tcW w:w="1515" w:type="dxa"/>
            <w:tcBorders>
              <w:top w:val="single" w:sz="4" w:space="0" w:color="auto"/>
              <w:bottom w:val="single" w:sz="4" w:space="0" w:color="auto"/>
            </w:tcBorders>
            <w:vAlign w:val="center"/>
          </w:tcPr>
          <w:p w14:paraId="77047CE6" w14:textId="77777777" w:rsidR="00CF7751" w:rsidRPr="00CF7751" w:rsidRDefault="00CF7751" w:rsidP="00CF7751">
            <w:pPr>
              <w:jc w:val="center"/>
              <w:rPr>
                <w:rFonts w:ascii="Times New Roman" w:hAnsi="Times New Roman" w:cs="Times New Roman"/>
                <w:i/>
                <w:iCs/>
                <w:sz w:val="24"/>
                <w:szCs w:val="24"/>
              </w:rPr>
            </w:pPr>
            <w:r w:rsidRPr="00CF7751">
              <w:rPr>
                <w:rFonts w:ascii="Times New Roman" w:hAnsi="Times New Roman" w:cs="Times New Roman"/>
                <w:i/>
                <w:iCs/>
                <w:sz w:val="24"/>
                <w:szCs w:val="24"/>
              </w:rPr>
              <w:t>M</w:t>
            </w:r>
          </w:p>
        </w:tc>
        <w:tc>
          <w:tcPr>
            <w:tcW w:w="1517" w:type="dxa"/>
            <w:tcBorders>
              <w:top w:val="single" w:sz="4" w:space="0" w:color="auto"/>
              <w:bottom w:val="single" w:sz="4" w:space="0" w:color="auto"/>
            </w:tcBorders>
            <w:vAlign w:val="center"/>
          </w:tcPr>
          <w:p w14:paraId="02387A05"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95% C.I.</w:t>
            </w:r>
          </w:p>
        </w:tc>
        <w:tc>
          <w:tcPr>
            <w:tcW w:w="1514" w:type="dxa"/>
            <w:gridSpan w:val="2"/>
            <w:tcBorders>
              <w:top w:val="single" w:sz="4" w:space="0" w:color="auto"/>
              <w:bottom w:val="single" w:sz="4" w:space="0" w:color="auto"/>
            </w:tcBorders>
            <w:vAlign w:val="center"/>
          </w:tcPr>
          <w:p w14:paraId="4BADCC09" w14:textId="77777777" w:rsidR="00CF7751" w:rsidRPr="00CF7751" w:rsidRDefault="00CF7751" w:rsidP="00CF7751">
            <w:pPr>
              <w:jc w:val="center"/>
              <w:rPr>
                <w:rFonts w:ascii="Times New Roman" w:hAnsi="Times New Roman" w:cs="Times New Roman"/>
                <w:i/>
                <w:iCs/>
                <w:sz w:val="24"/>
                <w:szCs w:val="24"/>
              </w:rPr>
            </w:pPr>
            <w:r w:rsidRPr="00CF7751">
              <w:rPr>
                <w:rFonts w:ascii="Times New Roman" w:hAnsi="Times New Roman" w:cs="Times New Roman"/>
                <w:i/>
                <w:iCs/>
                <w:sz w:val="24"/>
                <w:szCs w:val="24"/>
              </w:rPr>
              <w:t>M</w:t>
            </w:r>
          </w:p>
        </w:tc>
        <w:tc>
          <w:tcPr>
            <w:tcW w:w="1518" w:type="dxa"/>
            <w:tcBorders>
              <w:top w:val="single" w:sz="4" w:space="0" w:color="auto"/>
              <w:bottom w:val="single" w:sz="4" w:space="0" w:color="auto"/>
            </w:tcBorders>
            <w:vAlign w:val="center"/>
          </w:tcPr>
          <w:p w14:paraId="65795447"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95% C.I.</w:t>
            </w:r>
          </w:p>
        </w:tc>
        <w:tc>
          <w:tcPr>
            <w:tcW w:w="1514" w:type="dxa"/>
            <w:gridSpan w:val="2"/>
            <w:tcBorders>
              <w:top w:val="single" w:sz="4" w:space="0" w:color="auto"/>
              <w:bottom w:val="single" w:sz="4" w:space="0" w:color="auto"/>
            </w:tcBorders>
            <w:vAlign w:val="center"/>
          </w:tcPr>
          <w:p w14:paraId="7AA324EC" w14:textId="77777777" w:rsidR="00CF7751" w:rsidRPr="00CF7751" w:rsidRDefault="00CF7751" w:rsidP="00CF7751">
            <w:pPr>
              <w:jc w:val="center"/>
              <w:rPr>
                <w:rFonts w:ascii="Times New Roman" w:hAnsi="Times New Roman" w:cs="Times New Roman"/>
                <w:i/>
                <w:iCs/>
                <w:sz w:val="24"/>
                <w:szCs w:val="24"/>
              </w:rPr>
            </w:pPr>
            <w:r w:rsidRPr="00CF7751">
              <w:rPr>
                <w:rFonts w:ascii="Times New Roman" w:hAnsi="Times New Roman" w:cs="Times New Roman"/>
                <w:i/>
                <w:iCs/>
                <w:sz w:val="24"/>
                <w:szCs w:val="24"/>
              </w:rPr>
              <w:t>M</w:t>
            </w:r>
          </w:p>
        </w:tc>
        <w:tc>
          <w:tcPr>
            <w:tcW w:w="1519" w:type="dxa"/>
            <w:tcBorders>
              <w:top w:val="single" w:sz="4" w:space="0" w:color="auto"/>
              <w:bottom w:val="single" w:sz="4" w:space="0" w:color="auto"/>
            </w:tcBorders>
            <w:vAlign w:val="center"/>
          </w:tcPr>
          <w:p w14:paraId="5FCC589C"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95% C.I.</w:t>
            </w:r>
          </w:p>
        </w:tc>
      </w:tr>
      <w:tr w:rsidR="00CF7751" w:rsidRPr="00CF7751" w14:paraId="156AC50F" w14:textId="77777777" w:rsidTr="00BD4D0D">
        <w:trPr>
          <w:gridAfter w:val="1"/>
          <w:wAfter w:w="63" w:type="dxa"/>
          <w:trHeight w:val="396"/>
        </w:trPr>
        <w:tc>
          <w:tcPr>
            <w:tcW w:w="3021" w:type="dxa"/>
            <w:tcBorders>
              <w:top w:val="single" w:sz="4" w:space="0" w:color="auto"/>
              <w:bottom w:val="nil"/>
            </w:tcBorders>
            <w:vAlign w:val="center"/>
          </w:tcPr>
          <w:p w14:paraId="16934324"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 xml:space="preserve">Marital Conflict </w:t>
            </w:r>
          </w:p>
        </w:tc>
        <w:tc>
          <w:tcPr>
            <w:tcW w:w="919" w:type="dxa"/>
            <w:tcBorders>
              <w:top w:val="single" w:sz="4" w:space="0" w:color="auto"/>
              <w:bottom w:val="nil"/>
            </w:tcBorders>
          </w:tcPr>
          <w:p w14:paraId="2A837AA5" w14:textId="77777777" w:rsidR="00CF7751" w:rsidRPr="00CF7751" w:rsidRDefault="00CF7751" w:rsidP="00CF7751">
            <w:pPr>
              <w:jc w:val="center"/>
              <w:rPr>
                <w:rFonts w:ascii="Times New Roman" w:hAnsi="Times New Roman" w:cs="Times New Roman"/>
                <w:sz w:val="24"/>
                <w:szCs w:val="24"/>
                <w:vertAlign w:val="superscript"/>
              </w:rPr>
            </w:pPr>
            <w:r w:rsidRPr="00CF7751">
              <w:rPr>
                <w:rFonts w:ascii="Times New Roman" w:hAnsi="Times New Roman" w:cs="Times New Roman"/>
                <w:sz w:val="24"/>
                <w:szCs w:val="24"/>
              </w:rPr>
              <w:t>2.60</w:t>
            </w:r>
            <w:r w:rsidRPr="00CF7751">
              <w:rPr>
                <w:rFonts w:ascii="Times New Roman" w:hAnsi="Times New Roman" w:cs="Times New Roman"/>
                <w:sz w:val="24"/>
                <w:szCs w:val="24"/>
                <w:vertAlign w:val="superscript"/>
              </w:rPr>
              <w:t>3</w:t>
            </w:r>
          </w:p>
        </w:tc>
        <w:tc>
          <w:tcPr>
            <w:tcW w:w="1513" w:type="dxa"/>
            <w:gridSpan w:val="2"/>
            <w:tcBorders>
              <w:top w:val="single" w:sz="4" w:space="0" w:color="auto"/>
              <w:bottom w:val="nil"/>
            </w:tcBorders>
          </w:tcPr>
          <w:p w14:paraId="1104D91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[2.30-2.90]</w:t>
            </w:r>
          </w:p>
        </w:tc>
        <w:tc>
          <w:tcPr>
            <w:tcW w:w="1515" w:type="dxa"/>
            <w:tcBorders>
              <w:top w:val="single" w:sz="4" w:space="0" w:color="auto"/>
              <w:bottom w:val="nil"/>
            </w:tcBorders>
          </w:tcPr>
          <w:p w14:paraId="020A3130" w14:textId="77777777" w:rsidR="00CF7751" w:rsidRPr="00CF7751" w:rsidRDefault="00CF7751" w:rsidP="00CF7751">
            <w:pPr>
              <w:jc w:val="center"/>
              <w:rPr>
                <w:rFonts w:ascii="Times New Roman" w:hAnsi="Times New Roman" w:cs="Times New Roman"/>
                <w:sz w:val="24"/>
                <w:szCs w:val="24"/>
                <w:vertAlign w:val="superscript"/>
              </w:rPr>
            </w:pPr>
            <w:r w:rsidRPr="00CF7751">
              <w:rPr>
                <w:rFonts w:ascii="Times New Roman" w:hAnsi="Times New Roman" w:cs="Times New Roman"/>
                <w:sz w:val="24"/>
                <w:szCs w:val="24"/>
              </w:rPr>
              <w:t>4.84</w:t>
            </w:r>
            <w:r w:rsidRPr="00CF7751">
              <w:rPr>
                <w:rFonts w:ascii="Times New Roman" w:hAnsi="Times New Roman" w:cs="Times New Roman"/>
                <w:sz w:val="24"/>
                <w:szCs w:val="24"/>
                <w:vertAlign w:val="superscript"/>
              </w:rPr>
              <w:t>1</w:t>
            </w:r>
          </w:p>
        </w:tc>
        <w:tc>
          <w:tcPr>
            <w:tcW w:w="1517" w:type="dxa"/>
            <w:tcBorders>
              <w:top w:val="single" w:sz="4" w:space="0" w:color="auto"/>
              <w:bottom w:val="nil"/>
            </w:tcBorders>
          </w:tcPr>
          <w:p w14:paraId="5C0DB762"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[3.97-5.70]</w:t>
            </w:r>
          </w:p>
        </w:tc>
        <w:tc>
          <w:tcPr>
            <w:tcW w:w="1514" w:type="dxa"/>
            <w:gridSpan w:val="2"/>
            <w:tcBorders>
              <w:top w:val="single" w:sz="4" w:space="0" w:color="auto"/>
              <w:bottom w:val="nil"/>
            </w:tcBorders>
          </w:tcPr>
          <w:p w14:paraId="1541063E" w14:textId="77777777" w:rsidR="00CF7751" w:rsidRPr="00CF7751" w:rsidRDefault="00CF7751" w:rsidP="00CF7751">
            <w:pPr>
              <w:jc w:val="center"/>
              <w:rPr>
                <w:rFonts w:ascii="Times New Roman" w:hAnsi="Times New Roman" w:cs="Times New Roman"/>
                <w:sz w:val="24"/>
                <w:szCs w:val="24"/>
                <w:vertAlign w:val="superscript"/>
              </w:rPr>
            </w:pPr>
            <w:r w:rsidRPr="00CF7751">
              <w:rPr>
                <w:rFonts w:ascii="Times New Roman" w:hAnsi="Times New Roman" w:cs="Times New Roman"/>
                <w:sz w:val="24"/>
                <w:szCs w:val="24"/>
              </w:rPr>
              <w:t>2.96</w:t>
            </w:r>
            <w:r w:rsidRPr="00CF7751">
              <w:rPr>
                <w:rFonts w:ascii="Times New Roman" w:hAnsi="Times New Roman" w:cs="Times New Roman"/>
                <w:sz w:val="24"/>
                <w:szCs w:val="24"/>
                <w:vertAlign w:val="superscript"/>
              </w:rPr>
              <w:t>2</w:t>
            </w:r>
          </w:p>
        </w:tc>
        <w:tc>
          <w:tcPr>
            <w:tcW w:w="1518" w:type="dxa"/>
            <w:tcBorders>
              <w:top w:val="single" w:sz="4" w:space="0" w:color="auto"/>
              <w:bottom w:val="nil"/>
            </w:tcBorders>
          </w:tcPr>
          <w:p w14:paraId="7A99489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[2.67-3.26]</w:t>
            </w:r>
          </w:p>
        </w:tc>
        <w:tc>
          <w:tcPr>
            <w:tcW w:w="1514" w:type="dxa"/>
            <w:gridSpan w:val="2"/>
            <w:tcBorders>
              <w:top w:val="single" w:sz="4" w:space="0" w:color="auto"/>
              <w:bottom w:val="nil"/>
            </w:tcBorders>
          </w:tcPr>
          <w:p w14:paraId="6583DC44" w14:textId="77777777" w:rsidR="00CF7751" w:rsidRPr="00CF7751" w:rsidRDefault="00CF7751" w:rsidP="00CF7751">
            <w:pPr>
              <w:jc w:val="center"/>
              <w:rPr>
                <w:rFonts w:ascii="Times New Roman" w:hAnsi="Times New Roman" w:cs="Times New Roman"/>
                <w:sz w:val="24"/>
                <w:szCs w:val="24"/>
                <w:vertAlign w:val="superscript"/>
              </w:rPr>
            </w:pPr>
            <w:r w:rsidRPr="00CF7751">
              <w:rPr>
                <w:rFonts w:ascii="Times New Roman" w:hAnsi="Times New Roman" w:cs="Times New Roman"/>
                <w:sz w:val="24"/>
                <w:szCs w:val="24"/>
              </w:rPr>
              <w:t>3.18</w:t>
            </w:r>
            <w:r w:rsidRPr="00CF7751">
              <w:rPr>
                <w:rFonts w:ascii="Times New Roman" w:hAnsi="Times New Roman" w:cs="Times New Roman"/>
                <w:sz w:val="24"/>
                <w:szCs w:val="24"/>
                <w:vertAlign w:val="superscript"/>
              </w:rPr>
              <w:t>2</w:t>
            </w:r>
          </w:p>
        </w:tc>
        <w:tc>
          <w:tcPr>
            <w:tcW w:w="1519" w:type="dxa"/>
            <w:tcBorders>
              <w:top w:val="single" w:sz="4" w:space="0" w:color="auto"/>
              <w:bottom w:val="nil"/>
            </w:tcBorders>
          </w:tcPr>
          <w:p w14:paraId="0EA61B1C"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[2.81-3.54]</w:t>
            </w:r>
          </w:p>
        </w:tc>
      </w:tr>
      <w:tr w:rsidR="00CF7751" w:rsidRPr="00CF7751" w14:paraId="645E1944" w14:textId="77777777" w:rsidTr="00BD4D0D">
        <w:trPr>
          <w:gridAfter w:val="1"/>
          <w:wAfter w:w="63" w:type="dxa"/>
          <w:trHeight w:val="396"/>
        </w:trPr>
        <w:tc>
          <w:tcPr>
            <w:tcW w:w="3021" w:type="dxa"/>
            <w:tcBorders>
              <w:top w:val="nil"/>
              <w:bottom w:val="nil"/>
            </w:tcBorders>
            <w:vAlign w:val="center"/>
          </w:tcPr>
          <w:p w14:paraId="3C1699A8"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 xml:space="preserve">Mother-Adolescent Conflict </w:t>
            </w:r>
          </w:p>
        </w:tc>
        <w:tc>
          <w:tcPr>
            <w:tcW w:w="919" w:type="dxa"/>
            <w:tcBorders>
              <w:top w:val="nil"/>
            </w:tcBorders>
          </w:tcPr>
          <w:p w14:paraId="4A118744" w14:textId="77777777" w:rsidR="00CF7751" w:rsidRPr="00CF7751" w:rsidRDefault="00CF7751" w:rsidP="00CF7751">
            <w:pPr>
              <w:jc w:val="center"/>
              <w:rPr>
                <w:rFonts w:ascii="Times New Roman" w:hAnsi="Times New Roman" w:cs="Times New Roman"/>
                <w:sz w:val="24"/>
                <w:szCs w:val="24"/>
                <w:vertAlign w:val="superscript"/>
              </w:rPr>
            </w:pPr>
            <w:r w:rsidRPr="00CF7751">
              <w:rPr>
                <w:rFonts w:ascii="Times New Roman" w:hAnsi="Times New Roman" w:cs="Times New Roman"/>
                <w:sz w:val="24"/>
                <w:szCs w:val="24"/>
              </w:rPr>
              <w:t>3.13</w:t>
            </w:r>
            <w:r w:rsidRPr="00CF7751">
              <w:rPr>
                <w:rFonts w:ascii="Times New Roman" w:hAnsi="Times New Roman" w:cs="Times New Roman"/>
                <w:sz w:val="24"/>
                <w:szCs w:val="24"/>
                <w:vertAlign w:val="superscript"/>
              </w:rPr>
              <w:t>3</w:t>
            </w:r>
          </w:p>
        </w:tc>
        <w:tc>
          <w:tcPr>
            <w:tcW w:w="1513" w:type="dxa"/>
            <w:gridSpan w:val="2"/>
            <w:tcBorders>
              <w:top w:val="nil"/>
            </w:tcBorders>
          </w:tcPr>
          <w:p w14:paraId="1D7F0F40"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[2.82-3.45]</w:t>
            </w:r>
          </w:p>
        </w:tc>
        <w:tc>
          <w:tcPr>
            <w:tcW w:w="1515" w:type="dxa"/>
            <w:tcBorders>
              <w:top w:val="nil"/>
            </w:tcBorders>
          </w:tcPr>
          <w:p w14:paraId="2E78D208" w14:textId="77777777" w:rsidR="00CF7751" w:rsidRPr="00CF7751" w:rsidRDefault="00CF7751" w:rsidP="00CF7751">
            <w:pPr>
              <w:jc w:val="center"/>
              <w:rPr>
                <w:rFonts w:ascii="Times New Roman" w:hAnsi="Times New Roman" w:cs="Times New Roman"/>
                <w:sz w:val="24"/>
                <w:szCs w:val="24"/>
                <w:vertAlign w:val="superscript"/>
              </w:rPr>
            </w:pPr>
            <w:r w:rsidRPr="00CF7751">
              <w:rPr>
                <w:rFonts w:ascii="Times New Roman" w:hAnsi="Times New Roman" w:cs="Times New Roman"/>
                <w:sz w:val="24"/>
                <w:szCs w:val="24"/>
              </w:rPr>
              <w:t>4.85</w:t>
            </w:r>
            <w:r w:rsidRPr="00CF7751">
              <w:rPr>
                <w:rFonts w:ascii="Times New Roman" w:hAnsi="Times New Roman" w:cs="Times New Roman"/>
                <w:sz w:val="24"/>
                <w:szCs w:val="24"/>
                <w:vertAlign w:val="superscript"/>
              </w:rPr>
              <w:t>1</w:t>
            </w:r>
          </w:p>
        </w:tc>
        <w:tc>
          <w:tcPr>
            <w:tcW w:w="1517" w:type="dxa"/>
            <w:tcBorders>
              <w:top w:val="nil"/>
            </w:tcBorders>
          </w:tcPr>
          <w:p w14:paraId="6C1E5731"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[4.06-5.64]</w:t>
            </w:r>
          </w:p>
        </w:tc>
        <w:tc>
          <w:tcPr>
            <w:tcW w:w="1514" w:type="dxa"/>
            <w:gridSpan w:val="2"/>
            <w:tcBorders>
              <w:top w:val="nil"/>
            </w:tcBorders>
          </w:tcPr>
          <w:p w14:paraId="6303EE48" w14:textId="77777777" w:rsidR="00CF7751" w:rsidRPr="00CF7751" w:rsidRDefault="00CF7751" w:rsidP="00CF7751">
            <w:pPr>
              <w:jc w:val="center"/>
              <w:rPr>
                <w:rFonts w:ascii="Times New Roman" w:hAnsi="Times New Roman" w:cs="Times New Roman"/>
                <w:sz w:val="24"/>
                <w:szCs w:val="24"/>
                <w:vertAlign w:val="superscript"/>
              </w:rPr>
            </w:pPr>
            <w:r w:rsidRPr="00CF7751">
              <w:rPr>
                <w:rFonts w:ascii="Times New Roman" w:hAnsi="Times New Roman" w:cs="Times New Roman"/>
                <w:sz w:val="24"/>
                <w:szCs w:val="24"/>
              </w:rPr>
              <w:t>4.24</w:t>
            </w:r>
            <w:r w:rsidRPr="00CF7751">
              <w:rPr>
                <w:rFonts w:ascii="Times New Roman" w:hAnsi="Times New Roman" w:cs="Times New Roman"/>
                <w:sz w:val="24"/>
                <w:szCs w:val="24"/>
                <w:vertAlign w:val="superscript"/>
              </w:rPr>
              <w:t>2</w:t>
            </w:r>
          </w:p>
        </w:tc>
        <w:tc>
          <w:tcPr>
            <w:tcW w:w="1518" w:type="dxa"/>
            <w:tcBorders>
              <w:top w:val="nil"/>
            </w:tcBorders>
          </w:tcPr>
          <w:p w14:paraId="28D9272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[3.80-4.68]</w:t>
            </w:r>
          </w:p>
        </w:tc>
        <w:tc>
          <w:tcPr>
            <w:tcW w:w="1514" w:type="dxa"/>
            <w:gridSpan w:val="2"/>
            <w:tcBorders>
              <w:top w:val="nil"/>
            </w:tcBorders>
          </w:tcPr>
          <w:p w14:paraId="2DC1068C" w14:textId="77777777" w:rsidR="00CF7751" w:rsidRPr="00CF7751" w:rsidRDefault="00CF7751" w:rsidP="00CF7751">
            <w:pPr>
              <w:jc w:val="center"/>
              <w:rPr>
                <w:rFonts w:ascii="Times New Roman" w:hAnsi="Times New Roman" w:cs="Times New Roman"/>
                <w:sz w:val="24"/>
                <w:szCs w:val="24"/>
                <w:vertAlign w:val="superscript"/>
              </w:rPr>
            </w:pPr>
            <w:r w:rsidRPr="00CF7751">
              <w:rPr>
                <w:rFonts w:ascii="Times New Roman" w:hAnsi="Times New Roman" w:cs="Times New Roman"/>
                <w:sz w:val="24"/>
                <w:szCs w:val="24"/>
              </w:rPr>
              <w:t>4.16</w:t>
            </w:r>
            <w:r w:rsidRPr="00CF7751">
              <w:rPr>
                <w:rFonts w:ascii="Times New Roman" w:hAnsi="Times New Roman" w:cs="Times New Roman"/>
                <w:sz w:val="24"/>
                <w:szCs w:val="24"/>
                <w:vertAlign w:val="superscript"/>
              </w:rPr>
              <w:t>2</w:t>
            </w:r>
          </w:p>
        </w:tc>
        <w:tc>
          <w:tcPr>
            <w:tcW w:w="1519" w:type="dxa"/>
            <w:tcBorders>
              <w:top w:val="nil"/>
            </w:tcBorders>
          </w:tcPr>
          <w:p w14:paraId="612505D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[3.62-4.70]</w:t>
            </w:r>
          </w:p>
        </w:tc>
      </w:tr>
      <w:tr w:rsidR="00CF7751" w:rsidRPr="00CF7751" w14:paraId="6E44C806" w14:textId="77777777" w:rsidTr="00BD4D0D">
        <w:trPr>
          <w:gridAfter w:val="1"/>
          <w:wAfter w:w="63" w:type="dxa"/>
          <w:trHeight w:val="396"/>
        </w:trPr>
        <w:tc>
          <w:tcPr>
            <w:tcW w:w="3021" w:type="dxa"/>
            <w:tcBorders>
              <w:top w:val="nil"/>
              <w:bottom w:val="nil"/>
            </w:tcBorders>
            <w:vAlign w:val="center"/>
          </w:tcPr>
          <w:p w14:paraId="08FC31D4" w14:textId="77777777" w:rsidR="00CF7751" w:rsidRPr="00CF7751" w:rsidRDefault="00CF7751" w:rsidP="00CF7751">
            <w:pPr>
              <w:rPr>
                <w:rFonts w:ascii="Times New Roman" w:hAnsi="Times New Roman" w:cs="Times New Roman"/>
                <w:b/>
                <w:bCs/>
                <w:sz w:val="24"/>
                <w:szCs w:val="24"/>
              </w:rPr>
            </w:pPr>
            <w:r w:rsidRPr="00CF7751">
              <w:rPr>
                <w:rFonts w:ascii="Times New Roman" w:hAnsi="Times New Roman" w:cs="Times New Roman"/>
                <w:b/>
                <w:bCs/>
                <w:sz w:val="24"/>
                <w:szCs w:val="24"/>
              </w:rPr>
              <w:t>Autoregressive Stabilities</w:t>
            </w:r>
          </w:p>
        </w:tc>
        <w:tc>
          <w:tcPr>
            <w:tcW w:w="919" w:type="dxa"/>
            <w:tcBorders>
              <w:top w:val="nil"/>
            </w:tcBorders>
          </w:tcPr>
          <w:p w14:paraId="4E10499D" w14:textId="77777777" w:rsidR="00CF7751" w:rsidRPr="00CF7751" w:rsidRDefault="00CF7751" w:rsidP="00CF7751">
            <w:pPr>
              <w:jc w:val="center"/>
              <w:rPr>
                <w:rFonts w:ascii="Times New Roman" w:hAnsi="Times New Roman" w:cs="Times New Roman"/>
                <w:sz w:val="24"/>
                <w:szCs w:val="24"/>
              </w:rPr>
            </w:pPr>
          </w:p>
        </w:tc>
        <w:tc>
          <w:tcPr>
            <w:tcW w:w="1513" w:type="dxa"/>
            <w:gridSpan w:val="2"/>
            <w:tcBorders>
              <w:top w:val="nil"/>
            </w:tcBorders>
          </w:tcPr>
          <w:p w14:paraId="61E4DD55" w14:textId="77777777" w:rsidR="00CF7751" w:rsidRPr="00CF7751" w:rsidRDefault="00CF7751" w:rsidP="00CF7751">
            <w:pPr>
              <w:jc w:val="center"/>
              <w:rPr>
                <w:rFonts w:ascii="Times New Roman" w:hAnsi="Times New Roman" w:cs="Times New Roman"/>
                <w:sz w:val="24"/>
                <w:szCs w:val="24"/>
              </w:rPr>
            </w:pPr>
          </w:p>
        </w:tc>
        <w:tc>
          <w:tcPr>
            <w:tcW w:w="1515" w:type="dxa"/>
            <w:tcBorders>
              <w:top w:val="nil"/>
            </w:tcBorders>
          </w:tcPr>
          <w:p w14:paraId="240BE2CB" w14:textId="77777777" w:rsidR="00CF7751" w:rsidRPr="00CF7751" w:rsidRDefault="00CF7751" w:rsidP="00CF7751">
            <w:pPr>
              <w:jc w:val="center"/>
              <w:rPr>
                <w:rFonts w:ascii="Times New Roman" w:hAnsi="Times New Roman" w:cs="Times New Roman"/>
                <w:sz w:val="24"/>
                <w:szCs w:val="24"/>
              </w:rPr>
            </w:pPr>
          </w:p>
        </w:tc>
        <w:tc>
          <w:tcPr>
            <w:tcW w:w="1517" w:type="dxa"/>
            <w:tcBorders>
              <w:top w:val="nil"/>
            </w:tcBorders>
          </w:tcPr>
          <w:p w14:paraId="77084236" w14:textId="77777777" w:rsidR="00CF7751" w:rsidRPr="00CF7751" w:rsidRDefault="00CF7751" w:rsidP="00CF7751">
            <w:pPr>
              <w:jc w:val="center"/>
              <w:rPr>
                <w:rFonts w:ascii="Times New Roman" w:hAnsi="Times New Roman" w:cs="Times New Roman"/>
                <w:sz w:val="24"/>
                <w:szCs w:val="24"/>
              </w:rPr>
            </w:pPr>
          </w:p>
        </w:tc>
        <w:tc>
          <w:tcPr>
            <w:tcW w:w="1514" w:type="dxa"/>
            <w:gridSpan w:val="2"/>
            <w:tcBorders>
              <w:top w:val="nil"/>
            </w:tcBorders>
          </w:tcPr>
          <w:p w14:paraId="12E101DD" w14:textId="77777777" w:rsidR="00CF7751" w:rsidRPr="00CF7751" w:rsidRDefault="00CF7751" w:rsidP="00CF7751">
            <w:pPr>
              <w:jc w:val="center"/>
              <w:rPr>
                <w:rFonts w:ascii="Times New Roman" w:hAnsi="Times New Roman" w:cs="Times New Roman"/>
                <w:sz w:val="24"/>
                <w:szCs w:val="24"/>
              </w:rPr>
            </w:pPr>
          </w:p>
        </w:tc>
        <w:tc>
          <w:tcPr>
            <w:tcW w:w="1518" w:type="dxa"/>
            <w:tcBorders>
              <w:top w:val="nil"/>
            </w:tcBorders>
          </w:tcPr>
          <w:p w14:paraId="5D1132A8" w14:textId="77777777" w:rsidR="00CF7751" w:rsidRPr="00CF7751" w:rsidRDefault="00CF7751" w:rsidP="00CF7751">
            <w:pPr>
              <w:jc w:val="center"/>
              <w:rPr>
                <w:rFonts w:ascii="Times New Roman" w:hAnsi="Times New Roman" w:cs="Times New Roman"/>
                <w:sz w:val="24"/>
                <w:szCs w:val="24"/>
              </w:rPr>
            </w:pPr>
          </w:p>
        </w:tc>
        <w:tc>
          <w:tcPr>
            <w:tcW w:w="1514" w:type="dxa"/>
            <w:gridSpan w:val="2"/>
            <w:tcBorders>
              <w:top w:val="nil"/>
            </w:tcBorders>
          </w:tcPr>
          <w:p w14:paraId="77D139C9" w14:textId="77777777" w:rsidR="00CF7751" w:rsidRPr="00CF7751" w:rsidRDefault="00CF7751" w:rsidP="00CF7751">
            <w:pPr>
              <w:jc w:val="center"/>
              <w:rPr>
                <w:rFonts w:ascii="Times New Roman" w:hAnsi="Times New Roman" w:cs="Times New Roman"/>
                <w:sz w:val="24"/>
                <w:szCs w:val="24"/>
              </w:rPr>
            </w:pPr>
          </w:p>
        </w:tc>
        <w:tc>
          <w:tcPr>
            <w:tcW w:w="1519" w:type="dxa"/>
            <w:tcBorders>
              <w:top w:val="nil"/>
            </w:tcBorders>
          </w:tcPr>
          <w:p w14:paraId="30A2BD4C" w14:textId="77777777" w:rsidR="00CF7751" w:rsidRPr="00CF7751" w:rsidRDefault="00CF7751" w:rsidP="00CF7751">
            <w:pPr>
              <w:jc w:val="center"/>
              <w:rPr>
                <w:rFonts w:ascii="Times New Roman" w:hAnsi="Times New Roman" w:cs="Times New Roman"/>
                <w:sz w:val="24"/>
                <w:szCs w:val="24"/>
              </w:rPr>
            </w:pPr>
          </w:p>
        </w:tc>
      </w:tr>
      <w:tr w:rsidR="00CF7751" w:rsidRPr="00CF7751" w14:paraId="23E4136B" w14:textId="77777777" w:rsidTr="00BD4D0D">
        <w:trPr>
          <w:gridAfter w:val="1"/>
          <w:wAfter w:w="63" w:type="dxa"/>
          <w:trHeight w:val="396"/>
        </w:trPr>
        <w:tc>
          <w:tcPr>
            <w:tcW w:w="3021" w:type="dxa"/>
            <w:tcBorders>
              <w:top w:val="nil"/>
              <w:bottom w:val="nil"/>
            </w:tcBorders>
            <w:vAlign w:val="center"/>
          </w:tcPr>
          <w:p w14:paraId="5FBA8FF4"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 xml:space="preserve">Marital Conflict </w:t>
            </w:r>
          </w:p>
        </w:tc>
        <w:tc>
          <w:tcPr>
            <w:tcW w:w="919" w:type="dxa"/>
            <w:tcBorders>
              <w:top w:val="nil"/>
            </w:tcBorders>
          </w:tcPr>
          <w:p w14:paraId="13317490"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0.14</w:t>
            </w:r>
          </w:p>
        </w:tc>
        <w:tc>
          <w:tcPr>
            <w:tcW w:w="1513" w:type="dxa"/>
            <w:gridSpan w:val="2"/>
            <w:tcBorders>
              <w:top w:val="nil"/>
            </w:tcBorders>
          </w:tcPr>
          <w:p w14:paraId="6B516185"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[0.11-0.17]</w:t>
            </w:r>
          </w:p>
        </w:tc>
        <w:tc>
          <w:tcPr>
            <w:tcW w:w="1515" w:type="dxa"/>
            <w:tcBorders>
              <w:top w:val="nil"/>
            </w:tcBorders>
          </w:tcPr>
          <w:p w14:paraId="2C1727C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0.18</w:t>
            </w:r>
          </w:p>
        </w:tc>
        <w:tc>
          <w:tcPr>
            <w:tcW w:w="1517" w:type="dxa"/>
            <w:tcBorders>
              <w:top w:val="nil"/>
            </w:tcBorders>
          </w:tcPr>
          <w:p w14:paraId="0F5DA58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[0.12-0.25]</w:t>
            </w:r>
          </w:p>
        </w:tc>
        <w:tc>
          <w:tcPr>
            <w:tcW w:w="1514" w:type="dxa"/>
            <w:gridSpan w:val="2"/>
            <w:tcBorders>
              <w:top w:val="nil"/>
            </w:tcBorders>
          </w:tcPr>
          <w:p w14:paraId="16A41AA4"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0.18</w:t>
            </w:r>
          </w:p>
        </w:tc>
        <w:tc>
          <w:tcPr>
            <w:tcW w:w="1518" w:type="dxa"/>
            <w:tcBorders>
              <w:top w:val="nil"/>
            </w:tcBorders>
          </w:tcPr>
          <w:p w14:paraId="309EBCF4"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[0.15-0.20]</w:t>
            </w:r>
          </w:p>
        </w:tc>
        <w:tc>
          <w:tcPr>
            <w:tcW w:w="1514" w:type="dxa"/>
            <w:gridSpan w:val="2"/>
            <w:tcBorders>
              <w:top w:val="nil"/>
            </w:tcBorders>
          </w:tcPr>
          <w:p w14:paraId="54C3990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0.16</w:t>
            </w:r>
          </w:p>
        </w:tc>
        <w:tc>
          <w:tcPr>
            <w:tcW w:w="1519" w:type="dxa"/>
            <w:tcBorders>
              <w:top w:val="nil"/>
            </w:tcBorders>
          </w:tcPr>
          <w:p w14:paraId="6ED2B12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[0.13-0.20]</w:t>
            </w:r>
          </w:p>
        </w:tc>
      </w:tr>
      <w:tr w:rsidR="00CF7751" w:rsidRPr="00CF7751" w14:paraId="581E7A50" w14:textId="77777777" w:rsidTr="00BD4D0D">
        <w:trPr>
          <w:gridAfter w:val="1"/>
          <w:wAfter w:w="63" w:type="dxa"/>
          <w:trHeight w:val="396"/>
        </w:trPr>
        <w:tc>
          <w:tcPr>
            <w:tcW w:w="3021" w:type="dxa"/>
            <w:tcBorders>
              <w:top w:val="nil"/>
              <w:bottom w:val="nil"/>
            </w:tcBorders>
            <w:vAlign w:val="center"/>
          </w:tcPr>
          <w:p w14:paraId="7FC9C450"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 xml:space="preserve">Mother-Adolescent Conflict </w:t>
            </w:r>
          </w:p>
        </w:tc>
        <w:tc>
          <w:tcPr>
            <w:tcW w:w="919" w:type="dxa"/>
            <w:tcBorders>
              <w:top w:val="nil"/>
            </w:tcBorders>
          </w:tcPr>
          <w:p w14:paraId="7A7D261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0.15</w:t>
            </w:r>
          </w:p>
        </w:tc>
        <w:tc>
          <w:tcPr>
            <w:tcW w:w="1513" w:type="dxa"/>
            <w:gridSpan w:val="2"/>
            <w:tcBorders>
              <w:top w:val="nil"/>
            </w:tcBorders>
          </w:tcPr>
          <w:p w14:paraId="2E2B82CC"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[0.14-0.17]</w:t>
            </w:r>
          </w:p>
        </w:tc>
        <w:tc>
          <w:tcPr>
            <w:tcW w:w="1515" w:type="dxa"/>
            <w:tcBorders>
              <w:top w:val="nil"/>
            </w:tcBorders>
          </w:tcPr>
          <w:p w14:paraId="56458D5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0.17</w:t>
            </w:r>
          </w:p>
        </w:tc>
        <w:tc>
          <w:tcPr>
            <w:tcW w:w="1517" w:type="dxa"/>
            <w:tcBorders>
              <w:top w:val="nil"/>
            </w:tcBorders>
          </w:tcPr>
          <w:p w14:paraId="454D575E"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[0.13-0.21]</w:t>
            </w:r>
          </w:p>
        </w:tc>
        <w:tc>
          <w:tcPr>
            <w:tcW w:w="1514" w:type="dxa"/>
            <w:gridSpan w:val="2"/>
            <w:tcBorders>
              <w:top w:val="nil"/>
            </w:tcBorders>
          </w:tcPr>
          <w:p w14:paraId="431D9388"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0.16</w:t>
            </w:r>
          </w:p>
        </w:tc>
        <w:tc>
          <w:tcPr>
            <w:tcW w:w="1518" w:type="dxa"/>
            <w:tcBorders>
              <w:top w:val="nil"/>
            </w:tcBorders>
          </w:tcPr>
          <w:p w14:paraId="60B18ED6"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[0.14-0.17]</w:t>
            </w:r>
          </w:p>
        </w:tc>
        <w:tc>
          <w:tcPr>
            <w:tcW w:w="1514" w:type="dxa"/>
            <w:gridSpan w:val="2"/>
            <w:tcBorders>
              <w:top w:val="nil"/>
            </w:tcBorders>
          </w:tcPr>
          <w:p w14:paraId="16C19E0F"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0.15</w:t>
            </w:r>
          </w:p>
        </w:tc>
        <w:tc>
          <w:tcPr>
            <w:tcW w:w="1519" w:type="dxa"/>
            <w:tcBorders>
              <w:top w:val="nil"/>
            </w:tcBorders>
          </w:tcPr>
          <w:p w14:paraId="1CD951A9" w14:textId="77777777" w:rsidR="00CF7751" w:rsidRPr="00CF7751" w:rsidRDefault="00CF7751" w:rsidP="00CF7751">
            <w:pPr>
              <w:jc w:val="center"/>
              <w:rPr>
                <w:rFonts w:ascii="Times New Roman" w:hAnsi="Times New Roman" w:cs="Times New Roman"/>
                <w:sz w:val="24"/>
                <w:szCs w:val="24"/>
              </w:rPr>
            </w:pPr>
            <w:r w:rsidRPr="00CF7751">
              <w:rPr>
                <w:rFonts w:ascii="Times New Roman" w:hAnsi="Times New Roman" w:cs="Times New Roman"/>
                <w:sz w:val="24"/>
                <w:szCs w:val="24"/>
              </w:rPr>
              <w:t>[0.13-0.17]</w:t>
            </w:r>
          </w:p>
        </w:tc>
      </w:tr>
      <w:tr w:rsidR="00CF7751" w:rsidRPr="00CF7751" w14:paraId="31DAAE1A" w14:textId="77777777" w:rsidTr="00BD4D0D">
        <w:trPr>
          <w:gridAfter w:val="1"/>
          <w:wAfter w:w="63" w:type="dxa"/>
          <w:trHeight w:val="396"/>
        </w:trPr>
        <w:tc>
          <w:tcPr>
            <w:tcW w:w="3021" w:type="dxa"/>
            <w:tcBorders>
              <w:top w:val="nil"/>
              <w:bottom w:val="single" w:sz="4" w:space="0" w:color="auto"/>
            </w:tcBorders>
            <w:vAlign w:val="center"/>
          </w:tcPr>
          <w:p w14:paraId="24473890" w14:textId="77777777" w:rsidR="00CF7751" w:rsidRPr="00CF7751" w:rsidRDefault="00CF7751" w:rsidP="00CF7751">
            <w:pPr>
              <w:rPr>
                <w:rFonts w:ascii="Times New Roman" w:hAnsi="Times New Roman" w:cs="Times New Roman"/>
                <w:b/>
                <w:bCs/>
                <w:sz w:val="24"/>
                <w:szCs w:val="24"/>
              </w:rPr>
            </w:pPr>
            <w:r w:rsidRPr="00CF7751">
              <w:rPr>
                <w:rFonts w:ascii="Times New Roman" w:hAnsi="Times New Roman" w:cs="Times New Roman"/>
                <w:b/>
                <w:bCs/>
                <w:sz w:val="24"/>
                <w:szCs w:val="24"/>
              </w:rPr>
              <w:t>Cross-Lagged Effects</w:t>
            </w:r>
          </w:p>
        </w:tc>
        <w:tc>
          <w:tcPr>
            <w:tcW w:w="919" w:type="dxa"/>
            <w:tcBorders>
              <w:top w:val="nil"/>
            </w:tcBorders>
            <w:vAlign w:val="center"/>
          </w:tcPr>
          <w:p w14:paraId="5B51BC8F" w14:textId="77777777" w:rsidR="00CF7751" w:rsidRPr="00CF7751" w:rsidRDefault="00CF7751" w:rsidP="00CF7751">
            <w:pPr>
              <w:jc w:val="center"/>
              <w:rPr>
                <w:rFonts w:ascii="Times New Roman" w:hAnsi="Times New Roman" w:cs="Times New Roman"/>
                <w:color w:val="000000"/>
                <w:sz w:val="24"/>
                <w:szCs w:val="24"/>
              </w:rPr>
            </w:pPr>
          </w:p>
        </w:tc>
        <w:tc>
          <w:tcPr>
            <w:tcW w:w="1513" w:type="dxa"/>
            <w:gridSpan w:val="2"/>
            <w:tcBorders>
              <w:top w:val="nil"/>
            </w:tcBorders>
            <w:vAlign w:val="center"/>
          </w:tcPr>
          <w:p w14:paraId="69BBA864" w14:textId="77777777" w:rsidR="00CF7751" w:rsidRPr="00CF7751" w:rsidRDefault="00CF7751" w:rsidP="00CF7751">
            <w:pPr>
              <w:jc w:val="center"/>
              <w:rPr>
                <w:rFonts w:ascii="Times New Roman" w:hAnsi="Times New Roman" w:cs="Times New Roman"/>
                <w:sz w:val="24"/>
                <w:szCs w:val="24"/>
              </w:rPr>
            </w:pPr>
          </w:p>
        </w:tc>
        <w:tc>
          <w:tcPr>
            <w:tcW w:w="1515" w:type="dxa"/>
            <w:tcBorders>
              <w:top w:val="nil"/>
            </w:tcBorders>
            <w:vAlign w:val="center"/>
          </w:tcPr>
          <w:p w14:paraId="5F37FA7D" w14:textId="77777777" w:rsidR="00CF7751" w:rsidRPr="00CF7751" w:rsidRDefault="00CF7751" w:rsidP="00CF7751">
            <w:pPr>
              <w:jc w:val="center"/>
              <w:rPr>
                <w:rFonts w:ascii="Times New Roman" w:hAnsi="Times New Roman" w:cs="Times New Roman"/>
                <w:color w:val="000000"/>
                <w:sz w:val="24"/>
                <w:szCs w:val="24"/>
              </w:rPr>
            </w:pPr>
          </w:p>
        </w:tc>
        <w:tc>
          <w:tcPr>
            <w:tcW w:w="1517" w:type="dxa"/>
            <w:tcBorders>
              <w:top w:val="nil"/>
            </w:tcBorders>
            <w:vAlign w:val="center"/>
          </w:tcPr>
          <w:p w14:paraId="01917869" w14:textId="77777777" w:rsidR="00CF7751" w:rsidRPr="00CF7751" w:rsidRDefault="00CF7751" w:rsidP="00CF7751">
            <w:pPr>
              <w:jc w:val="center"/>
              <w:rPr>
                <w:rFonts w:ascii="Times New Roman" w:hAnsi="Times New Roman" w:cs="Times New Roman"/>
                <w:color w:val="000000"/>
                <w:sz w:val="24"/>
                <w:szCs w:val="24"/>
              </w:rPr>
            </w:pPr>
          </w:p>
        </w:tc>
        <w:tc>
          <w:tcPr>
            <w:tcW w:w="1514" w:type="dxa"/>
            <w:gridSpan w:val="2"/>
            <w:tcBorders>
              <w:top w:val="nil"/>
            </w:tcBorders>
            <w:vAlign w:val="center"/>
          </w:tcPr>
          <w:p w14:paraId="44C5164E" w14:textId="77777777" w:rsidR="00CF7751" w:rsidRPr="00CF7751" w:rsidRDefault="00CF7751" w:rsidP="00CF7751">
            <w:pPr>
              <w:jc w:val="center"/>
              <w:rPr>
                <w:rFonts w:ascii="Times New Roman" w:hAnsi="Times New Roman" w:cs="Times New Roman"/>
                <w:color w:val="000000"/>
                <w:sz w:val="24"/>
                <w:szCs w:val="24"/>
              </w:rPr>
            </w:pPr>
          </w:p>
        </w:tc>
        <w:tc>
          <w:tcPr>
            <w:tcW w:w="1518" w:type="dxa"/>
            <w:tcBorders>
              <w:top w:val="nil"/>
            </w:tcBorders>
            <w:vAlign w:val="center"/>
          </w:tcPr>
          <w:p w14:paraId="57F59716" w14:textId="77777777" w:rsidR="00CF7751" w:rsidRPr="00CF7751" w:rsidRDefault="00CF7751" w:rsidP="00CF7751">
            <w:pPr>
              <w:jc w:val="center"/>
              <w:rPr>
                <w:rFonts w:ascii="Times New Roman" w:hAnsi="Times New Roman" w:cs="Times New Roman"/>
                <w:color w:val="000000"/>
                <w:sz w:val="24"/>
                <w:szCs w:val="24"/>
              </w:rPr>
            </w:pPr>
          </w:p>
        </w:tc>
        <w:tc>
          <w:tcPr>
            <w:tcW w:w="1514" w:type="dxa"/>
            <w:gridSpan w:val="2"/>
            <w:tcBorders>
              <w:top w:val="nil"/>
            </w:tcBorders>
            <w:vAlign w:val="center"/>
          </w:tcPr>
          <w:p w14:paraId="03B209C0" w14:textId="77777777" w:rsidR="00CF7751" w:rsidRPr="00CF7751" w:rsidRDefault="00CF7751" w:rsidP="00CF7751">
            <w:pPr>
              <w:jc w:val="center"/>
              <w:rPr>
                <w:rFonts w:ascii="Times New Roman" w:hAnsi="Times New Roman" w:cs="Times New Roman"/>
                <w:color w:val="000000"/>
                <w:sz w:val="24"/>
                <w:szCs w:val="24"/>
              </w:rPr>
            </w:pPr>
          </w:p>
        </w:tc>
        <w:tc>
          <w:tcPr>
            <w:tcW w:w="1519" w:type="dxa"/>
            <w:tcBorders>
              <w:top w:val="nil"/>
            </w:tcBorders>
            <w:vAlign w:val="center"/>
          </w:tcPr>
          <w:p w14:paraId="602CCDA9" w14:textId="77777777" w:rsidR="00CF7751" w:rsidRPr="00CF7751" w:rsidRDefault="00CF7751" w:rsidP="00CF7751">
            <w:pPr>
              <w:jc w:val="center"/>
              <w:rPr>
                <w:rFonts w:ascii="Times New Roman" w:hAnsi="Times New Roman" w:cs="Times New Roman"/>
                <w:color w:val="000000"/>
                <w:sz w:val="24"/>
                <w:szCs w:val="24"/>
              </w:rPr>
            </w:pPr>
          </w:p>
        </w:tc>
      </w:tr>
      <w:tr w:rsidR="00CF7751" w:rsidRPr="00CF7751" w14:paraId="6EE4183B" w14:textId="77777777" w:rsidTr="00BD4D0D">
        <w:trPr>
          <w:gridAfter w:val="1"/>
          <w:wAfter w:w="63" w:type="dxa"/>
          <w:trHeight w:val="396"/>
        </w:trPr>
        <w:tc>
          <w:tcPr>
            <w:tcW w:w="3021" w:type="dxa"/>
            <w:tcBorders>
              <w:top w:val="single" w:sz="4" w:space="0" w:color="auto"/>
              <w:bottom w:val="nil"/>
            </w:tcBorders>
            <w:vAlign w:val="center"/>
          </w:tcPr>
          <w:p w14:paraId="2D55EFE4"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 xml:space="preserve">Marital </w:t>
            </w:r>
            <w:r w:rsidRPr="00CF7751">
              <w:rPr>
                <w:rFonts w:ascii="Times New Roman" w:hAnsi="Times New Roman" w:cs="Times New Roman"/>
                <w:sz w:val="24"/>
                <w:szCs w:val="24"/>
              </w:rPr>
              <w:sym w:font="Wingdings" w:char="F0E0"/>
            </w:r>
            <w:r w:rsidRPr="00CF7751">
              <w:rPr>
                <w:rFonts w:ascii="Times New Roman" w:hAnsi="Times New Roman" w:cs="Times New Roman"/>
                <w:sz w:val="24"/>
                <w:szCs w:val="24"/>
              </w:rPr>
              <w:t xml:space="preserve"> Mother-</w:t>
            </w:r>
            <w:proofErr w:type="spellStart"/>
            <w:r w:rsidRPr="00CF7751">
              <w:rPr>
                <w:rFonts w:ascii="Times New Roman" w:hAnsi="Times New Roman" w:cs="Times New Roman"/>
                <w:sz w:val="24"/>
                <w:szCs w:val="24"/>
              </w:rPr>
              <w:t>Adol</w:t>
            </w:r>
            <w:proofErr w:type="spellEnd"/>
            <w:r w:rsidRPr="00CF7751">
              <w:rPr>
                <w:rFonts w:ascii="Times New Roman" w:hAnsi="Times New Roman" w:cs="Times New Roman"/>
                <w:sz w:val="24"/>
                <w:szCs w:val="24"/>
              </w:rPr>
              <w:t>.</w:t>
            </w:r>
          </w:p>
        </w:tc>
        <w:tc>
          <w:tcPr>
            <w:tcW w:w="919" w:type="dxa"/>
            <w:tcBorders>
              <w:bottom w:val="nil"/>
            </w:tcBorders>
            <w:vAlign w:val="bottom"/>
          </w:tcPr>
          <w:p w14:paraId="54E0CC80"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0.00</w:t>
            </w:r>
          </w:p>
        </w:tc>
        <w:tc>
          <w:tcPr>
            <w:tcW w:w="1513" w:type="dxa"/>
            <w:gridSpan w:val="2"/>
            <w:tcBorders>
              <w:bottom w:val="nil"/>
            </w:tcBorders>
            <w:vAlign w:val="bottom"/>
          </w:tcPr>
          <w:p w14:paraId="4F124010"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[-0.03-0.03]</w:t>
            </w:r>
          </w:p>
        </w:tc>
        <w:tc>
          <w:tcPr>
            <w:tcW w:w="1515" w:type="dxa"/>
            <w:tcBorders>
              <w:bottom w:val="nil"/>
            </w:tcBorders>
            <w:vAlign w:val="bottom"/>
          </w:tcPr>
          <w:p w14:paraId="0A307F6E"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0.00</w:t>
            </w:r>
          </w:p>
        </w:tc>
        <w:tc>
          <w:tcPr>
            <w:tcW w:w="1517" w:type="dxa"/>
            <w:tcBorders>
              <w:bottom w:val="nil"/>
            </w:tcBorders>
            <w:vAlign w:val="bottom"/>
          </w:tcPr>
          <w:p w14:paraId="01955BBB"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[-0.05-0.05]</w:t>
            </w:r>
          </w:p>
        </w:tc>
        <w:tc>
          <w:tcPr>
            <w:tcW w:w="1514" w:type="dxa"/>
            <w:gridSpan w:val="2"/>
            <w:tcBorders>
              <w:bottom w:val="nil"/>
            </w:tcBorders>
            <w:vAlign w:val="bottom"/>
          </w:tcPr>
          <w:p w14:paraId="59ECD452"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-0.01</w:t>
            </w:r>
          </w:p>
        </w:tc>
        <w:tc>
          <w:tcPr>
            <w:tcW w:w="1518" w:type="dxa"/>
            <w:tcBorders>
              <w:bottom w:val="nil"/>
            </w:tcBorders>
            <w:vAlign w:val="bottom"/>
          </w:tcPr>
          <w:p w14:paraId="6D9A4141"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[-0.03-0.02]</w:t>
            </w:r>
          </w:p>
        </w:tc>
        <w:tc>
          <w:tcPr>
            <w:tcW w:w="1514" w:type="dxa"/>
            <w:gridSpan w:val="2"/>
            <w:tcBorders>
              <w:bottom w:val="nil"/>
            </w:tcBorders>
            <w:vAlign w:val="bottom"/>
          </w:tcPr>
          <w:p w14:paraId="51C63C65"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0.01</w:t>
            </w:r>
          </w:p>
        </w:tc>
        <w:tc>
          <w:tcPr>
            <w:tcW w:w="1519" w:type="dxa"/>
            <w:tcBorders>
              <w:bottom w:val="nil"/>
            </w:tcBorders>
            <w:vAlign w:val="bottom"/>
          </w:tcPr>
          <w:p w14:paraId="3D07CA2E"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[-0.02-0.04]</w:t>
            </w:r>
          </w:p>
        </w:tc>
      </w:tr>
      <w:tr w:rsidR="00CF7751" w:rsidRPr="00CF7751" w14:paraId="1AEEA9BC" w14:textId="77777777" w:rsidTr="00BD4D0D">
        <w:trPr>
          <w:gridAfter w:val="1"/>
          <w:wAfter w:w="63" w:type="dxa"/>
          <w:trHeight w:val="396"/>
        </w:trPr>
        <w:tc>
          <w:tcPr>
            <w:tcW w:w="3021" w:type="dxa"/>
            <w:tcBorders>
              <w:top w:val="nil"/>
              <w:bottom w:val="nil"/>
            </w:tcBorders>
            <w:vAlign w:val="center"/>
          </w:tcPr>
          <w:p w14:paraId="3F828140"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Mother-</w:t>
            </w:r>
            <w:proofErr w:type="spellStart"/>
            <w:r w:rsidRPr="00CF7751">
              <w:rPr>
                <w:rFonts w:ascii="Times New Roman" w:hAnsi="Times New Roman" w:cs="Times New Roman"/>
                <w:sz w:val="24"/>
                <w:szCs w:val="24"/>
              </w:rPr>
              <w:t>Adol</w:t>
            </w:r>
            <w:proofErr w:type="spellEnd"/>
            <w:r w:rsidRPr="00CF7751">
              <w:rPr>
                <w:rFonts w:ascii="Times New Roman" w:hAnsi="Times New Roman" w:cs="Times New Roman"/>
                <w:sz w:val="24"/>
                <w:szCs w:val="24"/>
              </w:rPr>
              <w:t xml:space="preserve">. </w:t>
            </w:r>
            <w:r w:rsidRPr="00CF7751">
              <w:rPr>
                <w:rFonts w:ascii="Times New Roman" w:hAnsi="Times New Roman" w:cs="Times New Roman"/>
                <w:sz w:val="24"/>
                <w:szCs w:val="24"/>
              </w:rPr>
              <w:sym w:font="Wingdings" w:char="F0E0"/>
            </w:r>
            <w:r w:rsidRPr="00CF7751">
              <w:rPr>
                <w:rFonts w:ascii="Times New Roman" w:hAnsi="Times New Roman" w:cs="Times New Roman"/>
                <w:sz w:val="24"/>
                <w:szCs w:val="24"/>
              </w:rPr>
              <w:t xml:space="preserve"> Marital</w:t>
            </w:r>
          </w:p>
        </w:tc>
        <w:tc>
          <w:tcPr>
            <w:tcW w:w="919" w:type="dxa"/>
            <w:tcBorders>
              <w:top w:val="nil"/>
              <w:bottom w:val="nil"/>
            </w:tcBorders>
            <w:vAlign w:val="bottom"/>
          </w:tcPr>
          <w:p w14:paraId="0CA54ACC" w14:textId="77777777" w:rsidR="00CF7751" w:rsidRPr="00CF7751" w:rsidRDefault="00CF7751" w:rsidP="00CF7751">
            <w:pPr>
              <w:jc w:val="center"/>
              <w:rPr>
                <w:rFonts w:ascii="Times New Roman" w:hAnsi="Times New Roman" w:cs="Times New Roman"/>
                <w:color w:val="000000"/>
                <w:sz w:val="24"/>
                <w:szCs w:val="24"/>
                <w:vertAlign w:val="superscript"/>
              </w:rPr>
            </w:pPr>
            <w:r w:rsidRPr="00CF7751">
              <w:rPr>
                <w:rFonts w:ascii="Times New Roman" w:hAnsi="Times New Roman" w:cs="Times New Roman"/>
                <w:color w:val="000000"/>
                <w:sz w:val="24"/>
                <w:szCs w:val="24"/>
              </w:rPr>
              <w:t>0.02</w:t>
            </w:r>
            <w:r w:rsidRPr="00CF7751">
              <w:rPr>
                <w:rFonts w:ascii="Times New Roman" w:hAnsi="Times New Roman" w:cs="Times New Roman"/>
                <w:color w:val="000000"/>
                <w:sz w:val="24"/>
                <w:szCs w:val="24"/>
                <w:vertAlign w:val="superscript"/>
              </w:rPr>
              <w:t>1</w:t>
            </w:r>
          </w:p>
        </w:tc>
        <w:tc>
          <w:tcPr>
            <w:tcW w:w="1513" w:type="dxa"/>
            <w:gridSpan w:val="2"/>
            <w:tcBorders>
              <w:top w:val="nil"/>
              <w:bottom w:val="nil"/>
            </w:tcBorders>
            <w:vAlign w:val="bottom"/>
          </w:tcPr>
          <w:p w14:paraId="3C331FB8"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[0.00-0.03]</w:t>
            </w:r>
          </w:p>
        </w:tc>
        <w:tc>
          <w:tcPr>
            <w:tcW w:w="1515" w:type="dxa"/>
            <w:tcBorders>
              <w:top w:val="nil"/>
              <w:bottom w:val="nil"/>
            </w:tcBorders>
            <w:vAlign w:val="bottom"/>
          </w:tcPr>
          <w:p w14:paraId="1054A4BF" w14:textId="77777777" w:rsidR="00CF7751" w:rsidRPr="00CF7751" w:rsidRDefault="00CF7751" w:rsidP="00CF7751">
            <w:pPr>
              <w:jc w:val="center"/>
              <w:rPr>
                <w:rFonts w:ascii="Times New Roman" w:hAnsi="Times New Roman" w:cs="Times New Roman"/>
                <w:color w:val="000000"/>
                <w:sz w:val="24"/>
                <w:szCs w:val="24"/>
                <w:vertAlign w:val="superscript"/>
              </w:rPr>
            </w:pPr>
            <w:r w:rsidRPr="00CF7751">
              <w:rPr>
                <w:rFonts w:ascii="Times New Roman" w:hAnsi="Times New Roman" w:cs="Times New Roman"/>
                <w:color w:val="000000"/>
                <w:sz w:val="24"/>
                <w:szCs w:val="24"/>
              </w:rPr>
              <w:t>0.01</w:t>
            </w:r>
            <w:r w:rsidRPr="00CF7751">
              <w:rPr>
                <w:rFonts w:ascii="Times New Roman" w:hAnsi="Times New Roman" w:cs="Times New Roman"/>
                <w:color w:val="000000"/>
                <w:sz w:val="24"/>
                <w:szCs w:val="24"/>
                <w:vertAlign w:val="superscript"/>
              </w:rPr>
              <w:t>1,2</w:t>
            </w:r>
          </w:p>
        </w:tc>
        <w:tc>
          <w:tcPr>
            <w:tcW w:w="1517" w:type="dxa"/>
            <w:tcBorders>
              <w:top w:val="nil"/>
              <w:bottom w:val="nil"/>
            </w:tcBorders>
            <w:vAlign w:val="bottom"/>
          </w:tcPr>
          <w:p w14:paraId="1A40F121"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[-0.02-0.03]</w:t>
            </w:r>
          </w:p>
        </w:tc>
        <w:tc>
          <w:tcPr>
            <w:tcW w:w="1514" w:type="dxa"/>
            <w:gridSpan w:val="2"/>
            <w:tcBorders>
              <w:top w:val="nil"/>
              <w:bottom w:val="nil"/>
            </w:tcBorders>
            <w:vAlign w:val="bottom"/>
          </w:tcPr>
          <w:p w14:paraId="486F4C3D" w14:textId="77777777" w:rsidR="00CF7751" w:rsidRPr="00CF7751" w:rsidRDefault="00CF7751" w:rsidP="00CF7751">
            <w:pPr>
              <w:jc w:val="center"/>
              <w:rPr>
                <w:rFonts w:ascii="Times New Roman" w:hAnsi="Times New Roman" w:cs="Times New Roman"/>
                <w:color w:val="000000"/>
                <w:sz w:val="24"/>
                <w:szCs w:val="24"/>
                <w:vertAlign w:val="superscript"/>
              </w:rPr>
            </w:pPr>
            <w:r w:rsidRPr="00CF7751">
              <w:rPr>
                <w:rFonts w:ascii="Times New Roman" w:hAnsi="Times New Roman" w:cs="Times New Roman"/>
                <w:color w:val="000000"/>
                <w:sz w:val="24"/>
                <w:szCs w:val="24"/>
              </w:rPr>
              <w:t>-0.01</w:t>
            </w:r>
            <w:r w:rsidRPr="00CF7751">
              <w:rPr>
                <w:rFonts w:ascii="Times New Roman" w:hAnsi="Times New Roman" w:cs="Times New Roman"/>
                <w:color w:val="000000"/>
                <w:sz w:val="24"/>
                <w:szCs w:val="24"/>
                <w:vertAlign w:val="superscript"/>
              </w:rPr>
              <w:t>2</w:t>
            </w:r>
          </w:p>
        </w:tc>
        <w:tc>
          <w:tcPr>
            <w:tcW w:w="1518" w:type="dxa"/>
            <w:tcBorders>
              <w:top w:val="nil"/>
              <w:bottom w:val="nil"/>
            </w:tcBorders>
            <w:vAlign w:val="bottom"/>
          </w:tcPr>
          <w:p w14:paraId="70CCA469"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[-0.02-0.00]</w:t>
            </w:r>
          </w:p>
        </w:tc>
        <w:tc>
          <w:tcPr>
            <w:tcW w:w="1514" w:type="dxa"/>
            <w:gridSpan w:val="2"/>
            <w:tcBorders>
              <w:top w:val="nil"/>
              <w:bottom w:val="nil"/>
            </w:tcBorders>
            <w:vAlign w:val="bottom"/>
          </w:tcPr>
          <w:p w14:paraId="75CC51B1" w14:textId="77777777" w:rsidR="00CF7751" w:rsidRPr="00CF7751" w:rsidRDefault="00CF7751" w:rsidP="00CF7751">
            <w:pPr>
              <w:jc w:val="center"/>
              <w:rPr>
                <w:rFonts w:ascii="Times New Roman" w:hAnsi="Times New Roman" w:cs="Times New Roman"/>
                <w:color w:val="000000"/>
                <w:sz w:val="24"/>
                <w:szCs w:val="24"/>
                <w:vertAlign w:val="superscript"/>
              </w:rPr>
            </w:pPr>
            <w:r w:rsidRPr="00CF7751">
              <w:rPr>
                <w:rFonts w:ascii="Times New Roman" w:hAnsi="Times New Roman" w:cs="Times New Roman"/>
                <w:color w:val="000000"/>
                <w:sz w:val="24"/>
                <w:szCs w:val="24"/>
              </w:rPr>
              <w:t>0.01</w:t>
            </w:r>
            <w:r w:rsidRPr="00CF7751">
              <w:rPr>
                <w:rFonts w:ascii="Times New Roman" w:hAnsi="Times New Roman" w:cs="Times New Roman"/>
                <w:color w:val="000000"/>
                <w:sz w:val="24"/>
                <w:szCs w:val="24"/>
                <w:vertAlign w:val="superscript"/>
              </w:rPr>
              <w:t>1,2</w:t>
            </w:r>
          </w:p>
        </w:tc>
        <w:tc>
          <w:tcPr>
            <w:tcW w:w="1519" w:type="dxa"/>
            <w:tcBorders>
              <w:top w:val="nil"/>
              <w:bottom w:val="nil"/>
            </w:tcBorders>
            <w:vAlign w:val="bottom"/>
          </w:tcPr>
          <w:p w14:paraId="3A66F5C0" w14:textId="77777777" w:rsidR="00CF7751" w:rsidRPr="00CF7751" w:rsidRDefault="00CF7751" w:rsidP="00CF7751">
            <w:pPr>
              <w:keepNext/>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[-0.01-0.03]</w:t>
            </w:r>
          </w:p>
        </w:tc>
      </w:tr>
      <w:tr w:rsidR="00CF7751" w:rsidRPr="00CF7751" w14:paraId="767ECD9D" w14:textId="77777777" w:rsidTr="00BD4D0D">
        <w:trPr>
          <w:gridAfter w:val="1"/>
          <w:wAfter w:w="63" w:type="dxa"/>
          <w:trHeight w:val="396"/>
        </w:trPr>
        <w:tc>
          <w:tcPr>
            <w:tcW w:w="3021" w:type="dxa"/>
            <w:tcBorders>
              <w:top w:val="nil"/>
              <w:bottom w:val="single" w:sz="4" w:space="0" w:color="auto"/>
            </w:tcBorders>
            <w:vAlign w:val="center"/>
          </w:tcPr>
          <w:p w14:paraId="50F242C0" w14:textId="77777777" w:rsidR="00CF7751" w:rsidRPr="00CF7751" w:rsidRDefault="00CF7751" w:rsidP="00CF7751">
            <w:pPr>
              <w:rPr>
                <w:rFonts w:ascii="Times New Roman" w:hAnsi="Times New Roman" w:cs="Times New Roman"/>
                <w:b/>
                <w:bCs/>
                <w:sz w:val="24"/>
                <w:szCs w:val="24"/>
              </w:rPr>
            </w:pPr>
            <w:r w:rsidRPr="00CF7751">
              <w:rPr>
                <w:rFonts w:ascii="Times New Roman" w:hAnsi="Times New Roman" w:cs="Times New Roman"/>
                <w:b/>
                <w:bCs/>
                <w:sz w:val="24"/>
                <w:szCs w:val="24"/>
              </w:rPr>
              <w:t>Bivariate Between-Person Correlations*</w:t>
            </w:r>
          </w:p>
        </w:tc>
        <w:tc>
          <w:tcPr>
            <w:tcW w:w="2432" w:type="dxa"/>
            <w:gridSpan w:val="3"/>
            <w:tcBorders>
              <w:top w:val="nil"/>
              <w:bottom w:val="single" w:sz="4" w:space="0" w:color="auto"/>
            </w:tcBorders>
            <w:vAlign w:val="center"/>
          </w:tcPr>
          <w:p w14:paraId="78F79517" w14:textId="77777777" w:rsidR="00CF7751" w:rsidRPr="00CF7751" w:rsidRDefault="00CF7751" w:rsidP="00CF7751">
            <w:pPr>
              <w:jc w:val="center"/>
              <w:rPr>
                <w:rFonts w:ascii="Times New Roman" w:hAnsi="Times New Roman" w:cs="Times New Roman"/>
                <w:i/>
                <w:iCs/>
                <w:color w:val="000000"/>
                <w:sz w:val="24"/>
                <w:szCs w:val="24"/>
              </w:rPr>
            </w:pPr>
            <w:r w:rsidRPr="00CF7751">
              <w:rPr>
                <w:rFonts w:ascii="Times New Roman" w:hAnsi="Times New Roman" w:cs="Times New Roman"/>
                <w:i/>
                <w:iCs/>
                <w:color w:val="000000"/>
                <w:sz w:val="24"/>
                <w:szCs w:val="24"/>
              </w:rPr>
              <w:t>r</w:t>
            </w:r>
          </w:p>
        </w:tc>
        <w:tc>
          <w:tcPr>
            <w:tcW w:w="3032" w:type="dxa"/>
            <w:gridSpan w:val="2"/>
            <w:tcBorders>
              <w:top w:val="nil"/>
              <w:bottom w:val="single" w:sz="4" w:space="0" w:color="auto"/>
            </w:tcBorders>
            <w:vAlign w:val="center"/>
          </w:tcPr>
          <w:p w14:paraId="4D1F8F49"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i/>
                <w:iCs/>
                <w:color w:val="000000"/>
                <w:sz w:val="24"/>
                <w:szCs w:val="24"/>
              </w:rPr>
              <w:t>r</w:t>
            </w:r>
          </w:p>
        </w:tc>
        <w:tc>
          <w:tcPr>
            <w:tcW w:w="3032" w:type="dxa"/>
            <w:gridSpan w:val="3"/>
            <w:tcBorders>
              <w:top w:val="nil"/>
              <w:bottom w:val="single" w:sz="4" w:space="0" w:color="auto"/>
            </w:tcBorders>
            <w:vAlign w:val="center"/>
          </w:tcPr>
          <w:p w14:paraId="4EC8CE24"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i/>
                <w:iCs/>
                <w:color w:val="000000"/>
                <w:sz w:val="24"/>
                <w:szCs w:val="24"/>
              </w:rPr>
              <w:t>r</w:t>
            </w:r>
          </w:p>
        </w:tc>
        <w:tc>
          <w:tcPr>
            <w:tcW w:w="3033" w:type="dxa"/>
            <w:gridSpan w:val="3"/>
            <w:tcBorders>
              <w:top w:val="nil"/>
              <w:bottom w:val="single" w:sz="4" w:space="0" w:color="auto"/>
            </w:tcBorders>
            <w:vAlign w:val="center"/>
          </w:tcPr>
          <w:p w14:paraId="08992721"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i/>
                <w:iCs/>
                <w:color w:val="000000"/>
                <w:sz w:val="24"/>
                <w:szCs w:val="24"/>
              </w:rPr>
              <w:t>r</w:t>
            </w:r>
          </w:p>
        </w:tc>
      </w:tr>
      <w:tr w:rsidR="00CF7751" w:rsidRPr="00CF7751" w14:paraId="15E74818" w14:textId="77777777" w:rsidTr="00BD4D0D">
        <w:trPr>
          <w:gridAfter w:val="1"/>
          <w:wAfter w:w="63" w:type="dxa"/>
          <w:trHeight w:val="396"/>
        </w:trPr>
        <w:tc>
          <w:tcPr>
            <w:tcW w:w="3021" w:type="dxa"/>
            <w:tcBorders>
              <w:top w:val="single" w:sz="4" w:space="0" w:color="auto"/>
            </w:tcBorders>
            <w:vAlign w:val="center"/>
          </w:tcPr>
          <w:p w14:paraId="79A2FBD0" w14:textId="77777777" w:rsidR="00CF7751" w:rsidRPr="00CF7751" w:rsidRDefault="00CF7751" w:rsidP="00CF7751">
            <w:pPr>
              <w:rPr>
                <w:rFonts w:ascii="Times New Roman" w:hAnsi="Times New Roman" w:cs="Times New Roman"/>
                <w:sz w:val="24"/>
                <w:szCs w:val="24"/>
              </w:rPr>
            </w:pPr>
            <w:r w:rsidRPr="00CF7751">
              <w:rPr>
                <w:rFonts w:ascii="Times New Roman" w:hAnsi="Times New Roman" w:cs="Times New Roman"/>
                <w:sz w:val="24"/>
                <w:szCs w:val="24"/>
              </w:rPr>
              <w:t>Marital with Mother-</w:t>
            </w:r>
            <w:proofErr w:type="spellStart"/>
            <w:r w:rsidRPr="00CF7751">
              <w:rPr>
                <w:rFonts w:ascii="Times New Roman" w:hAnsi="Times New Roman" w:cs="Times New Roman"/>
                <w:sz w:val="24"/>
                <w:szCs w:val="24"/>
              </w:rPr>
              <w:t>Adol</w:t>
            </w:r>
            <w:proofErr w:type="spellEnd"/>
            <w:r w:rsidRPr="00CF7751">
              <w:rPr>
                <w:rFonts w:ascii="Times New Roman" w:hAnsi="Times New Roman" w:cs="Times New Roman"/>
                <w:sz w:val="24"/>
                <w:szCs w:val="24"/>
              </w:rPr>
              <w:t>.</w:t>
            </w:r>
          </w:p>
        </w:tc>
        <w:tc>
          <w:tcPr>
            <w:tcW w:w="2432" w:type="dxa"/>
            <w:gridSpan w:val="3"/>
            <w:tcBorders>
              <w:top w:val="single" w:sz="4" w:space="0" w:color="auto"/>
            </w:tcBorders>
            <w:vAlign w:val="center"/>
          </w:tcPr>
          <w:p w14:paraId="7CA35D75"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.77***</w:t>
            </w:r>
          </w:p>
        </w:tc>
        <w:tc>
          <w:tcPr>
            <w:tcW w:w="3032" w:type="dxa"/>
            <w:gridSpan w:val="2"/>
            <w:tcBorders>
              <w:top w:val="single" w:sz="4" w:space="0" w:color="auto"/>
            </w:tcBorders>
            <w:vAlign w:val="center"/>
          </w:tcPr>
          <w:p w14:paraId="22455E4C"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.75***</w:t>
            </w:r>
          </w:p>
        </w:tc>
        <w:tc>
          <w:tcPr>
            <w:tcW w:w="3032" w:type="dxa"/>
            <w:gridSpan w:val="3"/>
            <w:tcBorders>
              <w:top w:val="single" w:sz="4" w:space="0" w:color="auto"/>
            </w:tcBorders>
            <w:vAlign w:val="center"/>
          </w:tcPr>
          <w:p w14:paraId="5A3F48C6" w14:textId="77777777" w:rsidR="00CF7751" w:rsidRPr="00CF7751" w:rsidRDefault="00CF7751" w:rsidP="00CF7751">
            <w:pPr>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.72***</w:t>
            </w:r>
          </w:p>
        </w:tc>
        <w:tc>
          <w:tcPr>
            <w:tcW w:w="3033" w:type="dxa"/>
            <w:gridSpan w:val="3"/>
            <w:tcBorders>
              <w:top w:val="single" w:sz="4" w:space="0" w:color="auto"/>
            </w:tcBorders>
            <w:vAlign w:val="center"/>
          </w:tcPr>
          <w:p w14:paraId="48D7B27D" w14:textId="77777777" w:rsidR="00CF7751" w:rsidRPr="00CF7751" w:rsidRDefault="00CF7751" w:rsidP="00CF7751">
            <w:pPr>
              <w:keepNext/>
              <w:jc w:val="center"/>
              <w:rPr>
                <w:rFonts w:ascii="Times New Roman" w:hAnsi="Times New Roman" w:cs="Times New Roman"/>
                <w:color w:val="000000"/>
                <w:sz w:val="24"/>
                <w:szCs w:val="24"/>
              </w:rPr>
            </w:pPr>
            <w:r w:rsidRPr="00CF7751">
              <w:rPr>
                <w:rFonts w:ascii="Times New Roman" w:hAnsi="Times New Roman" w:cs="Times New Roman"/>
                <w:color w:val="000000"/>
                <w:sz w:val="24"/>
                <w:szCs w:val="24"/>
              </w:rPr>
              <w:t>.76***</w:t>
            </w:r>
          </w:p>
        </w:tc>
      </w:tr>
    </w:tbl>
    <w:p w14:paraId="64C57CA9" w14:textId="77777777" w:rsidR="00CF7751" w:rsidRPr="00CF7751" w:rsidRDefault="00CF7751" w:rsidP="00CF7751">
      <w:pPr>
        <w:rPr>
          <w:rFonts w:ascii="Calibri" w:eastAsia="Calibri" w:hAnsi="Calibri" w:cs="SimSun"/>
        </w:rPr>
      </w:pPr>
    </w:p>
    <w:p w14:paraId="074C453A" w14:textId="77777777" w:rsidR="00CF7751" w:rsidRPr="00CF7751" w:rsidRDefault="00CF7751" w:rsidP="00CF7751">
      <w:pPr>
        <w:keepNext/>
        <w:rPr>
          <w:rFonts w:ascii="Calibri" w:eastAsia="Calibri" w:hAnsi="Calibri" w:cs="Times New Roman"/>
        </w:rPr>
      </w:pPr>
      <w:r w:rsidRPr="00CF7751">
        <w:rPr>
          <w:rFonts w:ascii="Calibri" w:eastAsia="Calibri" w:hAnsi="Calibri" w:cs="Times New Roman"/>
          <w:noProof/>
        </w:rPr>
        <w:lastRenderedPageBreak/>
        <w:drawing>
          <wp:inline distT="0" distB="0" distL="0" distR="0" wp14:anchorId="22B4F77E" wp14:editId="13875A38">
            <wp:extent cx="8442251" cy="5098348"/>
            <wp:effectExtent l="0" t="0" r="0" b="762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Εικόνα 4"/>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8469829" cy="5115003"/>
                    </a:xfrm>
                    <a:prstGeom prst="rect">
                      <a:avLst/>
                    </a:prstGeom>
                    <a:noFill/>
                    <a:ln>
                      <a:noFill/>
                    </a:ln>
                  </pic:spPr>
                </pic:pic>
              </a:graphicData>
            </a:graphic>
          </wp:inline>
        </w:drawing>
      </w:r>
      <w:r w:rsidRPr="00CF7751" w:rsidDel="009170EC">
        <w:rPr>
          <w:rFonts w:ascii="Calibri" w:eastAsia="Calibri" w:hAnsi="Calibri" w:cs="Times New Roman"/>
          <w:noProof/>
        </w:rPr>
        <w:t xml:space="preserve"> </w:t>
      </w:r>
    </w:p>
    <w:p w14:paraId="2277025B" w14:textId="46238455" w:rsidR="004E59FC" w:rsidRPr="003D14AF" w:rsidRDefault="00CF7751" w:rsidP="00CF7751">
      <w:pPr>
        <w:spacing w:after="200" w:line="240" w:lineRule="auto"/>
        <w:rPr>
          <w:rFonts w:ascii="Times New Roman" w:hAnsi="Times New Roman" w:cs="Times New Roman"/>
        </w:rPr>
      </w:pPr>
      <w:r w:rsidRPr="00CF7751">
        <w:rPr>
          <w:rFonts w:ascii="Times New Roman" w:eastAsia="Calibri" w:hAnsi="Times New Roman" w:cs="Times New Roman"/>
          <w:i/>
          <w:iCs/>
          <w:sz w:val="24"/>
          <w:szCs w:val="24"/>
        </w:rPr>
        <w:t>Figure 1. Histogram of the Day-to-Day Standardized Cross-Lagged Effect of Marital Conflict</w:t>
      </w:r>
      <w:r w:rsidRPr="00CF7751">
        <w:rPr>
          <w:rFonts w:ascii="Times New Roman" w:eastAsia="Calibri" w:hAnsi="Times New Roman" w:cs="Times New Roman"/>
          <w:i/>
          <w:iCs/>
          <w:noProof/>
          <w:sz w:val="24"/>
          <w:szCs w:val="24"/>
        </w:rPr>
        <w:t xml:space="preserve"> on Mother-Adolescent Conflict, Grouped by Valence of Statistical Significance, Based Only on Two-parent Families that Stayed Intact Across the Study Duration.</w:t>
      </w:r>
    </w:p>
    <w:sectPr w:rsidR="004E59FC" w:rsidRPr="003D14AF" w:rsidSect="00CF7751">
      <w:headerReference w:type="default" r:id="rId1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76CAF9" w14:textId="77777777" w:rsidR="00D76344" w:rsidRDefault="00D76344" w:rsidP="009971D6">
      <w:pPr>
        <w:spacing w:after="0" w:line="240" w:lineRule="auto"/>
      </w:pPr>
      <w:r>
        <w:separator/>
      </w:r>
    </w:p>
  </w:endnote>
  <w:endnote w:type="continuationSeparator" w:id="0">
    <w:p w14:paraId="2A12AACD" w14:textId="77777777" w:rsidR="00D76344" w:rsidRDefault="00D76344" w:rsidP="009971D6">
      <w:pPr>
        <w:spacing w:after="0" w:line="240" w:lineRule="auto"/>
      </w:pPr>
      <w:r>
        <w:continuationSeparator/>
      </w:r>
    </w:p>
  </w:endnote>
  <w:endnote w:type="continuationNotice" w:id="1">
    <w:p w14:paraId="148F1798" w14:textId="77777777" w:rsidR="00D76344" w:rsidRDefault="00D763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89EA6" w14:textId="77777777" w:rsidR="00D76344" w:rsidRDefault="00D76344" w:rsidP="009971D6">
      <w:pPr>
        <w:spacing w:after="0" w:line="240" w:lineRule="auto"/>
      </w:pPr>
      <w:r>
        <w:separator/>
      </w:r>
    </w:p>
  </w:footnote>
  <w:footnote w:type="continuationSeparator" w:id="0">
    <w:p w14:paraId="71DBC84A" w14:textId="77777777" w:rsidR="00D76344" w:rsidRDefault="00D76344" w:rsidP="009971D6">
      <w:pPr>
        <w:spacing w:after="0" w:line="240" w:lineRule="auto"/>
      </w:pPr>
      <w:r>
        <w:continuationSeparator/>
      </w:r>
    </w:p>
  </w:footnote>
  <w:footnote w:type="continuationNotice" w:id="1">
    <w:p w14:paraId="64AF351E" w14:textId="77777777" w:rsidR="00D76344" w:rsidRDefault="00D763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CC7B9" w14:textId="77777777" w:rsidR="00CF7751" w:rsidRDefault="00CF7751">
    <w:pPr>
      <w:pStyle w:val="Koptekst"/>
      <w:jc w:val="right"/>
    </w:pPr>
    <w:r>
      <w:fldChar w:fldCharType="begin"/>
    </w:r>
    <w:r>
      <w:instrText>PAGE   \* MERGEFORMAT</w:instrText>
    </w:r>
    <w:r>
      <w:fldChar w:fldCharType="separate"/>
    </w:r>
    <w:r>
      <w:rPr>
        <w:noProof/>
        <w:lang w:val="el-GR"/>
      </w:rPr>
      <w:t>27</w:t>
    </w:r>
    <w:r>
      <w:fldChar w:fldCharType="end"/>
    </w:r>
  </w:p>
  <w:p w14:paraId="7BA6D294" w14:textId="77777777" w:rsidR="00CF7751" w:rsidRDefault="00CF7751">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bCs/>
      </w:rPr>
      <w:id w:val="-1474279596"/>
      <w:docPartObj>
        <w:docPartGallery w:val="Page Numbers (Top of Page)"/>
        <w:docPartUnique/>
      </w:docPartObj>
    </w:sdtPr>
    <w:sdtEndPr>
      <w:rPr>
        <w:b w:val="0"/>
        <w:bCs w:val="0"/>
      </w:rPr>
    </w:sdtEndPr>
    <w:sdtContent>
      <w:p w14:paraId="650A6B58" w14:textId="18C92EE5" w:rsidR="00B50A7E" w:rsidRPr="001D392E" w:rsidRDefault="001D392E" w:rsidP="001D392E">
        <w:pPr>
          <w:pStyle w:val="Koptekst"/>
          <w:jc w:val="center"/>
        </w:pPr>
        <w:r w:rsidRPr="001D392E">
          <w:rPr>
            <w:b/>
            <w:bCs/>
          </w:rPr>
          <w:t>Preprint:  Explaining Heterogeneity of Daily Conflict Spillover in the Family</w:t>
        </w:r>
        <w:r>
          <w:rPr>
            <w:b/>
            <w:bCs/>
          </w:rPr>
          <w:tab/>
        </w:r>
        <w:r w:rsidR="00B50A7E" w:rsidRPr="001D392E">
          <w:fldChar w:fldCharType="begin"/>
        </w:r>
        <w:r w:rsidR="00B50A7E" w:rsidRPr="001D392E">
          <w:instrText>PAGE   \* MERGEFORMAT</w:instrText>
        </w:r>
        <w:r w:rsidR="00B50A7E" w:rsidRPr="001D392E">
          <w:fldChar w:fldCharType="separate"/>
        </w:r>
        <w:r w:rsidR="00B50A7E" w:rsidRPr="001D392E">
          <w:rPr>
            <w:noProof/>
          </w:rPr>
          <w:t>27</w:t>
        </w:r>
        <w:r w:rsidR="00B50A7E" w:rsidRPr="001D392E">
          <w:fldChar w:fldCharType="end"/>
        </w:r>
      </w:p>
    </w:sdtContent>
  </w:sdt>
  <w:p w14:paraId="36ECA127" w14:textId="77777777" w:rsidR="00B50A7E" w:rsidRDefault="00B50A7E">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8028FF16"/>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 w15:restartNumberingAfterBreak="0">
    <w:nsid w:val="00000002"/>
    <w:multiLevelType w:val="hybridMultilevel"/>
    <w:tmpl w:val="183C06E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0000003"/>
    <w:multiLevelType w:val="hybridMultilevel"/>
    <w:tmpl w:val="0CE05340"/>
    <w:lvl w:ilvl="0" w:tplc="5944FE00">
      <w:start w:val="1"/>
      <w:numFmt w:val="bullet"/>
      <w:lvlText w:val=""/>
      <w:lvlJc w:val="left"/>
      <w:pPr>
        <w:ind w:left="720" w:hanging="360"/>
      </w:pPr>
      <w:rPr>
        <w:rFonts w:ascii="Wingdings" w:eastAsia="Calibri" w:hAnsi="Wingdings" w:cs="SimSu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0000004"/>
    <w:multiLevelType w:val="hybridMultilevel"/>
    <w:tmpl w:val="255A7B9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0000005"/>
    <w:multiLevelType w:val="hybridMultilevel"/>
    <w:tmpl w:val="4A3EAEBA"/>
    <w:lvl w:ilvl="0" w:tplc="913C4A0E">
      <w:start w:val="1"/>
      <w:numFmt w:val="bullet"/>
      <w:lvlText w:val=""/>
      <w:lvlJc w:val="left"/>
      <w:pPr>
        <w:ind w:left="720" w:hanging="360"/>
      </w:pPr>
      <w:rPr>
        <w:rFonts w:ascii="Symbol" w:eastAsia="Calibri" w:hAnsi="Symbol" w:cs="SimSu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0000006"/>
    <w:multiLevelType w:val="hybridMultilevel"/>
    <w:tmpl w:val="3F74D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0000007"/>
    <w:multiLevelType w:val="hybridMultilevel"/>
    <w:tmpl w:val="C0FCF4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00000008"/>
    <w:multiLevelType w:val="hybridMultilevel"/>
    <w:tmpl w:val="C0FCF4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00000009"/>
    <w:multiLevelType w:val="hybridMultilevel"/>
    <w:tmpl w:val="083E6E7A"/>
    <w:lvl w:ilvl="0" w:tplc="6556FF0C">
      <w:start w:val="13"/>
      <w:numFmt w:val="bullet"/>
      <w:lvlText w:val=""/>
      <w:lvlJc w:val="left"/>
      <w:pPr>
        <w:ind w:left="720" w:hanging="360"/>
      </w:pPr>
      <w:rPr>
        <w:rFonts w:ascii="Wingdings" w:eastAsia="Calibri" w:hAnsi="Wingdings" w:cs="SimSu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0000000A"/>
    <w:multiLevelType w:val="hybridMultilevel"/>
    <w:tmpl w:val="E2A09EF0"/>
    <w:lvl w:ilvl="0" w:tplc="99BC447E">
      <w:start w:val="1"/>
      <w:numFmt w:val="bullet"/>
      <w:lvlText w:val=""/>
      <w:lvlJc w:val="left"/>
      <w:pPr>
        <w:ind w:left="720" w:hanging="360"/>
      </w:pPr>
      <w:rPr>
        <w:rFonts w:ascii="Wingdings" w:eastAsia="Calibri" w:hAnsi="Wingdings"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0000000B"/>
    <w:multiLevelType w:val="hybridMultilevel"/>
    <w:tmpl w:val="52C0F07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0000000C"/>
    <w:multiLevelType w:val="hybridMultilevel"/>
    <w:tmpl w:val="C0FCF4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0000000D"/>
    <w:multiLevelType w:val="hybridMultilevel"/>
    <w:tmpl w:val="C0FCF4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0000000E"/>
    <w:multiLevelType w:val="hybridMultilevel"/>
    <w:tmpl w:val="E8B4DAD6"/>
    <w:lvl w:ilvl="0" w:tplc="26C257AC">
      <w:start w:val="1"/>
      <w:numFmt w:val="bullet"/>
      <w:lvlText w:val=""/>
      <w:lvlJc w:val="left"/>
      <w:pPr>
        <w:ind w:left="720" w:hanging="360"/>
      </w:pPr>
      <w:rPr>
        <w:rFonts w:ascii="Symbol" w:eastAsia="Calibri" w:hAnsi="Symbol" w:cs="SimSu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0000000F"/>
    <w:multiLevelType w:val="multilevel"/>
    <w:tmpl w:val="7BB67F8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5" w15:restartNumberingAfterBreak="0">
    <w:nsid w:val="00000010"/>
    <w:multiLevelType w:val="hybridMultilevel"/>
    <w:tmpl w:val="289894F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00000011"/>
    <w:multiLevelType w:val="hybridMultilevel"/>
    <w:tmpl w:val="89ECA0CA"/>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7" w15:restartNumberingAfterBreak="0">
    <w:nsid w:val="00000012"/>
    <w:multiLevelType w:val="hybridMultilevel"/>
    <w:tmpl w:val="06D22496"/>
    <w:lvl w:ilvl="0" w:tplc="23BC66D8">
      <w:start w:val="1"/>
      <w:numFmt w:val="bullet"/>
      <w:lvlText w:val=""/>
      <w:lvlJc w:val="left"/>
      <w:pPr>
        <w:ind w:left="720" w:hanging="360"/>
      </w:pPr>
      <w:rPr>
        <w:rFonts w:ascii="Symbol" w:eastAsia="Calibri" w:hAnsi="Symbol" w:cs="SimSu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00000013"/>
    <w:multiLevelType w:val="hybridMultilevel"/>
    <w:tmpl w:val="183C06E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008812CB"/>
    <w:multiLevelType w:val="hybridMultilevel"/>
    <w:tmpl w:val="D30C06B2"/>
    <w:lvl w:ilvl="0" w:tplc="7B0880FC">
      <w:start w:val="5"/>
      <w:numFmt w:val="bullet"/>
      <w:lvlText w:val=""/>
      <w:lvlJc w:val="left"/>
      <w:pPr>
        <w:ind w:left="720" w:hanging="360"/>
      </w:pPr>
      <w:rPr>
        <w:rFonts w:ascii="Wingdings" w:eastAsiaTheme="minorHAnsi" w:hAnsi="Wingding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050C3D09"/>
    <w:multiLevelType w:val="hybridMultilevel"/>
    <w:tmpl w:val="8028FF16"/>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1" w15:restartNumberingAfterBreak="0">
    <w:nsid w:val="06D5534C"/>
    <w:multiLevelType w:val="hybridMultilevel"/>
    <w:tmpl w:val="183C06E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165D2A82"/>
    <w:multiLevelType w:val="hybridMultilevel"/>
    <w:tmpl w:val="0CE05340"/>
    <w:lvl w:ilvl="0" w:tplc="5944FE00">
      <w:numFmt w:val="bullet"/>
      <w:lvlText w:val=""/>
      <w:lvlJc w:val="left"/>
      <w:pPr>
        <w:ind w:left="720" w:hanging="360"/>
      </w:pPr>
      <w:rPr>
        <w:rFonts w:ascii="Wingdings" w:eastAsiaTheme="minorHAnsi" w:hAnsi="Wingding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CCB5EE8"/>
    <w:multiLevelType w:val="hybridMultilevel"/>
    <w:tmpl w:val="255A7B9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27797F1B"/>
    <w:multiLevelType w:val="hybridMultilevel"/>
    <w:tmpl w:val="4A3EAEBA"/>
    <w:lvl w:ilvl="0" w:tplc="913C4A0E">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2EE83780"/>
    <w:multiLevelType w:val="hybridMultilevel"/>
    <w:tmpl w:val="3F74D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2577353"/>
    <w:multiLevelType w:val="hybridMultilevel"/>
    <w:tmpl w:val="C0FCF4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3BCB0A1D"/>
    <w:multiLevelType w:val="hybridMultilevel"/>
    <w:tmpl w:val="C0FCF4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44B16C92"/>
    <w:multiLevelType w:val="hybridMultilevel"/>
    <w:tmpl w:val="E2A09EF0"/>
    <w:lvl w:ilvl="0" w:tplc="99BC447E">
      <w:numFmt w:val="bullet"/>
      <w:lvlText w:val=""/>
      <w:lvlJc w:val="left"/>
      <w:pPr>
        <w:ind w:left="720" w:hanging="360"/>
      </w:pPr>
      <w:rPr>
        <w:rFonts w:ascii="Wingdings" w:eastAsiaTheme="minorHAnsi" w:hAnsi="Wingdings"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45E36944"/>
    <w:multiLevelType w:val="hybridMultilevel"/>
    <w:tmpl w:val="52C0F07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4C0947E8"/>
    <w:multiLevelType w:val="hybridMultilevel"/>
    <w:tmpl w:val="C0FCF4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15:restartNumberingAfterBreak="0">
    <w:nsid w:val="52235C7F"/>
    <w:multiLevelType w:val="hybridMultilevel"/>
    <w:tmpl w:val="C0FCF4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55556CD2"/>
    <w:multiLevelType w:val="hybridMultilevel"/>
    <w:tmpl w:val="E8B4DAD6"/>
    <w:lvl w:ilvl="0" w:tplc="26C257AC">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579118B8"/>
    <w:multiLevelType w:val="hybridMultilevel"/>
    <w:tmpl w:val="D30C06B2"/>
    <w:lvl w:ilvl="0" w:tplc="7B0880FC">
      <w:start w:val="5"/>
      <w:numFmt w:val="bullet"/>
      <w:lvlText w:val=""/>
      <w:lvlJc w:val="left"/>
      <w:pPr>
        <w:ind w:left="720" w:hanging="360"/>
      </w:pPr>
      <w:rPr>
        <w:rFonts w:ascii="Wingdings" w:eastAsia="Calibri" w:hAnsi="Wingdings" w:cs="SimSu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5A6C24F7"/>
    <w:multiLevelType w:val="multilevel"/>
    <w:tmpl w:val="7BB67F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6F490C2B"/>
    <w:multiLevelType w:val="hybridMultilevel"/>
    <w:tmpl w:val="289894F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73666754"/>
    <w:multiLevelType w:val="hybridMultilevel"/>
    <w:tmpl w:val="89ECA0CA"/>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37" w15:restartNumberingAfterBreak="0">
    <w:nsid w:val="7A764BDB"/>
    <w:multiLevelType w:val="hybridMultilevel"/>
    <w:tmpl w:val="06D22496"/>
    <w:lvl w:ilvl="0" w:tplc="23BC66D8">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7E0D1A31"/>
    <w:multiLevelType w:val="hybridMultilevel"/>
    <w:tmpl w:val="183C06E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22"/>
  </w:num>
  <w:num w:numId="2">
    <w:abstractNumId w:val="37"/>
  </w:num>
  <w:num w:numId="3">
    <w:abstractNumId w:val="28"/>
  </w:num>
  <w:num w:numId="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32"/>
  </w:num>
  <w:num w:numId="7">
    <w:abstractNumId w:val="30"/>
  </w:num>
  <w:num w:numId="8">
    <w:abstractNumId w:val="26"/>
  </w:num>
  <w:num w:numId="9">
    <w:abstractNumId w:val="27"/>
  </w:num>
  <w:num w:numId="10">
    <w:abstractNumId w:val="31"/>
  </w:num>
  <w:num w:numId="11">
    <w:abstractNumId w:val="25"/>
  </w:num>
  <w:num w:numId="12">
    <w:abstractNumId w:val="21"/>
  </w:num>
  <w:num w:numId="13">
    <w:abstractNumId w:val="38"/>
  </w:num>
  <w:num w:numId="14">
    <w:abstractNumId w:val="35"/>
  </w:num>
  <w:num w:numId="15">
    <w:abstractNumId w:val="29"/>
  </w:num>
  <w:num w:numId="16">
    <w:abstractNumId w:val="23"/>
  </w:num>
  <w:num w:numId="17">
    <w:abstractNumId w:val="20"/>
  </w:num>
  <w:num w:numId="18">
    <w:abstractNumId w:val="36"/>
  </w:num>
  <w:num w:numId="19">
    <w:abstractNumId w:val="19"/>
  </w:num>
  <w:num w:numId="20">
    <w:abstractNumId w:val="2"/>
  </w:num>
  <w:num w:numId="21">
    <w:abstractNumId w:val="17"/>
  </w:num>
  <w:num w:numId="22">
    <w:abstractNumId w:val="9"/>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3"/>
  </w:num>
  <w:num w:numId="26">
    <w:abstractNumId w:val="11"/>
  </w:num>
  <w:num w:numId="27">
    <w:abstractNumId w:val="6"/>
  </w:num>
  <w:num w:numId="28">
    <w:abstractNumId w:val="7"/>
  </w:num>
  <w:num w:numId="29">
    <w:abstractNumId w:val="12"/>
  </w:num>
  <w:num w:numId="30">
    <w:abstractNumId w:val="5"/>
  </w:num>
  <w:num w:numId="31">
    <w:abstractNumId w:val="1"/>
  </w:num>
  <w:num w:numId="32">
    <w:abstractNumId w:val="18"/>
  </w:num>
  <w:num w:numId="33">
    <w:abstractNumId w:val="15"/>
  </w:num>
  <w:num w:numId="34">
    <w:abstractNumId w:val="10"/>
  </w:num>
  <w:num w:numId="35">
    <w:abstractNumId w:val="3"/>
  </w:num>
  <w:num w:numId="36">
    <w:abstractNumId w:val="0"/>
  </w:num>
  <w:num w:numId="37">
    <w:abstractNumId w:val="16"/>
  </w:num>
  <w:num w:numId="38">
    <w:abstractNumId w:val="33"/>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LQ0NLMAEkaWJoamxko6SsGpxcWZ+XkgBcYmtQAR9+DILQAAAA=="/>
  </w:docVars>
  <w:rsids>
    <w:rsidRoot w:val="009511CF"/>
    <w:rsid w:val="0000095B"/>
    <w:rsid w:val="00000BBF"/>
    <w:rsid w:val="000019DA"/>
    <w:rsid w:val="000025D1"/>
    <w:rsid w:val="00002FE9"/>
    <w:rsid w:val="0000304F"/>
    <w:rsid w:val="00004761"/>
    <w:rsid w:val="00006DE1"/>
    <w:rsid w:val="00010213"/>
    <w:rsid w:val="000118BB"/>
    <w:rsid w:val="00014F25"/>
    <w:rsid w:val="000158FB"/>
    <w:rsid w:val="00016BB6"/>
    <w:rsid w:val="000172A8"/>
    <w:rsid w:val="00022EC2"/>
    <w:rsid w:val="00026993"/>
    <w:rsid w:val="0003070E"/>
    <w:rsid w:val="00033064"/>
    <w:rsid w:val="0003585E"/>
    <w:rsid w:val="00036970"/>
    <w:rsid w:val="000377DA"/>
    <w:rsid w:val="00042DE4"/>
    <w:rsid w:val="00044891"/>
    <w:rsid w:val="00044BDC"/>
    <w:rsid w:val="0004538E"/>
    <w:rsid w:val="00045912"/>
    <w:rsid w:val="00046817"/>
    <w:rsid w:val="000504A3"/>
    <w:rsid w:val="000550EC"/>
    <w:rsid w:val="00056434"/>
    <w:rsid w:val="0005711C"/>
    <w:rsid w:val="00057B88"/>
    <w:rsid w:val="00060150"/>
    <w:rsid w:val="00064060"/>
    <w:rsid w:val="000656F4"/>
    <w:rsid w:val="00065D2E"/>
    <w:rsid w:val="00067E71"/>
    <w:rsid w:val="0007013E"/>
    <w:rsid w:val="00070F39"/>
    <w:rsid w:val="000717B5"/>
    <w:rsid w:val="000726B2"/>
    <w:rsid w:val="0007514D"/>
    <w:rsid w:val="00075293"/>
    <w:rsid w:val="000803EB"/>
    <w:rsid w:val="00080623"/>
    <w:rsid w:val="00080BB2"/>
    <w:rsid w:val="00083CF0"/>
    <w:rsid w:val="00083FD9"/>
    <w:rsid w:val="00086DE8"/>
    <w:rsid w:val="00090195"/>
    <w:rsid w:val="000916CA"/>
    <w:rsid w:val="00091CA2"/>
    <w:rsid w:val="00092B32"/>
    <w:rsid w:val="000938E3"/>
    <w:rsid w:val="000958BF"/>
    <w:rsid w:val="000972A5"/>
    <w:rsid w:val="000975F8"/>
    <w:rsid w:val="000A722C"/>
    <w:rsid w:val="000A7CD2"/>
    <w:rsid w:val="000B2732"/>
    <w:rsid w:val="000B32DD"/>
    <w:rsid w:val="000B3446"/>
    <w:rsid w:val="000B38D5"/>
    <w:rsid w:val="000B4138"/>
    <w:rsid w:val="000B5DF0"/>
    <w:rsid w:val="000B633C"/>
    <w:rsid w:val="000B7D99"/>
    <w:rsid w:val="000C036E"/>
    <w:rsid w:val="000C099F"/>
    <w:rsid w:val="000C4B83"/>
    <w:rsid w:val="000C4E92"/>
    <w:rsid w:val="000C526F"/>
    <w:rsid w:val="000C5B80"/>
    <w:rsid w:val="000D0504"/>
    <w:rsid w:val="000D19F7"/>
    <w:rsid w:val="000D24E9"/>
    <w:rsid w:val="000D6646"/>
    <w:rsid w:val="000D7DF4"/>
    <w:rsid w:val="000E1BA9"/>
    <w:rsid w:val="000E5EE2"/>
    <w:rsid w:val="000E77CB"/>
    <w:rsid w:val="000F3286"/>
    <w:rsid w:val="000F3352"/>
    <w:rsid w:val="000F3A1E"/>
    <w:rsid w:val="000F3D59"/>
    <w:rsid w:val="000F4EE2"/>
    <w:rsid w:val="000F52E3"/>
    <w:rsid w:val="000F5B3D"/>
    <w:rsid w:val="000F69A4"/>
    <w:rsid w:val="000F7493"/>
    <w:rsid w:val="0010406C"/>
    <w:rsid w:val="00104D2C"/>
    <w:rsid w:val="00105925"/>
    <w:rsid w:val="00105AFB"/>
    <w:rsid w:val="00106142"/>
    <w:rsid w:val="001073D6"/>
    <w:rsid w:val="001129DF"/>
    <w:rsid w:val="0011347A"/>
    <w:rsid w:val="0011396F"/>
    <w:rsid w:val="00115279"/>
    <w:rsid w:val="00120E2E"/>
    <w:rsid w:val="00121541"/>
    <w:rsid w:val="00123E7A"/>
    <w:rsid w:val="001245FF"/>
    <w:rsid w:val="001249FD"/>
    <w:rsid w:val="001307C6"/>
    <w:rsid w:val="00131939"/>
    <w:rsid w:val="00132FDD"/>
    <w:rsid w:val="0013361F"/>
    <w:rsid w:val="00134362"/>
    <w:rsid w:val="00137D2C"/>
    <w:rsid w:val="001401D5"/>
    <w:rsid w:val="00142254"/>
    <w:rsid w:val="00142443"/>
    <w:rsid w:val="001433FB"/>
    <w:rsid w:val="001459B4"/>
    <w:rsid w:val="001466BF"/>
    <w:rsid w:val="00146EB0"/>
    <w:rsid w:val="0015000A"/>
    <w:rsid w:val="00150564"/>
    <w:rsid w:val="00151933"/>
    <w:rsid w:val="00153DA5"/>
    <w:rsid w:val="001541BD"/>
    <w:rsid w:val="001554CE"/>
    <w:rsid w:val="0016357C"/>
    <w:rsid w:val="00164114"/>
    <w:rsid w:val="00170411"/>
    <w:rsid w:val="00171684"/>
    <w:rsid w:val="00172CAF"/>
    <w:rsid w:val="00177379"/>
    <w:rsid w:val="00177959"/>
    <w:rsid w:val="00182ADE"/>
    <w:rsid w:val="00187290"/>
    <w:rsid w:val="001920DE"/>
    <w:rsid w:val="0019575F"/>
    <w:rsid w:val="001975E3"/>
    <w:rsid w:val="001A11D9"/>
    <w:rsid w:val="001A6598"/>
    <w:rsid w:val="001A683C"/>
    <w:rsid w:val="001A6BF3"/>
    <w:rsid w:val="001A6F70"/>
    <w:rsid w:val="001A6FF4"/>
    <w:rsid w:val="001A7D7B"/>
    <w:rsid w:val="001B0827"/>
    <w:rsid w:val="001B1830"/>
    <w:rsid w:val="001B310C"/>
    <w:rsid w:val="001B31BB"/>
    <w:rsid w:val="001B3946"/>
    <w:rsid w:val="001B3D70"/>
    <w:rsid w:val="001B4462"/>
    <w:rsid w:val="001B47E1"/>
    <w:rsid w:val="001B4CF9"/>
    <w:rsid w:val="001B6A0C"/>
    <w:rsid w:val="001B706E"/>
    <w:rsid w:val="001C0E56"/>
    <w:rsid w:val="001C1174"/>
    <w:rsid w:val="001C3B9E"/>
    <w:rsid w:val="001C53EC"/>
    <w:rsid w:val="001C6FED"/>
    <w:rsid w:val="001D392E"/>
    <w:rsid w:val="001D547A"/>
    <w:rsid w:val="001D5FEF"/>
    <w:rsid w:val="001E48E0"/>
    <w:rsid w:val="001E5B28"/>
    <w:rsid w:val="001E5EB6"/>
    <w:rsid w:val="001E72DE"/>
    <w:rsid w:val="001E7526"/>
    <w:rsid w:val="001F1C82"/>
    <w:rsid w:val="001F301A"/>
    <w:rsid w:val="001F3791"/>
    <w:rsid w:val="001F7CD4"/>
    <w:rsid w:val="0020459E"/>
    <w:rsid w:val="00204C58"/>
    <w:rsid w:val="00206E93"/>
    <w:rsid w:val="00210961"/>
    <w:rsid w:val="00211CDD"/>
    <w:rsid w:val="00212E57"/>
    <w:rsid w:val="00213237"/>
    <w:rsid w:val="00214F6A"/>
    <w:rsid w:val="0021528B"/>
    <w:rsid w:val="002159CF"/>
    <w:rsid w:val="00215B86"/>
    <w:rsid w:val="0021602F"/>
    <w:rsid w:val="00221534"/>
    <w:rsid w:val="0022370A"/>
    <w:rsid w:val="00223FFB"/>
    <w:rsid w:val="00224229"/>
    <w:rsid w:val="00224297"/>
    <w:rsid w:val="002243A2"/>
    <w:rsid w:val="00224565"/>
    <w:rsid w:val="0022508D"/>
    <w:rsid w:val="00226FF1"/>
    <w:rsid w:val="00231175"/>
    <w:rsid w:val="00235874"/>
    <w:rsid w:val="00235D47"/>
    <w:rsid w:val="00240BA9"/>
    <w:rsid w:val="00240F75"/>
    <w:rsid w:val="00243D64"/>
    <w:rsid w:val="00244A97"/>
    <w:rsid w:val="00250D01"/>
    <w:rsid w:val="00252D06"/>
    <w:rsid w:val="0025378B"/>
    <w:rsid w:val="0025482F"/>
    <w:rsid w:val="0025718F"/>
    <w:rsid w:val="00257417"/>
    <w:rsid w:val="0025781B"/>
    <w:rsid w:val="00257857"/>
    <w:rsid w:val="00257B21"/>
    <w:rsid w:val="0026003C"/>
    <w:rsid w:val="0026006A"/>
    <w:rsid w:val="00260589"/>
    <w:rsid w:val="00260622"/>
    <w:rsid w:val="002613C3"/>
    <w:rsid w:val="00265AD9"/>
    <w:rsid w:val="00266228"/>
    <w:rsid w:val="0027009A"/>
    <w:rsid w:val="00271DC3"/>
    <w:rsid w:val="00273AB8"/>
    <w:rsid w:val="00273F06"/>
    <w:rsid w:val="00275A7A"/>
    <w:rsid w:val="00276F68"/>
    <w:rsid w:val="00280BE0"/>
    <w:rsid w:val="00283263"/>
    <w:rsid w:val="00291C9C"/>
    <w:rsid w:val="00293B9F"/>
    <w:rsid w:val="00297D86"/>
    <w:rsid w:val="002A060F"/>
    <w:rsid w:val="002A0D8A"/>
    <w:rsid w:val="002A2021"/>
    <w:rsid w:val="002A2AD2"/>
    <w:rsid w:val="002A3D12"/>
    <w:rsid w:val="002A3FA7"/>
    <w:rsid w:val="002A407A"/>
    <w:rsid w:val="002A5B40"/>
    <w:rsid w:val="002A6DBC"/>
    <w:rsid w:val="002B3A2A"/>
    <w:rsid w:val="002B71DF"/>
    <w:rsid w:val="002C076E"/>
    <w:rsid w:val="002C0C3F"/>
    <w:rsid w:val="002C2468"/>
    <w:rsid w:val="002C3ABB"/>
    <w:rsid w:val="002C73EC"/>
    <w:rsid w:val="002D2FBC"/>
    <w:rsid w:val="002D3D83"/>
    <w:rsid w:val="002D550E"/>
    <w:rsid w:val="002D6DBE"/>
    <w:rsid w:val="002D71A9"/>
    <w:rsid w:val="002E0BC7"/>
    <w:rsid w:val="002E2AE4"/>
    <w:rsid w:val="002E35C9"/>
    <w:rsid w:val="002E37D8"/>
    <w:rsid w:val="002E4A94"/>
    <w:rsid w:val="002E4BF1"/>
    <w:rsid w:val="002E7AAD"/>
    <w:rsid w:val="002F04A6"/>
    <w:rsid w:val="002F4383"/>
    <w:rsid w:val="002F4D4F"/>
    <w:rsid w:val="002F5801"/>
    <w:rsid w:val="002F6190"/>
    <w:rsid w:val="002F7E94"/>
    <w:rsid w:val="003011F0"/>
    <w:rsid w:val="00307818"/>
    <w:rsid w:val="00312E90"/>
    <w:rsid w:val="00316AD9"/>
    <w:rsid w:val="003207CF"/>
    <w:rsid w:val="003219DB"/>
    <w:rsid w:val="00321C7D"/>
    <w:rsid w:val="00322EA6"/>
    <w:rsid w:val="0032303E"/>
    <w:rsid w:val="003239C3"/>
    <w:rsid w:val="003241E5"/>
    <w:rsid w:val="0032533F"/>
    <w:rsid w:val="00325D04"/>
    <w:rsid w:val="00326187"/>
    <w:rsid w:val="003265B6"/>
    <w:rsid w:val="003300D5"/>
    <w:rsid w:val="00330F0B"/>
    <w:rsid w:val="00334246"/>
    <w:rsid w:val="00334E2D"/>
    <w:rsid w:val="00336F6D"/>
    <w:rsid w:val="00337FAD"/>
    <w:rsid w:val="00340076"/>
    <w:rsid w:val="00340905"/>
    <w:rsid w:val="00343FD1"/>
    <w:rsid w:val="00346C3A"/>
    <w:rsid w:val="003473E0"/>
    <w:rsid w:val="00347D23"/>
    <w:rsid w:val="0035166D"/>
    <w:rsid w:val="003517C7"/>
    <w:rsid w:val="0035265E"/>
    <w:rsid w:val="00352AC7"/>
    <w:rsid w:val="0035615F"/>
    <w:rsid w:val="00356DB0"/>
    <w:rsid w:val="00362EFE"/>
    <w:rsid w:val="00363262"/>
    <w:rsid w:val="00365AC5"/>
    <w:rsid w:val="00367814"/>
    <w:rsid w:val="00370AD0"/>
    <w:rsid w:val="00370D39"/>
    <w:rsid w:val="0037137A"/>
    <w:rsid w:val="003730C5"/>
    <w:rsid w:val="00373BA8"/>
    <w:rsid w:val="00374881"/>
    <w:rsid w:val="00374949"/>
    <w:rsid w:val="003756FE"/>
    <w:rsid w:val="00375AAE"/>
    <w:rsid w:val="00376BDE"/>
    <w:rsid w:val="00377DEB"/>
    <w:rsid w:val="003802BC"/>
    <w:rsid w:val="0038200F"/>
    <w:rsid w:val="00384512"/>
    <w:rsid w:val="0038466A"/>
    <w:rsid w:val="0038584E"/>
    <w:rsid w:val="0038686D"/>
    <w:rsid w:val="00387C2E"/>
    <w:rsid w:val="003907CF"/>
    <w:rsid w:val="00390EBD"/>
    <w:rsid w:val="00392344"/>
    <w:rsid w:val="00392D00"/>
    <w:rsid w:val="00395B8E"/>
    <w:rsid w:val="00396AD6"/>
    <w:rsid w:val="003A259D"/>
    <w:rsid w:val="003A35CF"/>
    <w:rsid w:val="003A4368"/>
    <w:rsid w:val="003A5329"/>
    <w:rsid w:val="003A53E5"/>
    <w:rsid w:val="003A5C10"/>
    <w:rsid w:val="003A5C4B"/>
    <w:rsid w:val="003A6B10"/>
    <w:rsid w:val="003A6F2B"/>
    <w:rsid w:val="003B2057"/>
    <w:rsid w:val="003B2475"/>
    <w:rsid w:val="003B38A3"/>
    <w:rsid w:val="003B3F28"/>
    <w:rsid w:val="003B600C"/>
    <w:rsid w:val="003B6986"/>
    <w:rsid w:val="003B705F"/>
    <w:rsid w:val="003C2530"/>
    <w:rsid w:val="003C2FA9"/>
    <w:rsid w:val="003C3B56"/>
    <w:rsid w:val="003D083C"/>
    <w:rsid w:val="003D14AF"/>
    <w:rsid w:val="003D1895"/>
    <w:rsid w:val="003D19F9"/>
    <w:rsid w:val="003D3CC0"/>
    <w:rsid w:val="003D6798"/>
    <w:rsid w:val="003E0003"/>
    <w:rsid w:val="003E1C93"/>
    <w:rsid w:val="003E715F"/>
    <w:rsid w:val="003E72D5"/>
    <w:rsid w:val="003F1164"/>
    <w:rsid w:val="003F63E3"/>
    <w:rsid w:val="003F7AD6"/>
    <w:rsid w:val="0040049C"/>
    <w:rsid w:val="00403A45"/>
    <w:rsid w:val="00404F6E"/>
    <w:rsid w:val="004052DF"/>
    <w:rsid w:val="004053D2"/>
    <w:rsid w:val="00405571"/>
    <w:rsid w:val="00405CD4"/>
    <w:rsid w:val="004075F6"/>
    <w:rsid w:val="0041036E"/>
    <w:rsid w:val="00416EFA"/>
    <w:rsid w:val="00420DD2"/>
    <w:rsid w:val="00421843"/>
    <w:rsid w:val="00421DD0"/>
    <w:rsid w:val="00423773"/>
    <w:rsid w:val="00424B1C"/>
    <w:rsid w:val="004253AC"/>
    <w:rsid w:val="00426271"/>
    <w:rsid w:val="004272DC"/>
    <w:rsid w:val="004312E3"/>
    <w:rsid w:val="00432445"/>
    <w:rsid w:val="0043251D"/>
    <w:rsid w:val="00432E24"/>
    <w:rsid w:val="00434102"/>
    <w:rsid w:val="00436EE9"/>
    <w:rsid w:val="004378A8"/>
    <w:rsid w:val="004439EA"/>
    <w:rsid w:val="0044417D"/>
    <w:rsid w:val="00444DD7"/>
    <w:rsid w:val="00444E15"/>
    <w:rsid w:val="004506A3"/>
    <w:rsid w:val="00451AC4"/>
    <w:rsid w:val="00452F85"/>
    <w:rsid w:val="0045330F"/>
    <w:rsid w:val="00453A66"/>
    <w:rsid w:val="004542F5"/>
    <w:rsid w:val="00454BEF"/>
    <w:rsid w:val="0045570E"/>
    <w:rsid w:val="00455938"/>
    <w:rsid w:val="00457561"/>
    <w:rsid w:val="00460B9E"/>
    <w:rsid w:val="0046217F"/>
    <w:rsid w:val="00462879"/>
    <w:rsid w:val="0046567C"/>
    <w:rsid w:val="00466453"/>
    <w:rsid w:val="00466D44"/>
    <w:rsid w:val="00466D67"/>
    <w:rsid w:val="00467CF0"/>
    <w:rsid w:val="00470A91"/>
    <w:rsid w:val="004730F5"/>
    <w:rsid w:val="00473D01"/>
    <w:rsid w:val="00473F33"/>
    <w:rsid w:val="00475B7E"/>
    <w:rsid w:val="00477BF8"/>
    <w:rsid w:val="00477C61"/>
    <w:rsid w:val="0048401C"/>
    <w:rsid w:val="004843CF"/>
    <w:rsid w:val="00486FAA"/>
    <w:rsid w:val="00487AC3"/>
    <w:rsid w:val="004931F5"/>
    <w:rsid w:val="00493DB1"/>
    <w:rsid w:val="00495072"/>
    <w:rsid w:val="004956AE"/>
    <w:rsid w:val="00497059"/>
    <w:rsid w:val="004A1151"/>
    <w:rsid w:val="004A24FB"/>
    <w:rsid w:val="004A266F"/>
    <w:rsid w:val="004A3E64"/>
    <w:rsid w:val="004A4B07"/>
    <w:rsid w:val="004B0640"/>
    <w:rsid w:val="004B1CED"/>
    <w:rsid w:val="004B29C5"/>
    <w:rsid w:val="004B688B"/>
    <w:rsid w:val="004B6F60"/>
    <w:rsid w:val="004B7885"/>
    <w:rsid w:val="004C0842"/>
    <w:rsid w:val="004C4784"/>
    <w:rsid w:val="004C4FAE"/>
    <w:rsid w:val="004C5069"/>
    <w:rsid w:val="004D0B03"/>
    <w:rsid w:val="004D0F52"/>
    <w:rsid w:val="004D1192"/>
    <w:rsid w:val="004D31BB"/>
    <w:rsid w:val="004D3D73"/>
    <w:rsid w:val="004D4071"/>
    <w:rsid w:val="004D41CF"/>
    <w:rsid w:val="004D4EDD"/>
    <w:rsid w:val="004D54CD"/>
    <w:rsid w:val="004D5AA6"/>
    <w:rsid w:val="004D7056"/>
    <w:rsid w:val="004E139C"/>
    <w:rsid w:val="004E3CFC"/>
    <w:rsid w:val="004E59FC"/>
    <w:rsid w:val="004E5B66"/>
    <w:rsid w:val="004F4F7A"/>
    <w:rsid w:val="004F65DC"/>
    <w:rsid w:val="0050051E"/>
    <w:rsid w:val="00501308"/>
    <w:rsid w:val="005031C2"/>
    <w:rsid w:val="0050320F"/>
    <w:rsid w:val="005053F7"/>
    <w:rsid w:val="00505E02"/>
    <w:rsid w:val="005064CA"/>
    <w:rsid w:val="005100AA"/>
    <w:rsid w:val="005103A2"/>
    <w:rsid w:val="00510CD0"/>
    <w:rsid w:val="00511DC9"/>
    <w:rsid w:val="0051473E"/>
    <w:rsid w:val="00515428"/>
    <w:rsid w:val="005172DA"/>
    <w:rsid w:val="00520401"/>
    <w:rsid w:val="0052203C"/>
    <w:rsid w:val="00524E10"/>
    <w:rsid w:val="0052582C"/>
    <w:rsid w:val="00525EEC"/>
    <w:rsid w:val="00527074"/>
    <w:rsid w:val="0053235B"/>
    <w:rsid w:val="00533284"/>
    <w:rsid w:val="005347C9"/>
    <w:rsid w:val="005401EB"/>
    <w:rsid w:val="00540388"/>
    <w:rsid w:val="00541176"/>
    <w:rsid w:val="0054271C"/>
    <w:rsid w:val="0054330B"/>
    <w:rsid w:val="0054569A"/>
    <w:rsid w:val="00546D23"/>
    <w:rsid w:val="0054747D"/>
    <w:rsid w:val="0054797F"/>
    <w:rsid w:val="00550EB5"/>
    <w:rsid w:val="005541D3"/>
    <w:rsid w:val="005547A6"/>
    <w:rsid w:val="00554DAC"/>
    <w:rsid w:val="005572F1"/>
    <w:rsid w:val="005624F5"/>
    <w:rsid w:val="005652FF"/>
    <w:rsid w:val="00566286"/>
    <w:rsid w:val="0056633D"/>
    <w:rsid w:val="0056714C"/>
    <w:rsid w:val="005722CD"/>
    <w:rsid w:val="00572A8A"/>
    <w:rsid w:val="0057400F"/>
    <w:rsid w:val="00574C45"/>
    <w:rsid w:val="0057611E"/>
    <w:rsid w:val="005777DA"/>
    <w:rsid w:val="00577F3F"/>
    <w:rsid w:val="00582659"/>
    <w:rsid w:val="0058293F"/>
    <w:rsid w:val="00583082"/>
    <w:rsid w:val="00583443"/>
    <w:rsid w:val="00583F8C"/>
    <w:rsid w:val="00584514"/>
    <w:rsid w:val="00585480"/>
    <w:rsid w:val="005864EE"/>
    <w:rsid w:val="0059072B"/>
    <w:rsid w:val="00593E5A"/>
    <w:rsid w:val="00593F6E"/>
    <w:rsid w:val="00594719"/>
    <w:rsid w:val="005947A4"/>
    <w:rsid w:val="005A119A"/>
    <w:rsid w:val="005A21DC"/>
    <w:rsid w:val="005A2752"/>
    <w:rsid w:val="005A43BA"/>
    <w:rsid w:val="005A4483"/>
    <w:rsid w:val="005B09BF"/>
    <w:rsid w:val="005B21AB"/>
    <w:rsid w:val="005B3DCB"/>
    <w:rsid w:val="005B516B"/>
    <w:rsid w:val="005B583F"/>
    <w:rsid w:val="005C22EB"/>
    <w:rsid w:val="005C2CE1"/>
    <w:rsid w:val="005C485C"/>
    <w:rsid w:val="005C5E79"/>
    <w:rsid w:val="005C5F96"/>
    <w:rsid w:val="005C6189"/>
    <w:rsid w:val="005C6346"/>
    <w:rsid w:val="005D5014"/>
    <w:rsid w:val="005D54CD"/>
    <w:rsid w:val="005D566B"/>
    <w:rsid w:val="005D5CF0"/>
    <w:rsid w:val="005D6B61"/>
    <w:rsid w:val="005E0FB6"/>
    <w:rsid w:val="005E25BB"/>
    <w:rsid w:val="005E2A68"/>
    <w:rsid w:val="005E2EA4"/>
    <w:rsid w:val="005E5640"/>
    <w:rsid w:val="005E6DBB"/>
    <w:rsid w:val="005F1D87"/>
    <w:rsid w:val="005F24AD"/>
    <w:rsid w:val="005F5B60"/>
    <w:rsid w:val="005F684F"/>
    <w:rsid w:val="00600F0A"/>
    <w:rsid w:val="006046B3"/>
    <w:rsid w:val="006049B2"/>
    <w:rsid w:val="006172C5"/>
    <w:rsid w:val="006200C6"/>
    <w:rsid w:val="006218DD"/>
    <w:rsid w:val="00622A96"/>
    <w:rsid w:val="00622D7E"/>
    <w:rsid w:val="006242FE"/>
    <w:rsid w:val="00624C6C"/>
    <w:rsid w:val="0062723A"/>
    <w:rsid w:val="00627A7B"/>
    <w:rsid w:val="00631508"/>
    <w:rsid w:val="00632272"/>
    <w:rsid w:val="00632BC8"/>
    <w:rsid w:val="0063699E"/>
    <w:rsid w:val="00637AE7"/>
    <w:rsid w:val="006406C6"/>
    <w:rsid w:val="006445F6"/>
    <w:rsid w:val="006450E5"/>
    <w:rsid w:val="006458C2"/>
    <w:rsid w:val="00646BFB"/>
    <w:rsid w:val="00650BBE"/>
    <w:rsid w:val="00650C0D"/>
    <w:rsid w:val="00651C1E"/>
    <w:rsid w:val="00652204"/>
    <w:rsid w:val="006528B5"/>
    <w:rsid w:val="006536D8"/>
    <w:rsid w:val="006538EF"/>
    <w:rsid w:val="0065443D"/>
    <w:rsid w:val="00656652"/>
    <w:rsid w:val="00657CB8"/>
    <w:rsid w:val="00657DDD"/>
    <w:rsid w:val="0066198B"/>
    <w:rsid w:val="00662F3A"/>
    <w:rsid w:val="006644CE"/>
    <w:rsid w:val="00665A2B"/>
    <w:rsid w:val="00665DB1"/>
    <w:rsid w:val="00666785"/>
    <w:rsid w:val="00670A00"/>
    <w:rsid w:val="00671C97"/>
    <w:rsid w:val="00673246"/>
    <w:rsid w:val="006749FB"/>
    <w:rsid w:val="00674A4C"/>
    <w:rsid w:val="00675CCF"/>
    <w:rsid w:val="0067627D"/>
    <w:rsid w:val="00677DEC"/>
    <w:rsid w:val="00681F4D"/>
    <w:rsid w:val="00681FDF"/>
    <w:rsid w:val="00682E2F"/>
    <w:rsid w:val="00684FEA"/>
    <w:rsid w:val="006857BC"/>
    <w:rsid w:val="00685809"/>
    <w:rsid w:val="00687754"/>
    <w:rsid w:val="00690B83"/>
    <w:rsid w:val="00692AA6"/>
    <w:rsid w:val="00693295"/>
    <w:rsid w:val="00694076"/>
    <w:rsid w:val="0069533B"/>
    <w:rsid w:val="006957B1"/>
    <w:rsid w:val="006960AD"/>
    <w:rsid w:val="0069612F"/>
    <w:rsid w:val="006A166D"/>
    <w:rsid w:val="006A17E2"/>
    <w:rsid w:val="006A451F"/>
    <w:rsid w:val="006B528B"/>
    <w:rsid w:val="006B6E24"/>
    <w:rsid w:val="006C2117"/>
    <w:rsid w:val="006C6535"/>
    <w:rsid w:val="006D0466"/>
    <w:rsid w:val="006D0939"/>
    <w:rsid w:val="006D175B"/>
    <w:rsid w:val="006D5FDC"/>
    <w:rsid w:val="006D5FE7"/>
    <w:rsid w:val="006D61DB"/>
    <w:rsid w:val="006D7634"/>
    <w:rsid w:val="006D7C26"/>
    <w:rsid w:val="006E02A3"/>
    <w:rsid w:val="006E13B9"/>
    <w:rsid w:val="006E162A"/>
    <w:rsid w:val="006E2DCC"/>
    <w:rsid w:val="006E4D8A"/>
    <w:rsid w:val="006F0462"/>
    <w:rsid w:val="006F3884"/>
    <w:rsid w:val="006F58C4"/>
    <w:rsid w:val="00700033"/>
    <w:rsid w:val="00701B12"/>
    <w:rsid w:val="00702169"/>
    <w:rsid w:val="00706EC4"/>
    <w:rsid w:val="00707748"/>
    <w:rsid w:val="007103A2"/>
    <w:rsid w:val="00710716"/>
    <w:rsid w:val="00710969"/>
    <w:rsid w:val="00711A32"/>
    <w:rsid w:val="00711AD2"/>
    <w:rsid w:val="00716EC3"/>
    <w:rsid w:val="00717087"/>
    <w:rsid w:val="007206EC"/>
    <w:rsid w:val="007208F7"/>
    <w:rsid w:val="00721931"/>
    <w:rsid w:val="0072307F"/>
    <w:rsid w:val="00727184"/>
    <w:rsid w:val="0073053B"/>
    <w:rsid w:val="0073171D"/>
    <w:rsid w:val="0073370B"/>
    <w:rsid w:val="00736972"/>
    <w:rsid w:val="00737196"/>
    <w:rsid w:val="00740254"/>
    <w:rsid w:val="00744923"/>
    <w:rsid w:val="007461E6"/>
    <w:rsid w:val="0074667E"/>
    <w:rsid w:val="00747DCD"/>
    <w:rsid w:val="00750401"/>
    <w:rsid w:val="007543AC"/>
    <w:rsid w:val="0076083D"/>
    <w:rsid w:val="00760B79"/>
    <w:rsid w:val="00762203"/>
    <w:rsid w:val="007622CE"/>
    <w:rsid w:val="00763053"/>
    <w:rsid w:val="00765117"/>
    <w:rsid w:val="00765B87"/>
    <w:rsid w:val="0076633A"/>
    <w:rsid w:val="007703F4"/>
    <w:rsid w:val="00771EC3"/>
    <w:rsid w:val="00772612"/>
    <w:rsid w:val="0077484E"/>
    <w:rsid w:val="00780128"/>
    <w:rsid w:val="007815A5"/>
    <w:rsid w:val="007821E9"/>
    <w:rsid w:val="0078255F"/>
    <w:rsid w:val="00787E92"/>
    <w:rsid w:val="00790122"/>
    <w:rsid w:val="007936D8"/>
    <w:rsid w:val="00793E10"/>
    <w:rsid w:val="007952FF"/>
    <w:rsid w:val="00795C16"/>
    <w:rsid w:val="00796EA5"/>
    <w:rsid w:val="007A0BD6"/>
    <w:rsid w:val="007A339E"/>
    <w:rsid w:val="007A4200"/>
    <w:rsid w:val="007A54F9"/>
    <w:rsid w:val="007A58EA"/>
    <w:rsid w:val="007A5E02"/>
    <w:rsid w:val="007A75A9"/>
    <w:rsid w:val="007B02F8"/>
    <w:rsid w:val="007B529B"/>
    <w:rsid w:val="007B6D05"/>
    <w:rsid w:val="007B6E42"/>
    <w:rsid w:val="007C2EB4"/>
    <w:rsid w:val="007C2ECF"/>
    <w:rsid w:val="007C401D"/>
    <w:rsid w:val="007D05A1"/>
    <w:rsid w:val="007D621B"/>
    <w:rsid w:val="007E0B47"/>
    <w:rsid w:val="007E408C"/>
    <w:rsid w:val="007E4642"/>
    <w:rsid w:val="007F0100"/>
    <w:rsid w:val="007F1672"/>
    <w:rsid w:val="007F168E"/>
    <w:rsid w:val="007F2E59"/>
    <w:rsid w:val="007F31BC"/>
    <w:rsid w:val="007F34CF"/>
    <w:rsid w:val="007F4DE8"/>
    <w:rsid w:val="007F79A1"/>
    <w:rsid w:val="007F7A9E"/>
    <w:rsid w:val="007F7C5B"/>
    <w:rsid w:val="007F7EF4"/>
    <w:rsid w:val="00803494"/>
    <w:rsid w:val="00804258"/>
    <w:rsid w:val="00804A5B"/>
    <w:rsid w:val="008054EA"/>
    <w:rsid w:val="00811FE5"/>
    <w:rsid w:val="00812878"/>
    <w:rsid w:val="008140A6"/>
    <w:rsid w:val="0081471B"/>
    <w:rsid w:val="00815138"/>
    <w:rsid w:val="0082392C"/>
    <w:rsid w:val="00823EC7"/>
    <w:rsid w:val="008279DA"/>
    <w:rsid w:val="00830C82"/>
    <w:rsid w:val="0083275F"/>
    <w:rsid w:val="008339F8"/>
    <w:rsid w:val="00835FDC"/>
    <w:rsid w:val="008363EA"/>
    <w:rsid w:val="00840A6A"/>
    <w:rsid w:val="008454D4"/>
    <w:rsid w:val="0084618F"/>
    <w:rsid w:val="0084684D"/>
    <w:rsid w:val="0084702A"/>
    <w:rsid w:val="0085074D"/>
    <w:rsid w:val="008508C7"/>
    <w:rsid w:val="00852C12"/>
    <w:rsid w:val="008645D8"/>
    <w:rsid w:val="0086652C"/>
    <w:rsid w:val="00871C88"/>
    <w:rsid w:val="00872FF9"/>
    <w:rsid w:val="00874F41"/>
    <w:rsid w:val="00875832"/>
    <w:rsid w:val="008779CD"/>
    <w:rsid w:val="008813ED"/>
    <w:rsid w:val="00886820"/>
    <w:rsid w:val="00886C8A"/>
    <w:rsid w:val="00887789"/>
    <w:rsid w:val="008A13B3"/>
    <w:rsid w:val="008A1FB3"/>
    <w:rsid w:val="008A2905"/>
    <w:rsid w:val="008A39B5"/>
    <w:rsid w:val="008A3CD6"/>
    <w:rsid w:val="008A3D0D"/>
    <w:rsid w:val="008A44D8"/>
    <w:rsid w:val="008A7E1A"/>
    <w:rsid w:val="008B07DF"/>
    <w:rsid w:val="008B0A5C"/>
    <w:rsid w:val="008B0B58"/>
    <w:rsid w:val="008B1F43"/>
    <w:rsid w:val="008B2401"/>
    <w:rsid w:val="008B3193"/>
    <w:rsid w:val="008B4F2D"/>
    <w:rsid w:val="008B5CBC"/>
    <w:rsid w:val="008B656A"/>
    <w:rsid w:val="008C085F"/>
    <w:rsid w:val="008C1E55"/>
    <w:rsid w:val="008C2C75"/>
    <w:rsid w:val="008D0C36"/>
    <w:rsid w:val="008D2C68"/>
    <w:rsid w:val="008D46EC"/>
    <w:rsid w:val="008D647D"/>
    <w:rsid w:val="008E1BF5"/>
    <w:rsid w:val="008E543D"/>
    <w:rsid w:val="008F071A"/>
    <w:rsid w:val="00901DEA"/>
    <w:rsid w:val="009046CE"/>
    <w:rsid w:val="00905890"/>
    <w:rsid w:val="00906464"/>
    <w:rsid w:val="00907B44"/>
    <w:rsid w:val="009114EA"/>
    <w:rsid w:val="00916385"/>
    <w:rsid w:val="00926029"/>
    <w:rsid w:val="00927242"/>
    <w:rsid w:val="009342DF"/>
    <w:rsid w:val="0093698B"/>
    <w:rsid w:val="009421C8"/>
    <w:rsid w:val="009422A6"/>
    <w:rsid w:val="00950633"/>
    <w:rsid w:val="009507CC"/>
    <w:rsid w:val="009511CF"/>
    <w:rsid w:val="00953618"/>
    <w:rsid w:val="00957327"/>
    <w:rsid w:val="00957DE3"/>
    <w:rsid w:val="009600B9"/>
    <w:rsid w:val="00960237"/>
    <w:rsid w:val="0096206B"/>
    <w:rsid w:val="00962702"/>
    <w:rsid w:val="00966D0B"/>
    <w:rsid w:val="00970876"/>
    <w:rsid w:val="00974A15"/>
    <w:rsid w:val="009759C6"/>
    <w:rsid w:val="00976BB5"/>
    <w:rsid w:val="00977765"/>
    <w:rsid w:val="009830C9"/>
    <w:rsid w:val="00983B2A"/>
    <w:rsid w:val="00985C46"/>
    <w:rsid w:val="00986DF9"/>
    <w:rsid w:val="00990577"/>
    <w:rsid w:val="00990627"/>
    <w:rsid w:val="00990B9F"/>
    <w:rsid w:val="00991691"/>
    <w:rsid w:val="0099182B"/>
    <w:rsid w:val="0099204C"/>
    <w:rsid w:val="00992493"/>
    <w:rsid w:val="00993347"/>
    <w:rsid w:val="009943DE"/>
    <w:rsid w:val="00994FA0"/>
    <w:rsid w:val="0099641B"/>
    <w:rsid w:val="009971D6"/>
    <w:rsid w:val="009A0118"/>
    <w:rsid w:val="009A07D4"/>
    <w:rsid w:val="009A0F9D"/>
    <w:rsid w:val="009A1B86"/>
    <w:rsid w:val="009A526C"/>
    <w:rsid w:val="009B1EFF"/>
    <w:rsid w:val="009B4B14"/>
    <w:rsid w:val="009B5078"/>
    <w:rsid w:val="009B68D5"/>
    <w:rsid w:val="009B6EBA"/>
    <w:rsid w:val="009B7A80"/>
    <w:rsid w:val="009C0449"/>
    <w:rsid w:val="009C0954"/>
    <w:rsid w:val="009C36DE"/>
    <w:rsid w:val="009C3BD2"/>
    <w:rsid w:val="009C65FB"/>
    <w:rsid w:val="009C7631"/>
    <w:rsid w:val="009D2FD3"/>
    <w:rsid w:val="009D3774"/>
    <w:rsid w:val="009E19E0"/>
    <w:rsid w:val="009E2C04"/>
    <w:rsid w:val="009E341D"/>
    <w:rsid w:val="009E3806"/>
    <w:rsid w:val="009E3A5C"/>
    <w:rsid w:val="009E46CC"/>
    <w:rsid w:val="009E7E84"/>
    <w:rsid w:val="009F0C2F"/>
    <w:rsid w:val="009F0F81"/>
    <w:rsid w:val="009F1A4E"/>
    <w:rsid w:val="009F4AC4"/>
    <w:rsid w:val="009F4E87"/>
    <w:rsid w:val="009F5BC5"/>
    <w:rsid w:val="009F7205"/>
    <w:rsid w:val="009F72E7"/>
    <w:rsid w:val="00A01829"/>
    <w:rsid w:val="00A01DA5"/>
    <w:rsid w:val="00A043CC"/>
    <w:rsid w:val="00A05290"/>
    <w:rsid w:val="00A06ECC"/>
    <w:rsid w:val="00A07518"/>
    <w:rsid w:val="00A1017D"/>
    <w:rsid w:val="00A12511"/>
    <w:rsid w:val="00A1257D"/>
    <w:rsid w:val="00A132AC"/>
    <w:rsid w:val="00A14643"/>
    <w:rsid w:val="00A14BB0"/>
    <w:rsid w:val="00A164C9"/>
    <w:rsid w:val="00A16AF1"/>
    <w:rsid w:val="00A211BB"/>
    <w:rsid w:val="00A2181C"/>
    <w:rsid w:val="00A23919"/>
    <w:rsid w:val="00A251B5"/>
    <w:rsid w:val="00A25E4E"/>
    <w:rsid w:val="00A275D8"/>
    <w:rsid w:val="00A27BE1"/>
    <w:rsid w:val="00A30BAB"/>
    <w:rsid w:val="00A30F98"/>
    <w:rsid w:val="00A3261F"/>
    <w:rsid w:val="00A35547"/>
    <w:rsid w:val="00A36B1B"/>
    <w:rsid w:val="00A373E5"/>
    <w:rsid w:val="00A429AC"/>
    <w:rsid w:val="00A436C3"/>
    <w:rsid w:val="00A4374C"/>
    <w:rsid w:val="00A52FD6"/>
    <w:rsid w:val="00A5335C"/>
    <w:rsid w:val="00A54AFB"/>
    <w:rsid w:val="00A567F3"/>
    <w:rsid w:val="00A606B1"/>
    <w:rsid w:val="00A61094"/>
    <w:rsid w:val="00A61791"/>
    <w:rsid w:val="00A62EB2"/>
    <w:rsid w:val="00A637F1"/>
    <w:rsid w:val="00A64A11"/>
    <w:rsid w:val="00A64A2B"/>
    <w:rsid w:val="00A72E13"/>
    <w:rsid w:val="00A73436"/>
    <w:rsid w:val="00A76127"/>
    <w:rsid w:val="00A765B0"/>
    <w:rsid w:val="00A774D6"/>
    <w:rsid w:val="00A77601"/>
    <w:rsid w:val="00A81223"/>
    <w:rsid w:val="00A81C54"/>
    <w:rsid w:val="00A838A7"/>
    <w:rsid w:val="00A84FFC"/>
    <w:rsid w:val="00A85B3F"/>
    <w:rsid w:val="00A92E1C"/>
    <w:rsid w:val="00A95330"/>
    <w:rsid w:val="00A965DD"/>
    <w:rsid w:val="00AA299B"/>
    <w:rsid w:val="00AA350D"/>
    <w:rsid w:val="00AA4305"/>
    <w:rsid w:val="00AA525E"/>
    <w:rsid w:val="00AA562C"/>
    <w:rsid w:val="00AA7D1C"/>
    <w:rsid w:val="00AA7E5D"/>
    <w:rsid w:val="00AB09E3"/>
    <w:rsid w:val="00AB0C01"/>
    <w:rsid w:val="00AB17B3"/>
    <w:rsid w:val="00AB1F8E"/>
    <w:rsid w:val="00AB3ED9"/>
    <w:rsid w:val="00AB5937"/>
    <w:rsid w:val="00AB6CAC"/>
    <w:rsid w:val="00AB7204"/>
    <w:rsid w:val="00AC10DD"/>
    <w:rsid w:val="00AC2A92"/>
    <w:rsid w:val="00AC34F2"/>
    <w:rsid w:val="00AC39DB"/>
    <w:rsid w:val="00AC4332"/>
    <w:rsid w:val="00AD0B21"/>
    <w:rsid w:val="00AD449C"/>
    <w:rsid w:val="00AD797C"/>
    <w:rsid w:val="00AE03D0"/>
    <w:rsid w:val="00AE2751"/>
    <w:rsid w:val="00AE29BE"/>
    <w:rsid w:val="00AE347C"/>
    <w:rsid w:val="00AE360D"/>
    <w:rsid w:val="00AE3AEB"/>
    <w:rsid w:val="00AE4BD4"/>
    <w:rsid w:val="00AE5C42"/>
    <w:rsid w:val="00AE74E0"/>
    <w:rsid w:val="00AE7A3E"/>
    <w:rsid w:val="00AF3A98"/>
    <w:rsid w:val="00AF3CC7"/>
    <w:rsid w:val="00AF7A7A"/>
    <w:rsid w:val="00B00BA2"/>
    <w:rsid w:val="00B0315D"/>
    <w:rsid w:val="00B056BF"/>
    <w:rsid w:val="00B106FD"/>
    <w:rsid w:val="00B127E2"/>
    <w:rsid w:val="00B17090"/>
    <w:rsid w:val="00B17120"/>
    <w:rsid w:val="00B2032E"/>
    <w:rsid w:val="00B20761"/>
    <w:rsid w:val="00B20817"/>
    <w:rsid w:val="00B20D51"/>
    <w:rsid w:val="00B239E3"/>
    <w:rsid w:val="00B348D8"/>
    <w:rsid w:val="00B36540"/>
    <w:rsid w:val="00B370A9"/>
    <w:rsid w:val="00B37FBE"/>
    <w:rsid w:val="00B420DD"/>
    <w:rsid w:val="00B45181"/>
    <w:rsid w:val="00B45224"/>
    <w:rsid w:val="00B50A7E"/>
    <w:rsid w:val="00B512FB"/>
    <w:rsid w:val="00B51418"/>
    <w:rsid w:val="00B51CAA"/>
    <w:rsid w:val="00B51ED2"/>
    <w:rsid w:val="00B52C04"/>
    <w:rsid w:val="00B531B7"/>
    <w:rsid w:val="00B53313"/>
    <w:rsid w:val="00B539DA"/>
    <w:rsid w:val="00B53FD8"/>
    <w:rsid w:val="00B5494B"/>
    <w:rsid w:val="00B57D51"/>
    <w:rsid w:val="00B6102C"/>
    <w:rsid w:val="00B614F8"/>
    <w:rsid w:val="00B62995"/>
    <w:rsid w:val="00B64985"/>
    <w:rsid w:val="00B657BE"/>
    <w:rsid w:val="00B67544"/>
    <w:rsid w:val="00B67BF2"/>
    <w:rsid w:val="00B7228A"/>
    <w:rsid w:val="00B803FA"/>
    <w:rsid w:val="00B815AC"/>
    <w:rsid w:val="00B81C7A"/>
    <w:rsid w:val="00B81CB3"/>
    <w:rsid w:val="00B85D34"/>
    <w:rsid w:val="00B863F2"/>
    <w:rsid w:val="00B868B8"/>
    <w:rsid w:val="00B90494"/>
    <w:rsid w:val="00B913CF"/>
    <w:rsid w:val="00B91D30"/>
    <w:rsid w:val="00B91DF4"/>
    <w:rsid w:val="00B960B1"/>
    <w:rsid w:val="00B9687C"/>
    <w:rsid w:val="00B97303"/>
    <w:rsid w:val="00B973D6"/>
    <w:rsid w:val="00B97D51"/>
    <w:rsid w:val="00BA196F"/>
    <w:rsid w:val="00BA330D"/>
    <w:rsid w:val="00BA3338"/>
    <w:rsid w:val="00BA4966"/>
    <w:rsid w:val="00BA4A78"/>
    <w:rsid w:val="00BA62A3"/>
    <w:rsid w:val="00BA75B3"/>
    <w:rsid w:val="00BA7AB4"/>
    <w:rsid w:val="00BB0D79"/>
    <w:rsid w:val="00BB2AAD"/>
    <w:rsid w:val="00BB3366"/>
    <w:rsid w:val="00BB33A7"/>
    <w:rsid w:val="00BB5FEC"/>
    <w:rsid w:val="00BB6414"/>
    <w:rsid w:val="00BB6614"/>
    <w:rsid w:val="00BC06A0"/>
    <w:rsid w:val="00BC10C3"/>
    <w:rsid w:val="00BC3DC9"/>
    <w:rsid w:val="00BC4DF3"/>
    <w:rsid w:val="00BD7C8C"/>
    <w:rsid w:val="00BD7CC1"/>
    <w:rsid w:val="00BD7D8B"/>
    <w:rsid w:val="00BE2031"/>
    <w:rsid w:val="00BE2935"/>
    <w:rsid w:val="00BE65AA"/>
    <w:rsid w:val="00BE6CA3"/>
    <w:rsid w:val="00BE7090"/>
    <w:rsid w:val="00BF10B5"/>
    <w:rsid w:val="00BF1F85"/>
    <w:rsid w:val="00BF330B"/>
    <w:rsid w:val="00BF4063"/>
    <w:rsid w:val="00BF443B"/>
    <w:rsid w:val="00BF577D"/>
    <w:rsid w:val="00BF5D1B"/>
    <w:rsid w:val="00BF7D8B"/>
    <w:rsid w:val="00C001B3"/>
    <w:rsid w:val="00C002E4"/>
    <w:rsid w:val="00C0062D"/>
    <w:rsid w:val="00C04999"/>
    <w:rsid w:val="00C06363"/>
    <w:rsid w:val="00C06ADF"/>
    <w:rsid w:val="00C10300"/>
    <w:rsid w:val="00C15066"/>
    <w:rsid w:val="00C153B8"/>
    <w:rsid w:val="00C15B6B"/>
    <w:rsid w:val="00C17DA2"/>
    <w:rsid w:val="00C217B9"/>
    <w:rsid w:val="00C23399"/>
    <w:rsid w:val="00C2527B"/>
    <w:rsid w:val="00C25F48"/>
    <w:rsid w:val="00C27106"/>
    <w:rsid w:val="00C27CDF"/>
    <w:rsid w:val="00C32CA4"/>
    <w:rsid w:val="00C34DAE"/>
    <w:rsid w:val="00C36A45"/>
    <w:rsid w:val="00C36C2D"/>
    <w:rsid w:val="00C36D6C"/>
    <w:rsid w:val="00C36F0E"/>
    <w:rsid w:val="00C3745E"/>
    <w:rsid w:val="00C37D3A"/>
    <w:rsid w:val="00C4318D"/>
    <w:rsid w:val="00C44927"/>
    <w:rsid w:val="00C51308"/>
    <w:rsid w:val="00C5629B"/>
    <w:rsid w:val="00C6219A"/>
    <w:rsid w:val="00C62309"/>
    <w:rsid w:val="00C628FE"/>
    <w:rsid w:val="00C62908"/>
    <w:rsid w:val="00C64D57"/>
    <w:rsid w:val="00C653A1"/>
    <w:rsid w:val="00C72503"/>
    <w:rsid w:val="00C80971"/>
    <w:rsid w:val="00C80D8F"/>
    <w:rsid w:val="00C82261"/>
    <w:rsid w:val="00C85A9C"/>
    <w:rsid w:val="00C9004B"/>
    <w:rsid w:val="00C93225"/>
    <w:rsid w:val="00C9376A"/>
    <w:rsid w:val="00C972F1"/>
    <w:rsid w:val="00CA06C7"/>
    <w:rsid w:val="00CA1F58"/>
    <w:rsid w:val="00CA6569"/>
    <w:rsid w:val="00CA7631"/>
    <w:rsid w:val="00CB38F1"/>
    <w:rsid w:val="00CB44EF"/>
    <w:rsid w:val="00CB4A56"/>
    <w:rsid w:val="00CB545C"/>
    <w:rsid w:val="00CB6D49"/>
    <w:rsid w:val="00CB72F6"/>
    <w:rsid w:val="00CC012A"/>
    <w:rsid w:val="00CC01B5"/>
    <w:rsid w:val="00CC067A"/>
    <w:rsid w:val="00CC07A7"/>
    <w:rsid w:val="00CC0A99"/>
    <w:rsid w:val="00CC1697"/>
    <w:rsid w:val="00CC4603"/>
    <w:rsid w:val="00CC6C89"/>
    <w:rsid w:val="00CC7686"/>
    <w:rsid w:val="00CC7946"/>
    <w:rsid w:val="00CD0978"/>
    <w:rsid w:val="00CD0BB7"/>
    <w:rsid w:val="00CD2685"/>
    <w:rsid w:val="00CD34CB"/>
    <w:rsid w:val="00CD3642"/>
    <w:rsid w:val="00CD435C"/>
    <w:rsid w:val="00CD6033"/>
    <w:rsid w:val="00CD72CC"/>
    <w:rsid w:val="00CE1C65"/>
    <w:rsid w:val="00CE4AD8"/>
    <w:rsid w:val="00CE798E"/>
    <w:rsid w:val="00CE7DE7"/>
    <w:rsid w:val="00CF0310"/>
    <w:rsid w:val="00CF3C8D"/>
    <w:rsid w:val="00CF47C6"/>
    <w:rsid w:val="00CF5DB9"/>
    <w:rsid w:val="00CF63B3"/>
    <w:rsid w:val="00CF6914"/>
    <w:rsid w:val="00CF731E"/>
    <w:rsid w:val="00CF7646"/>
    <w:rsid w:val="00CF7751"/>
    <w:rsid w:val="00CF7CAD"/>
    <w:rsid w:val="00D002BA"/>
    <w:rsid w:val="00D009B8"/>
    <w:rsid w:val="00D01140"/>
    <w:rsid w:val="00D029CA"/>
    <w:rsid w:val="00D03888"/>
    <w:rsid w:val="00D06D17"/>
    <w:rsid w:val="00D07B81"/>
    <w:rsid w:val="00D109DB"/>
    <w:rsid w:val="00D131A8"/>
    <w:rsid w:val="00D1469E"/>
    <w:rsid w:val="00D149E3"/>
    <w:rsid w:val="00D16BBC"/>
    <w:rsid w:val="00D2164D"/>
    <w:rsid w:val="00D225EC"/>
    <w:rsid w:val="00D243A0"/>
    <w:rsid w:val="00D26D88"/>
    <w:rsid w:val="00D31083"/>
    <w:rsid w:val="00D31EC7"/>
    <w:rsid w:val="00D323FD"/>
    <w:rsid w:val="00D32F64"/>
    <w:rsid w:val="00D334AE"/>
    <w:rsid w:val="00D345B5"/>
    <w:rsid w:val="00D3511B"/>
    <w:rsid w:val="00D36602"/>
    <w:rsid w:val="00D36C2A"/>
    <w:rsid w:val="00D42C0A"/>
    <w:rsid w:val="00D46015"/>
    <w:rsid w:val="00D47366"/>
    <w:rsid w:val="00D47FC2"/>
    <w:rsid w:val="00D5005D"/>
    <w:rsid w:val="00D512AC"/>
    <w:rsid w:val="00D5418E"/>
    <w:rsid w:val="00D55458"/>
    <w:rsid w:val="00D5572B"/>
    <w:rsid w:val="00D5573E"/>
    <w:rsid w:val="00D56665"/>
    <w:rsid w:val="00D60E35"/>
    <w:rsid w:val="00D621A8"/>
    <w:rsid w:val="00D62D37"/>
    <w:rsid w:val="00D6312B"/>
    <w:rsid w:val="00D63F50"/>
    <w:rsid w:val="00D65BB6"/>
    <w:rsid w:val="00D66CF2"/>
    <w:rsid w:val="00D677E6"/>
    <w:rsid w:val="00D67823"/>
    <w:rsid w:val="00D67FBB"/>
    <w:rsid w:val="00D708DA"/>
    <w:rsid w:val="00D70BA7"/>
    <w:rsid w:val="00D7204E"/>
    <w:rsid w:val="00D741BC"/>
    <w:rsid w:val="00D74CF0"/>
    <w:rsid w:val="00D76344"/>
    <w:rsid w:val="00D763F3"/>
    <w:rsid w:val="00D76603"/>
    <w:rsid w:val="00D81639"/>
    <w:rsid w:val="00D835A4"/>
    <w:rsid w:val="00D83B07"/>
    <w:rsid w:val="00D856A3"/>
    <w:rsid w:val="00D869FF"/>
    <w:rsid w:val="00D92A1A"/>
    <w:rsid w:val="00D95A67"/>
    <w:rsid w:val="00DA0158"/>
    <w:rsid w:val="00DA0A08"/>
    <w:rsid w:val="00DA1FED"/>
    <w:rsid w:val="00DA2356"/>
    <w:rsid w:val="00DA2A8D"/>
    <w:rsid w:val="00DA42B3"/>
    <w:rsid w:val="00DA4A02"/>
    <w:rsid w:val="00DB14C0"/>
    <w:rsid w:val="00DB75D3"/>
    <w:rsid w:val="00DC00E5"/>
    <w:rsid w:val="00DC1220"/>
    <w:rsid w:val="00DC1596"/>
    <w:rsid w:val="00DC1E42"/>
    <w:rsid w:val="00DC353A"/>
    <w:rsid w:val="00DC5F63"/>
    <w:rsid w:val="00DD1AC8"/>
    <w:rsid w:val="00DD1EF4"/>
    <w:rsid w:val="00DD2274"/>
    <w:rsid w:val="00DD2611"/>
    <w:rsid w:val="00DD3D05"/>
    <w:rsid w:val="00DD4678"/>
    <w:rsid w:val="00DD64B2"/>
    <w:rsid w:val="00DD64E9"/>
    <w:rsid w:val="00DD7563"/>
    <w:rsid w:val="00DE046A"/>
    <w:rsid w:val="00DE0EC4"/>
    <w:rsid w:val="00DE1003"/>
    <w:rsid w:val="00DE1C93"/>
    <w:rsid w:val="00DE3B1F"/>
    <w:rsid w:val="00DE74BC"/>
    <w:rsid w:val="00DF02B4"/>
    <w:rsid w:val="00DF1092"/>
    <w:rsid w:val="00DF2368"/>
    <w:rsid w:val="00DF376A"/>
    <w:rsid w:val="00DF6349"/>
    <w:rsid w:val="00E104CF"/>
    <w:rsid w:val="00E13E2C"/>
    <w:rsid w:val="00E1408B"/>
    <w:rsid w:val="00E16ECD"/>
    <w:rsid w:val="00E222C6"/>
    <w:rsid w:val="00E22788"/>
    <w:rsid w:val="00E242A4"/>
    <w:rsid w:val="00E253B0"/>
    <w:rsid w:val="00E25EF5"/>
    <w:rsid w:val="00E277FC"/>
    <w:rsid w:val="00E30BCA"/>
    <w:rsid w:val="00E30D94"/>
    <w:rsid w:val="00E33275"/>
    <w:rsid w:val="00E33885"/>
    <w:rsid w:val="00E40402"/>
    <w:rsid w:val="00E41524"/>
    <w:rsid w:val="00E441A6"/>
    <w:rsid w:val="00E44AC3"/>
    <w:rsid w:val="00E44B3B"/>
    <w:rsid w:val="00E471D7"/>
    <w:rsid w:val="00E47552"/>
    <w:rsid w:val="00E50405"/>
    <w:rsid w:val="00E50A0E"/>
    <w:rsid w:val="00E51CFA"/>
    <w:rsid w:val="00E51E5C"/>
    <w:rsid w:val="00E526D5"/>
    <w:rsid w:val="00E53845"/>
    <w:rsid w:val="00E54525"/>
    <w:rsid w:val="00E57D79"/>
    <w:rsid w:val="00E57E69"/>
    <w:rsid w:val="00E61B60"/>
    <w:rsid w:val="00E63218"/>
    <w:rsid w:val="00E633F1"/>
    <w:rsid w:val="00E63A07"/>
    <w:rsid w:val="00E63BDC"/>
    <w:rsid w:val="00E64734"/>
    <w:rsid w:val="00E65D47"/>
    <w:rsid w:val="00E65D69"/>
    <w:rsid w:val="00E665C8"/>
    <w:rsid w:val="00E6670C"/>
    <w:rsid w:val="00E6686B"/>
    <w:rsid w:val="00E727BA"/>
    <w:rsid w:val="00E7340D"/>
    <w:rsid w:val="00E73B80"/>
    <w:rsid w:val="00E73E8D"/>
    <w:rsid w:val="00E74130"/>
    <w:rsid w:val="00E75C76"/>
    <w:rsid w:val="00E76E52"/>
    <w:rsid w:val="00E77069"/>
    <w:rsid w:val="00E80ABE"/>
    <w:rsid w:val="00E822C3"/>
    <w:rsid w:val="00E8397E"/>
    <w:rsid w:val="00E86376"/>
    <w:rsid w:val="00E875B8"/>
    <w:rsid w:val="00E91963"/>
    <w:rsid w:val="00E9379D"/>
    <w:rsid w:val="00E93BF2"/>
    <w:rsid w:val="00E94A7E"/>
    <w:rsid w:val="00E95D67"/>
    <w:rsid w:val="00E96444"/>
    <w:rsid w:val="00E9766C"/>
    <w:rsid w:val="00E97CA3"/>
    <w:rsid w:val="00EA052C"/>
    <w:rsid w:val="00EA2B3B"/>
    <w:rsid w:val="00EA3382"/>
    <w:rsid w:val="00EA444A"/>
    <w:rsid w:val="00EB1C5C"/>
    <w:rsid w:val="00EB32B0"/>
    <w:rsid w:val="00EB38C7"/>
    <w:rsid w:val="00EB5829"/>
    <w:rsid w:val="00EC23FB"/>
    <w:rsid w:val="00EC24D6"/>
    <w:rsid w:val="00ED531B"/>
    <w:rsid w:val="00EE03D9"/>
    <w:rsid w:val="00EE1043"/>
    <w:rsid w:val="00EE13F7"/>
    <w:rsid w:val="00EE2D48"/>
    <w:rsid w:val="00EE3A81"/>
    <w:rsid w:val="00EE4CC4"/>
    <w:rsid w:val="00EE4D4E"/>
    <w:rsid w:val="00EE7749"/>
    <w:rsid w:val="00EE7953"/>
    <w:rsid w:val="00EF051A"/>
    <w:rsid w:val="00EF08ED"/>
    <w:rsid w:val="00EF090C"/>
    <w:rsid w:val="00EF0B27"/>
    <w:rsid w:val="00EF0BBF"/>
    <w:rsid w:val="00EF0C13"/>
    <w:rsid w:val="00EF0EF1"/>
    <w:rsid w:val="00EF4397"/>
    <w:rsid w:val="00EF4E06"/>
    <w:rsid w:val="00EF5457"/>
    <w:rsid w:val="00EF668F"/>
    <w:rsid w:val="00F005B7"/>
    <w:rsid w:val="00F0273C"/>
    <w:rsid w:val="00F03DE6"/>
    <w:rsid w:val="00F04251"/>
    <w:rsid w:val="00F061C6"/>
    <w:rsid w:val="00F07494"/>
    <w:rsid w:val="00F10089"/>
    <w:rsid w:val="00F12AB5"/>
    <w:rsid w:val="00F12B45"/>
    <w:rsid w:val="00F12D0E"/>
    <w:rsid w:val="00F13233"/>
    <w:rsid w:val="00F13777"/>
    <w:rsid w:val="00F1417A"/>
    <w:rsid w:val="00F149D1"/>
    <w:rsid w:val="00F16A5F"/>
    <w:rsid w:val="00F17D9B"/>
    <w:rsid w:val="00F21A0F"/>
    <w:rsid w:val="00F22943"/>
    <w:rsid w:val="00F22E6F"/>
    <w:rsid w:val="00F23ED2"/>
    <w:rsid w:val="00F23FAF"/>
    <w:rsid w:val="00F2469B"/>
    <w:rsid w:val="00F24768"/>
    <w:rsid w:val="00F24AAB"/>
    <w:rsid w:val="00F256A4"/>
    <w:rsid w:val="00F2673C"/>
    <w:rsid w:val="00F26A15"/>
    <w:rsid w:val="00F27560"/>
    <w:rsid w:val="00F279F1"/>
    <w:rsid w:val="00F32B35"/>
    <w:rsid w:val="00F330BB"/>
    <w:rsid w:val="00F3433C"/>
    <w:rsid w:val="00F36BA4"/>
    <w:rsid w:val="00F37096"/>
    <w:rsid w:val="00F4294D"/>
    <w:rsid w:val="00F43E00"/>
    <w:rsid w:val="00F44B0E"/>
    <w:rsid w:val="00F45F8F"/>
    <w:rsid w:val="00F465B5"/>
    <w:rsid w:val="00F46626"/>
    <w:rsid w:val="00F46D3A"/>
    <w:rsid w:val="00F47363"/>
    <w:rsid w:val="00F52736"/>
    <w:rsid w:val="00F530E4"/>
    <w:rsid w:val="00F535EC"/>
    <w:rsid w:val="00F53CB3"/>
    <w:rsid w:val="00F54E26"/>
    <w:rsid w:val="00F56207"/>
    <w:rsid w:val="00F5664A"/>
    <w:rsid w:val="00F60685"/>
    <w:rsid w:val="00F625AF"/>
    <w:rsid w:val="00F628DD"/>
    <w:rsid w:val="00F63E29"/>
    <w:rsid w:val="00F63E2D"/>
    <w:rsid w:val="00F64E57"/>
    <w:rsid w:val="00F6610C"/>
    <w:rsid w:val="00F678CC"/>
    <w:rsid w:val="00F67EFE"/>
    <w:rsid w:val="00F67F25"/>
    <w:rsid w:val="00F7282A"/>
    <w:rsid w:val="00F74BE8"/>
    <w:rsid w:val="00F75345"/>
    <w:rsid w:val="00F772C5"/>
    <w:rsid w:val="00F77CAF"/>
    <w:rsid w:val="00F809AA"/>
    <w:rsid w:val="00F81426"/>
    <w:rsid w:val="00F81661"/>
    <w:rsid w:val="00F81802"/>
    <w:rsid w:val="00F836A9"/>
    <w:rsid w:val="00F853BA"/>
    <w:rsid w:val="00F86B52"/>
    <w:rsid w:val="00F86C25"/>
    <w:rsid w:val="00F921AC"/>
    <w:rsid w:val="00F92FB7"/>
    <w:rsid w:val="00F93FA6"/>
    <w:rsid w:val="00F972DF"/>
    <w:rsid w:val="00FA2DF1"/>
    <w:rsid w:val="00FA4694"/>
    <w:rsid w:val="00FA47F7"/>
    <w:rsid w:val="00FA5386"/>
    <w:rsid w:val="00FA662F"/>
    <w:rsid w:val="00FA6991"/>
    <w:rsid w:val="00FA7B47"/>
    <w:rsid w:val="00FB04C9"/>
    <w:rsid w:val="00FB124D"/>
    <w:rsid w:val="00FB1ECE"/>
    <w:rsid w:val="00FB22AE"/>
    <w:rsid w:val="00FB31FA"/>
    <w:rsid w:val="00FB34B5"/>
    <w:rsid w:val="00FB5854"/>
    <w:rsid w:val="00FC2395"/>
    <w:rsid w:val="00FC7B5C"/>
    <w:rsid w:val="00FD1FA9"/>
    <w:rsid w:val="00FD2829"/>
    <w:rsid w:val="00FD2923"/>
    <w:rsid w:val="00FD3787"/>
    <w:rsid w:val="00FD4507"/>
    <w:rsid w:val="00FD59FF"/>
    <w:rsid w:val="00FD6254"/>
    <w:rsid w:val="00FD6751"/>
    <w:rsid w:val="00FD6764"/>
    <w:rsid w:val="00FD72E2"/>
    <w:rsid w:val="00FD73B4"/>
    <w:rsid w:val="00FE3CAF"/>
    <w:rsid w:val="00FE5B3D"/>
    <w:rsid w:val="00FF0702"/>
    <w:rsid w:val="00FF0CCE"/>
    <w:rsid w:val="00FF19F0"/>
    <w:rsid w:val="00FF265E"/>
    <w:rsid w:val="00FF317E"/>
    <w:rsid w:val="00FF3543"/>
    <w:rsid w:val="00FF3E6F"/>
    <w:rsid w:val="00FF5996"/>
    <w:rsid w:val="00FF5CA7"/>
    <w:rsid w:val="00FF7B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5E7E68"/>
  <w15:chartTrackingRefBased/>
  <w15:docId w15:val="{53E02822-0884-4381-ABAC-1D6535ADE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basedOn w:val="Standaard"/>
    <w:link w:val="Kop2Char"/>
    <w:uiPriority w:val="9"/>
    <w:qFormat/>
    <w:rsid w:val="00BA75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APAStyleMainText">
    <w:name w:val="APA Style Main Text"/>
    <w:basedOn w:val="Standaard"/>
    <w:link w:val="APAStyleMainTextChar"/>
    <w:qFormat/>
    <w:rsid w:val="00EF08ED"/>
    <w:pPr>
      <w:tabs>
        <w:tab w:val="left" w:pos="875"/>
      </w:tabs>
      <w:autoSpaceDE w:val="0"/>
      <w:autoSpaceDN w:val="0"/>
      <w:adjustRightInd w:val="0"/>
      <w:spacing w:after="0" w:line="480" w:lineRule="auto"/>
      <w:ind w:firstLine="709"/>
    </w:pPr>
    <w:rPr>
      <w:rFonts w:ascii="Times New Roman" w:eastAsia="Times New Roman" w:hAnsi="Times New Roman" w:cs="Times New Roman"/>
      <w:sz w:val="24"/>
      <w:szCs w:val="24"/>
    </w:rPr>
  </w:style>
  <w:style w:type="character" w:customStyle="1" w:styleId="APAStyleMainTextChar">
    <w:name w:val="APA Style Main Text Char"/>
    <w:basedOn w:val="Standaardalinea-lettertype"/>
    <w:link w:val="APAStyleMainText"/>
    <w:rsid w:val="00EF08ED"/>
    <w:rPr>
      <w:rFonts w:ascii="Times New Roman" w:eastAsia="Times New Roman" w:hAnsi="Times New Roman" w:cs="Times New Roman"/>
      <w:sz w:val="24"/>
      <w:szCs w:val="24"/>
      <w:lang w:val="en-US"/>
    </w:rPr>
  </w:style>
  <w:style w:type="paragraph" w:customStyle="1" w:styleId="APA1stHeading">
    <w:name w:val="APA 1st Heading"/>
    <w:basedOn w:val="Standaard"/>
    <w:link w:val="APA1stHeadingChar"/>
    <w:qFormat/>
    <w:rsid w:val="009511CF"/>
    <w:pPr>
      <w:tabs>
        <w:tab w:val="left" w:pos="875"/>
      </w:tabs>
      <w:autoSpaceDE w:val="0"/>
      <w:autoSpaceDN w:val="0"/>
      <w:adjustRightInd w:val="0"/>
      <w:spacing w:after="0" w:line="480" w:lineRule="auto"/>
      <w:ind w:left="-25" w:firstLine="873"/>
      <w:jc w:val="center"/>
    </w:pPr>
    <w:rPr>
      <w:rFonts w:ascii="Times New Roman" w:eastAsia="Times New Roman" w:hAnsi="Times New Roman" w:cs="Times New Roman"/>
      <w:b/>
      <w:sz w:val="24"/>
      <w:szCs w:val="24"/>
    </w:rPr>
  </w:style>
  <w:style w:type="character" w:customStyle="1" w:styleId="APA1stHeadingChar">
    <w:name w:val="APA 1st Heading Char"/>
    <w:basedOn w:val="Standaardalinea-lettertype"/>
    <w:link w:val="APA1stHeading"/>
    <w:rsid w:val="009511CF"/>
    <w:rPr>
      <w:rFonts w:ascii="Times New Roman" w:eastAsia="Times New Roman" w:hAnsi="Times New Roman" w:cs="Times New Roman"/>
      <w:b/>
      <w:sz w:val="24"/>
      <w:szCs w:val="24"/>
      <w:lang w:val="en-US"/>
    </w:rPr>
  </w:style>
  <w:style w:type="paragraph" w:customStyle="1" w:styleId="APA2ndHeading">
    <w:name w:val="APA 2nd Heading"/>
    <w:basedOn w:val="Standaard"/>
    <w:link w:val="APA2ndHeadingChar"/>
    <w:qFormat/>
    <w:rsid w:val="009511CF"/>
    <w:pPr>
      <w:spacing w:after="0" w:line="480" w:lineRule="auto"/>
    </w:pPr>
    <w:rPr>
      <w:rFonts w:ascii="Times New Roman" w:hAnsi="Times New Roman" w:cs="Times New Roman"/>
      <w:b/>
      <w:sz w:val="24"/>
      <w:szCs w:val="24"/>
    </w:rPr>
  </w:style>
  <w:style w:type="character" w:customStyle="1" w:styleId="APA2ndHeadingChar">
    <w:name w:val="APA 2nd Heading Char"/>
    <w:basedOn w:val="Standaardalinea-lettertype"/>
    <w:link w:val="APA2ndHeading"/>
    <w:rsid w:val="009511CF"/>
    <w:rPr>
      <w:rFonts w:ascii="Times New Roman" w:hAnsi="Times New Roman" w:cs="Times New Roman"/>
      <w:b/>
      <w:sz w:val="24"/>
      <w:szCs w:val="24"/>
      <w:lang w:val="en-US"/>
    </w:rPr>
  </w:style>
  <w:style w:type="paragraph" w:customStyle="1" w:styleId="APA3rdHeading-Indented">
    <w:name w:val="APA 3rd Heading - Indented"/>
    <w:aliases w:val="Bold,Full-stop."/>
    <w:basedOn w:val="Standaard"/>
    <w:link w:val="APA3rdHeading-IndentedChar"/>
    <w:qFormat/>
    <w:rsid w:val="009511CF"/>
    <w:pPr>
      <w:spacing w:after="0" w:line="480" w:lineRule="auto"/>
      <w:ind w:firstLine="708"/>
    </w:pPr>
    <w:rPr>
      <w:rFonts w:ascii="Times New Roman" w:hAnsi="Times New Roman" w:cs="Times New Roman"/>
      <w:b/>
      <w:sz w:val="24"/>
      <w:szCs w:val="24"/>
    </w:rPr>
  </w:style>
  <w:style w:type="character" w:customStyle="1" w:styleId="APA3rdHeading-IndentedChar">
    <w:name w:val="APA 3rd Heading - Indented Char"/>
    <w:aliases w:val="Bold Char,Full-stop. Char"/>
    <w:basedOn w:val="Standaardalinea-lettertype"/>
    <w:link w:val="APA3rdHeading-Indented"/>
    <w:rsid w:val="009511CF"/>
    <w:rPr>
      <w:rFonts w:ascii="Times New Roman" w:hAnsi="Times New Roman" w:cs="Times New Roman"/>
      <w:b/>
      <w:sz w:val="24"/>
      <w:szCs w:val="24"/>
      <w:lang w:val="en-US"/>
    </w:rPr>
  </w:style>
  <w:style w:type="paragraph" w:customStyle="1" w:styleId="APAStyle4thHeading">
    <w:name w:val="APA Style 4th Heading"/>
    <w:basedOn w:val="APAStyleMainText"/>
    <w:link w:val="APAStyle4thHeadingChar"/>
    <w:qFormat/>
    <w:rsid w:val="009511CF"/>
    <w:rPr>
      <w:b/>
      <w:i/>
    </w:rPr>
  </w:style>
  <w:style w:type="character" w:customStyle="1" w:styleId="APAStyle4thHeadingChar">
    <w:name w:val="APA Style 4th Heading Char"/>
    <w:basedOn w:val="APAStyleMainTextChar"/>
    <w:link w:val="APAStyle4thHeading"/>
    <w:rsid w:val="009511CF"/>
    <w:rPr>
      <w:rFonts w:ascii="Times New Roman" w:eastAsia="Times New Roman" w:hAnsi="Times New Roman" w:cs="Times New Roman"/>
      <w:b/>
      <w:i/>
      <w:sz w:val="24"/>
      <w:szCs w:val="24"/>
      <w:lang w:val="en-US"/>
    </w:rPr>
  </w:style>
  <w:style w:type="character" w:styleId="Verwijzingopmerking">
    <w:name w:val="annotation reference"/>
    <w:basedOn w:val="Standaardalinea-lettertype"/>
    <w:uiPriority w:val="99"/>
    <w:unhideWhenUsed/>
    <w:rsid w:val="00D66CF2"/>
    <w:rPr>
      <w:sz w:val="16"/>
      <w:szCs w:val="16"/>
    </w:rPr>
  </w:style>
  <w:style w:type="paragraph" w:styleId="Tekstopmerking">
    <w:name w:val="annotation text"/>
    <w:basedOn w:val="Standaard"/>
    <w:link w:val="TekstopmerkingChar"/>
    <w:uiPriority w:val="99"/>
    <w:unhideWhenUsed/>
    <w:rsid w:val="00D66CF2"/>
    <w:pPr>
      <w:spacing w:line="240" w:lineRule="auto"/>
    </w:pPr>
    <w:rPr>
      <w:sz w:val="20"/>
      <w:szCs w:val="20"/>
    </w:rPr>
  </w:style>
  <w:style w:type="character" w:customStyle="1" w:styleId="TekstopmerkingChar">
    <w:name w:val="Tekst opmerking Char"/>
    <w:basedOn w:val="Standaardalinea-lettertype"/>
    <w:link w:val="Tekstopmerking"/>
    <w:uiPriority w:val="99"/>
    <w:rsid w:val="00D66CF2"/>
    <w:rPr>
      <w:sz w:val="20"/>
      <w:szCs w:val="20"/>
      <w:lang w:val="en-US"/>
    </w:rPr>
  </w:style>
  <w:style w:type="paragraph" w:styleId="Onderwerpvanopmerking">
    <w:name w:val="annotation subject"/>
    <w:basedOn w:val="Tekstopmerking"/>
    <w:next w:val="Tekstopmerking"/>
    <w:link w:val="OnderwerpvanopmerkingChar"/>
    <w:uiPriority w:val="99"/>
    <w:unhideWhenUsed/>
    <w:rsid w:val="00D66CF2"/>
    <w:rPr>
      <w:b/>
      <w:bCs/>
    </w:rPr>
  </w:style>
  <w:style w:type="character" w:customStyle="1" w:styleId="OnderwerpvanopmerkingChar">
    <w:name w:val="Onderwerp van opmerking Char"/>
    <w:basedOn w:val="TekstopmerkingChar"/>
    <w:link w:val="Onderwerpvanopmerking"/>
    <w:uiPriority w:val="99"/>
    <w:rsid w:val="00D66CF2"/>
    <w:rPr>
      <w:b/>
      <w:bCs/>
      <w:sz w:val="20"/>
      <w:szCs w:val="20"/>
      <w:lang w:val="en-US"/>
    </w:rPr>
  </w:style>
  <w:style w:type="paragraph" w:styleId="Ballontekst">
    <w:name w:val="Balloon Text"/>
    <w:basedOn w:val="Standaard"/>
    <w:link w:val="BallontekstChar"/>
    <w:uiPriority w:val="99"/>
    <w:unhideWhenUsed/>
    <w:rsid w:val="00D66CF2"/>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rsid w:val="00D66CF2"/>
    <w:rPr>
      <w:rFonts w:ascii="Segoe UI" w:hAnsi="Segoe UI" w:cs="Segoe UI"/>
      <w:sz w:val="18"/>
      <w:szCs w:val="18"/>
      <w:lang w:val="en-US"/>
    </w:rPr>
  </w:style>
  <w:style w:type="paragraph" w:styleId="Koptekst">
    <w:name w:val="header"/>
    <w:basedOn w:val="Standaard"/>
    <w:link w:val="KoptekstChar"/>
    <w:uiPriority w:val="99"/>
    <w:unhideWhenUsed/>
    <w:rsid w:val="009971D6"/>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9971D6"/>
    <w:rPr>
      <w:lang w:val="en-US"/>
    </w:rPr>
  </w:style>
  <w:style w:type="paragraph" w:styleId="Voettekst">
    <w:name w:val="footer"/>
    <w:basedOn w:val="Standaard"/>
    <w:link w:val="VoettekstChar"/>
    <w:uiPriority w:val="99"/>
    <w:unhideWhenUsed/>
    <w:rsid w:val="009971D6"/>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9971D6"/>
    <w:rPr>
      <w:lang w:val="en-US"/>
    </w:rPr>
  </w:style>
  <w:style w:type="character" w:customStyle="1" w:styleId="APA3rdHeadingChar">
    <w:name w:val="APA 3rd Heading Char"/>
    <w:basedOn w:val="Standaardalinea-lettertype"/>
    <w:link w:val="APA3rdHeading"/>
    <w:locked/>
    <w:rsid w:val="003265B6"/>
    <w:rPr>
      <w:rFonts w:ascii="Times New Roman" w:hAnsi="Times New Roman" w:cs="Times New Roman"/>
      <w:b/>
      <w:sz w:val="24"/>
      <w:szCs w:val="24"/>
    </w:rPr>
  </w:style>
  <w:style w:type="paragraph" w:customStyle="1" w:styleId="APA3rdHeading">
    <w:name w:val="APA 3rd Heading"/>
    <w:basedOn w:val="Standaard"/>
    <w:link w:val="APA3rdHeadingChar"/>
    <w:qFormat/>
    <w:rsid w:val="003265B6"/>
    <w:pPr>
      <w:spacing w:after="0" w:line="480" w:lineRule="auto"/>
      <w:ind w:firstLine="708"/>
    </w:pPr>
    <w:rPr>
      <w:rFonts w:ascii="Times New Roman" w:hAnsi="Times New Roman" w:cs="Times New Roman"/>
      <w:b/>
      <w:sz w:val="24"/>
      <w:szCs w:val="24"/>
    </w:rPr>
  </w:style>
  <w:style w:type="character" w:customStyle="1" w:styleId="Kop2Char">
    <w:name w:val="Kop 2 Char"/>
    <w:basedOn w:val="Standaardalinea-lettertype"/>
    <w:link w:val="Kop2"/>
    <w:uiPriority w:val="9"/>
    <w:rsid w:val="00BA75B3"/>
    <w:rPr>
      <w:rFonts w:ascii="Times New Roman" w:eastAsia="Times New Roman" w:hAnsi="Times New Roman" w:cs="Times New Roman"/>
      <w:b/>
      <w:bCs/>
      <w:sz w:val="36"/>
      <w:szCs w:val="36"/>
    </w:rPr>
  </w:style>
  <w:style w:type="table" w:customStyle="1" w:styleId="1">
    <w:name w:val="Πλέγμα πίνακα1"/>
    <w:basedOn w:val="Standaardtabel"/>
    <w:next w:val="Tabelraster"/>
    <w:uiPriority w:val="39"/>
    <w:rsid w:val="00BA7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
    <w:name w:val="Table Grid"/>
    <w:basedOn w:val="Standaardtabel"/>
    <w:uiPriority w:val="39"/>
    <w:rsid w:val="00BA7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Standaardtabel"/>
    <w:next w:val="Tabelraster"/>
    <w:uiPriority w:val="59"/>
    <w:rsid w:val="00BA75B3"/>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jschrift">
    <w:name w:val="caption"/>
    <w:basedOn w:val="Standaard"/>
    <w:next w:val="Standaard"/>
    <w:uiPriority w:val="35"/>
    <w:unhideWhenUsed/>
    <w:qFormat/>
    <w:rsid w:val="00BA75B3"/>
    <w:pPr>
      <w:spacing w:after="200" w:line="240" w:lineRule="auto"/>
    </w:pPr>
    <w:rPr>
      <w:i/>
      <w:iCs/>
      <w:color w:val="44546A" w:themeColor="text2"/>
      <w:sz w:val="18"/>
      <w:szCs w:val="18"/>
    </w:rPr>
  </w:style>
  <w:style w:type="paragraph" w:styleId="Revisie">
    <w:name w:val="Revision"/>
    <w:hidden/>
    <w:uiPriority w:val="99"/>
    <w:rsid w:val="00BA75B3"/>
    <w:pPr>
      <w:spacing w:after="0" w:line="240" w:lineRule="auto"/>
    </w:pPr>
  </w:style>
  <w:style w:type="table" w:customStyle="1" w:styleId="2">
    <w:name w:val="Πλέγμα πίνακα2"/>
    <w:basedOn w:val="Standaardtabel"/>
    <w:next w:val="Tabelraster"/>
    <w:uiPriority w:val="39"/>
    <w:rsid w:val="00BA75B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Πλέγμα πίνακα3"/>
    <w:basedOn w:val="Standaardtabel"/>
    <w:next w:val="Tabelraster"/>
    <w:uiPriority w:val="39"/>
    <w:rsid w:val="00BA75B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Χωρίς λίστα1"/>
    <w:next w:val="Geenlijst"/>
    <w:uiPriority w:val="99"/>
    <w:semiHidden/>
    <w:unhideWhenUsed/>
    <w:rsid w:val="00BA75B3"/>
  </w:style>
  <w:style w:type="paragraph" w:customStyle="1" w:styleId="11">
    <w:name w:val="Στυλ1"/>
    <w:basedOn w:val="APAStyleMainText"/>
    <w:qFormat/>
    <w:rsid w:val="00BA75B3"/>
  </w:style>
  <w:style w:type="paragraph" w:styleId="Voetnoottekst">
    <w:name w:val="footnote text"/>
    <w:basedOn w:val="Standaard"/>
    <w:link w:val="VoetnoottekstChar"/>
    <w:uiPriority w:val="99"/>
    <w:unhideWhenUsed/>
    <w:rsid w:val="00BA75B3"/>
    <w:pPr>
      <w:spacing w:after="0" w:line="240" w:lineRule="auto"/>
    </w:pPr>
    <w:rPr>
      <w:sz w:val="20"/>
      <w:szCs w:val="20"/>
    </w:rPr>
  </w:style>
  <w:style w:type="character" w:customStyle="1" w:styleId="VoetnoottekstChar">
    <w:name w:val="Voetnoottekst Char"/>
    <w:basedOn w:val="Standaardalinea-lettertype"/>
    <w:link w:val="Voetnoottekst"/>
    <w:uiPriority w:val="99"/>
    <w:rsid w:val="00BA75B3"/>
    <w:rPr>
      <w:sz w:val="20"/>
      <w:szCs w:val="20"/>
      <w:lang w:val="en-US"/>
    </w:rPr>
  </w:style>
  <w:style w:type="character" w:styleId="Voetnootmarkering">
    <w:name w:val="footnote reference"/>
    <w:basedOn w:val="Standaardalinea-lettertype"/>
    <w:uiPriority w:val="99"/>
    <w:unhideWhenUsed/>
    <w:rsid w:val="00BA75B3"/>
    <w:rPr>
      <w:vertAlign w:val="superscript"/>
    </w:rPr>
  </w:style>
  <w:style w:type="table" w:customStyle="1" w:styleId="TableGrid31">
    <w:name w:val="Table Grid31"/>
    <w:basedOn w:val="Standaardtabel"/>
    <w:next w:val="Tabelraster"/>
    <w:uiPriority w:val="59"/>
    <w:rsid w:val="00BA75B3"/>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Πλέγμα πίνακα4"/>
    <w:basedOn w:val="Standaardtabel"/>
    <w:next w:val="Tabelraster"/>
    <w:uiPriority w:val="39"/>
    <w:rsid w:val="00BA7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nkrckgcgsb">
    <w:name w:val="gnkrckgcgsb"/>
    <w:basedOn w:val="Standaardalinea-lettertype"/>
    <w:rsid w:val="00BA75B3"/>
  </w:style>
  <w:style w:type="table" w:customStyle="1" w:styleId="110">
    <w:name w:val="Πλέγμα πίνακα11"/>
    <w:basedOn w:val="Standaardtabel"/>
    <w:next w:val="Tabelraster"/>
    <w:uiPriority w:val="39"/>
    <w:rsid w:val="00BA7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BA75B3"/>
    <w:pPr>
      <w:ind w:left="720"/>
      <w:contextualSpacing/>
    </w:pPr>
  </w:style>
  <w:style w:type="character" w:styleId="Hyperlink">
    <w:name w:val="Hyperlink"/>
    <w:basedOn w:val="Standaardalinea-lettertype"/>
    <w:uiPriority w:val="99"/>
    <w:unhideWhenUsed/>
    <w:rsid w:val="00BA75B3"/>
    <w:rPr>
      <w:color w:val="0563C1" w:themeColor="hyperlink"/>
      <w:u w:val="single"/>
    </w:rPr>
  </w:style>
  <w:style w:type="character" w:styleId="Eindnootmarkering">
    <w:name w:val="endnote reference"/>
    <w:basedOn w:val="Standaardalinea-lettertype"/>
    <w:uiPriority w:val="99"/>
    <w:unhideWhenUsed/>
    <w:rsid w:val="00BA75B3"/>
    <w:rPr>
      <w:vertAlign w:val="superscript"/>
    </w:rPr>
  </w:style>
  <w:style w:type="table" w:customStyle="1" w:styleId="21">
    <w:name w:val="Πλέγμα πίνακα21"/>
    <w:basedOn w:val="Standaardtabel"/>
    <w:next w:val="Tabelraster"/>
    <w:uiPriority w:val="39"/>
    <w:rsid w:val="00BA75B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Χωρίς λίστα11"/>
    <w:next w:val="Geenlijst"/>
    <w:uiPriority w:val="99"/>
    <w:semiHidden/>
    <w:unhideWhenUsed/>
    <w:rsid w:val="00BA75B3"/>
  </w:style>
  <w:style w:type="paragraph" w:customStyle="1" w:styleId="msonormal0">
    <w:name w:val="msonormal"/>
    <w:basedOn w:val="Standaard"/>
    <w:rsid w:val="00BA75B3"/>
    <w:pPr>
      <w:spacing w:before="240" w:after="240" w:line="240" w:lineRule="auto"/>
    </w:pPr>
    <w:rPr>
      <w:rFonts w:ascii="Times New Roman" w:eastAsia="Times New Roman" w:hAnsi="Times New Roman" w:cs="Times New Roman"/>
      <w:sz w:val="24"/>
      <w:szCs w:val="24"/>
    </w:rPr>
  </w:style>
  <w:style w:type="paragraph" w:styleId="Normaalweb">
    <w:name w:val="Normal (Web)"/>
    <w:basedOn w:val="Standaard"/>
    <w:uiPriority w:val="99"/>
    <w:unhideWhenUsed/>
    <w:rsid w:val="00BA75B3"/>
    <w:pPr>
      <w:spacing w:before="240" w:after="240" w:line="240" w:lineRule="auto"/>
    </w:pPr>
    <w:rPr>
      <w:rFonts w:ascii="Times New Roman" w:eastAsia="Times New Roman" w:hAnsi="Times New Roman" w:cs="Times New Roman"/>
      <w:sz w:val="24"/>
      <w:szCs w:val="24"/>
    </w:rPr>
  </w:style>
  <w:style w:type="numbering" w:customStyle="1" w:styleId="20">
    <w:name w:val="Χωρίς λίστα2"/>
    <w:next w:val="Geenlijst"/>
    <w:uiPriority w:val="99"/>
    <w:semiHidden/>
    <w:unhideWhenUsed/>
    <w:rsid w:val="00BA75B3"/>
  </w:style>
  <w:style w:type="numbering" w:customStyle="1" w:styleId="30">
    <w:name w:val="Χωρίς λίστα3"/>
    <w:next w:val="Geenlijst"/>
    <w:uiPriority w:val="99"/>
    <w:semiHidden/>
    <w:unhideWhenUsed/>
    <w:rsid w:val="00BA75B3"/>
  </w:style>
  <w:style w:type="numbering" w:customStyle="1" w:styleId="40">
    <w:name w:val="Χωρίς λίστα4"/>
    <w:next w:val="Geenlijst"/>
    <w:uiPriority w:val="99"/>
    <w:semiHidden/>
    <w:unhideWhenUsed/>
    <w:rsid w:val="00BA75B3"/>
  </w:style>
  <w:style w:type="numbering" w:customStyle="1" w:styleId="5">
    <w:name w:val="Χωρίς λίστα5"/>
    <w:next w:val="Geenlijst"/>
    <w:uiPriority w:val="99"/>
    <w:semiHidden/>
    <w:unhideWhenUsed/>
    <w:rsid w:val="00BA75B3"/>
  </w:style>
  <w:style w:type="numbering" w:customStyle="1" w:styleId="6">
    <w:name w:val="Χωρίς λίστα6"/>
    <w:next w:val="Geenlijst"/>
    <w:uiPriority w:val="99"/>
    <w:semiHidden/>
    <w:unhideWhenUsed/>
    <w:rsid w:val="00BA75B3"/>
  </w:style>
  <w:style w:type="numbering" w:customStyle="1" w:styleId="7">
    <w:name w:val="Χωρίς λίστα7"/>
    <w:next w:val="Geenlijst"/>
    <w:uiPriority w:val="99"/>
    <w:semiHidden/>
    <w:unhideWhenUsed/>
    <w:rsid w:val="00BA75B3"/>
  </w:style>
  <w:style w:type="table" w:customStyle="1" w:styleId="31">
    <w:name w:val="Πλέγμα πίνακα31"/>
    <w:basedOn w:val="Standaardtabel"/>
    <w:next w:val="Tabelraster"/>
    <w:uiPriority w:val="39"/>
    <w:rsid w:val="00BA7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Χωρίς λίστα111"/>
    <w:next w:val="Geenlijst"/>
    <w:uiPriority w:val="99"/>
    <w:semiHidden/>
    <w:unhideWhenUsed/>
    <w:rsid w:val="00BA75B3"/>
  </w:style>
  <w:style w:type="numbering" w:customStyle="1" w:styleId="210">
    <w:name w:val="Χωρίς λίστα21"/>
    <w:next w:val="Geenlijst"/>
    <w:uiPriority w:val="99"/>
    <w:semiHidden/>
    <w:unhideWhenUsed/>
    <w:rsid w:val="00BA75B3"/>
  </w:style>
  <w:style w:type="numbering" w:customStyle="1" w:styleId="310">
    <w:name w:val="Χωρίς λίστα31"/>
    <w:next w:val="Geenlijst"/>
    <w:uiPriority w:val="99"/>
    <w:semiHidden/>
    <w:unhideWhenUsed/>
    <w:rsid w:val="00BA75B3"/>
  </w:style>
  <w:style w:type="numbering" w:customStyle="1" w:styleId="41">
    <w:name w:val="Χωρίς λίστα41"/>
    <w:next w:val="Geenlijst"/>
    <w:uiPriority w:val="99"/>
    <w:semiHidden/>
    <w:unhideWhenUsed/>
    <w:rsid w:val="00BA75B3"/>
  </w:style>
  <w:style w:type="numbering" w:customStyle="1" w:styleId="51">
    <w:name w:val="Χωρίς λίστα51"/>
    <w:next w:val="Geenlijst"/>
    <w:uiPriority w:val="99"/>
    <w:semiHidden/>
    <w:unhideWhenUsed/>
    <w:rsid w:val="00BA75B3"/>
  </w:style>
  <w:style w:type="numbering" w:customStyle="1" w:styleId="61">
    <w:name w:val="Χωρίς λίστα61"/>
    <w:next w:val="Geenlijst"/>
    <w:uiPriority w:val="99"/>
    <w:semiHidden/>
    <w:unhideWhenUsed/>
    <w:rsid w:val="00BA75B3"/>
  </w:style>
  <w:style w:type="numbering" w:customStyle="1" w:styleId="8">
    <w:name w:val="Χωρίς λίστα8"/>
    <w:next w:val="Geenlijst"/>
    <w:uiPriority w:val="99"/>
    <w:semiHidden/>
    <w:unhideWhenUsed/>
    <w:rsid w:val="00BA75B3"/>
  </w:style>
  <w:style w:type="numbering" w:customStyle="1" w:styleId="9">
    <w:name w:val="Χωρίς λίστα9"/>
    <w:next w:val="Geenlijst"/>
    <w:uiPriority w:val="99"/>
    <w:semiHidden/>
    <w:unhideWhenUsed/>
    <w:rsid w:val="00BA75B3"/>
  </w:style>
  <w:style w:type="numbering" w:customStyle="1" w:styleId="100">
    <w:name w:val="Χωρίς λίστα10"/>
    <w:next w:val="Geenlijst"/>
    <w:uiPriority w:val="99"/>
    <w:semiHidden/>
    <w:unhideWhenUsed/>
    <w:rsid w:val="00BA75B3"/>
  </w:style>
  <w:style w:type="numbering" w:customStyle="1" w:styleId="12">
    <w:name w:val="Χωρίς λίστα12"/>
    <w:next w:val="Geenlijst"/>
    <w:uiPriority w:val="99"/>
    <w:semiHidden/>
    <w:unhideWhenUsed/>
    <w:rsid w:val="00BA75B3"/>
  </w:style>
  <w:style w:type="numbering" w:customStyle="1" w:styleId="13">
    <w:name w:val="Χωρίς λίστα13"/>
    <w:next w:val="Geenlijst"/>
    <w:uiPriority w:val="99"/>
    <w:semiHidden/>
    <w:unhideWhenUsed/>
    <w:rsid w:val="00BA75B3"/>
  </w:style>
  <w:style w:type="character" w:styleId="Onopgelostemelding">
    <w:name w:val="Unresolved Mention"/>
    <w:basedOn w:val="Standaardalinea-lettertype"/>
    <w:uiPriority w:val="99"/>
    <w:semiHidden/>
    <w:unhideWhenUsed/>
    <w:rsid w:val="001D392E"/>
    <w:rPr>
      <w:color w:val="605E5C"/>
      <w:shd w:val="clear" w:color="auto" w:fill="E1DFDD"/>
    </w:rPr>
  </w:style>
  <w:style w:type="numbering" w:customStyle="1" w:styleId="NoList1">
    <w:name w:val="No List1"/>
    <w:next w:val="Geenlijst"/>
    <w:uiPriority w:val="99"/>
    <w:semiHidden/>
    <w:unhideWhenUsed/>
    <w:rsid w:val="00CF7751"/>
  </w:style>
  <w:style w:type="paragraph" w:styleId="Bibliografie">
    <w:name w:val="Bibliography"/>
    <w:basedOn w:val="Standaard"/>
    <w:next w:val="Standaard"/>
    <w:uiPriority w:val="37"/>
    <w:unhideWhenUsed/>
    <w:rsid w:val="00CF7751"/>
    <w:rPr>
      <w:rFonts w:ascii="Calibri" w:eastAsia="Calibri" w:hAnsi="Calibri" w:cs="SimSun"/>
    </w:rPr>
  </w:style>
  <w:style w:type="table" w:customStyle="1" w:styleId="120">
    <w:name w:val="Πλέγμα πίνακα12"/>
    <w:basedOn w:val="Standaardtabel"/>
    <w:next w:val="Tabelraster"/>
    <w:uiPriority w:val="39"/>
    <w:rsid w:val="00CF7751"/>
    <w:pPr>
      <w:spacing w:after="0" w:line="240" w:lineRule="auto"/>
    </w:pPr>
    <w:rPr>
      <w:rFonts w:ascii="Calibri" w:eastAsia="Calibri" w:hAnsi="Calibri" w:cs="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Standaardtabel"/>
    <w:next w:val="Tabelraster"/>
    <w:uiPriority w:val="39"/>
    <w:rsid w:val="00CF7751"/>
    <w:pPr>
      <w:spacing w:after="0" w:line="240" w:lineRule="auto"/>
    </w:pPr>
    <w:rPr>
      <w:rFonts w:ascii="Calibri" w:eastAsia="Calibri" w:hAnsi="Calibri" w:cs="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Standaardtabel"/>
    <w:next w:val="Tabelraster"/>
    <w:uiPriority w:val="59"/>
    <w:rsid w:val="00CF7751"/>
    <w:pPr>
      <w:spacing w:after="0" w:line="240" w:lineRule="auto"/>
    </w:pPr>
    <w:rPr>
      <w:rFonts w:ascii="Calibri" w:eastAsia="Calibri" w:hAnsi="Calibri" w:cs="SimSun"/>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Χωρίς λίστα14"/>
    <w:next w:val="Geenlijst"/>
    <w:uiPriority w:val="99"/>
    <w:rsid w:val="00CF7751"/>
  </w:style>
  <w:style w:type="table" w:customStyle="1" w:styleId="TableGrid311">
    <w:name w:val="Table Grid311"/>
    <w:basedOn w:val="Standaardtabel"/>
    <w:next w:val="Tabelraster"/>
    <w:uiPriority w:val="59"/>
    <w:rsid w:val="00CF7751"/>
    <w:pPr>
      <w:spacing w:after="0" w:line="240" w:lineRule="auto"/>
    </w:pPr>
    <w:rPr>
      <w:rFonts w:ascii="Calibri" w:eastAsia="Calibri" w:hAnsi="Calibri" w:cs="SimSun"/>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Πλέγμα πίνακα41"/>
    <w:basedOn w:val="Standaardtabel"/>
    <w:next w:val="Tabelraster"/>
    <w:uiPriority w:val="39"/>
    <w:rsid w:val="00CF7751"/>
    <w:pPr>
      <w:spacing w:after="0" w:line="240" w:lineRule="auto"/>
    </w:pPr>
    <w:rPr>
      <w:rFonts w:ascii="Calibri" w:eastAsia="Calibri" w:hAnsi="Calibri" w:cs="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Πλέγμα πίνακα111"/>
    <w:basedOn w:val="Standaardtabel"/>
    <w:next w:val="Tabelraster"/>
    <w:uiPriority w:val="39"/>
    <w:rsid w:val="00CF7751"/>
    <w:pPr>
      <w:spacing w:after="0" w:line="240" w:lineRule="auto"/>
    </w:pPr>
    <w:rPr>
      <w:rFonts w:ascii="Calibri" w:eastAsia="Calibri" w:hAnsi="Calibri" w:cs="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Χωρίς λίστα112"/>
    <w:next w:val="Geenlijst"/>
    <w:uiPriority w:val="99"/>
    <w:rsid w:val="00CF7751"/>
  </w:style>
  <w:style w:type="numbering" w:customStyle="1" w:styleId="22">
    <w:name w:val="Χωρίς λίστα22"/>
    <w:next w:val="Geenlijst"/>
    <w:uiPriority w:val="99"/>
    <w:rsid w:val="00CF7751"/>
  </w:style>
  <w:style w:type="numbering" w:customStyle="1" w:styleId="32">
    <w:name w:val="Χωρίς λίστα32"/>
    <w:next w:val="Geenlijst"/>
    <w:uiPriority w:val="99"/>
    <w:rsid w:val="00CF7751"/>
  </w:style>
  <w:style w:type="numbering" w:customStyle="1" w:styleId="42">
    <w:name w:val="Χωρίς λίστα42"/>
    <w:next w:val="Geenlijst"/>
    <w:uiPriority w:val="99"/>
    <w:rsid w:val="00CF7751"/>
  </w:style>
  <w:style w:type="numbering" w:customStyle="1" w:styleId="52">
    <w:name w:val="Χωρίς λίστα52"/>
    <w:next w:val="Geenlijst"/>
    <w:uiPriority w:val="99"/>
    <w:rsid w:val="00CF7751"/>
  </w:style>
  <w:style w:type="numbering" w:customStyle="1" w:styleId="62">
    <w:name w:val="Χωρίς λίστα62"/>
    <w:next w:val="Geenlijst"/>
    <w:uiPriority w:val="99"/>
    <w:rsid w:val="00CF7751"/>
  </w:style>
  <w:style w:type="numbering" w:customStyle="1" w:styleId="71">
    <w:name w:val="Χωρίς λίστα71"/>
    <w:next w:val="Geenlijst"/>
    <w:uiPriority w:val="99"/>
    <w:rsid w:val="00CF7751"/>
  </w:style>
  <w:style w:type="table" w:customStyle="1" w:styleId="311">
    <w:name w:val="Πλέγμα πίνακα311"/>
    <w:basedOn w:val="Standaardtabel"/>
    <w:next w:val="Tabelraster"/>
    <w:uiPriority w:val="39"/>
    <w:rsid w:val="00CF7751"/>
    <w:pPr>
      <w:spacing w:after="0" w:line="240" w:lineRule="auto"/>
    </w:pPr>
    <w:rPr>
      <w:rFonts w:ascii="Calibri" w:eastAsia="Calibri" w:hAnsi="Calibri" w:cs="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Χωρίς λίστα1111"/>
    <w:next w:val="Geenlijst"/>
    <w:uiPriority w:val="99"/>
    <w:rsid w:val="00CF7751"/>
  </w:style>
  <w:style w:type="numbering" w:customStyle="1" w:styleId="211">
    <w:name w:val="Χωρίς λίστα211"/>
    <w:next w:val="Geenlijst"/>
    <w:uiPriority w:val="99"/>
    <w:rsid w:val="00CF7751"/>
  </w:style>
  <w:style w:type="numbering" w:customStyle="1" w:styleId="3110">
    <w:name w:val="Χωρίς λίστα311"/>
    <w:next w:val="Geenlijst"/>
    <w:uiPriority w:val="99"/>
    <w:rsid w:val="00CF7751"/>
  </w:style>
  <w:style w:type="numbering" w:customStyle="1" w:styleId="411">
    <w:name w:val="Χωρίς λίστα411"/>
    <w:next w:val="Geenlijst"/>
    <w:uiPriority w:val="99"/>
    <w:rsid w:val="00CF7751"/>
  </w:style>
  <w:style w:type="numbering" w:customStyle="1" w:styleId="511">
    <w:name w:val="Χωρίς λίστα511"/>
    <w:next w:val="Geenlijst"/>
    <w:uiPriority w:val="99"/>
    <w:rsid w:val="00CF7751"/>
  </w:style>
  <w:style w:type="numbering" w:customStyle="1" w:styleId="611">
    <w:name w:val="Χωρίς λίστα611"/>
    <w:next w:val="Geenlijst"/>
    <w:uiPriority w:val="99"/>
    <w:rsid w:val="00CF7751"/>
  </w:style>
  <w:style w:type="numbering" w:customStyle="1" w:styleId="81">
    <w:name w:val="Χωρίς λίστα81"/>
    <w:next w:val="Geenlijst"/>
    <w:uiPriority w:val="99"/>
    <w:rsid w:val="00CF7751"/>
  </w:style>
  <w:style w:type="numbering" w:customStyle="1" w:styleId="91">
    <w:name w:val="Χωρίς λίστα91"/>
    <w:next w:val="Geenlijst"/>
    <w:uiPriority w:val="99"/>
    <w:rsid w:val="00CF7751"/>
  </w:style>
  <w:style w:type="numbering" w:customStyle="1" w:styleId="101">
    <w:name w:val="Χωρίς λίστα101"/>
    <w:next w:val="Geenlijst"/>
    <w:uiPriority w:val="99"/>
    <w:rsid w:val="00CF7751"/>
  </w:style>
  <w:style w:type="numbering" w:customStyle="1" w:styleId="121">
    <w:name w:val="Χωρίς λίστα121"/>
    <w:next w:val="Geenlijst"/>
    <w:uiPriority w:val="99"/>
    <w:rsid w:val="00CF7751"/>
  </w:style>
  <w:style w:type="numbering" w:customStyle="1" w:styleId="131">
    <w:name w:val="Χωρίς λίστα131"/>
    <w:next w:val="Geenlijst"/>
    <w:uiPriority w:val="99"/>
    <w:rsid w:val="00CF77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2609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astrotheodoros@uu.n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onlinelibrary.wiley.com/journal/15455300"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DBFD0A-FB4C-4490-BB95-A54EC52735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36404</Words>
  <Characters>200224</Characters>
  <Application>Microsoft Office Word</Application>
  <DocSecurity>0</DocSecurity>
  <Lines>1668</Lines>
  <Paragraphs>472</Paragraphs>
  <ScaleCrop>false</ScaleCrop>
  <HeadingPairs>
    <vt:vector size="6" baseType="variant">
      <vt:variant>
        <vt:lpstr>Title</vt:lpstr>
      </vt:variant>
      <vt:variant>
        <vt:i4>1</vt:i4>
      </vt:variant>
      <vt:variant>
        <vt:lpstr>Titel</vt:lpstr>
      </vt:variant>
      <vt:variant>
        <vt:i4>1</vt:i4>
      </vt:variant>
      <vt:variant>
        <vt:lpstr>Τίτλος</vt:lpstr>
      </vt:variant>
      <vt:variant>
        <vt:i4>1</vt:i4>
      </vt:variant>
    </vt:vector>
  </HeadingPairs>
  <TitlesOfParts>
    <vt:vector size="3" baseType="lpstr">
      <vt:lpstr/>
      <vt:lpstr/>
      <vt:lpstr/>
    </vt:vector>
  </TitlesOfParts>
  <Company/>
  <LinksUpToDate>false</LinksUpToDate>
  <CharactersWithSpaces>236156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Stefanos Mastroth Mastroth</dc:creator>
  <cp:keywords/>
  <dc:description/>
  <cp:lastModifiedBy>Miniutti, G.W.H.T. (Gino)</cp:lastModifiedBy>
  <cp:revision>2</cp:revision>
  <cp:lastPrinted>2020-09-23T07:59:00Z</cp:lastPrinted>
  <dcterms:created xsi:type="dcterms:W3CDTF">2022-08-02T13:43:00Z</dcterms:created>
  <dcterms:modified xsi:type="dcterms:W3CDTF">2022-08-02T13:43:00Z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cfdeb450-28dc-39e6-82e6-7ca4b4baebab</vt:lpwstr>
  </property>
  <property fmtid="{D5CDD505-2E9C-101B-9397-08002B2CF9AE}" pid="4" name="Mendeley Citation Style_1">
    <vt:lpwstr>http://csl.mendeley.com/styles/378573261/apa-old-doi-prefix</vt:lpwstr>
  </property>
  <property fmtid="{D5CDD505-2E9C-101B-9397-08002B2CF9AE}" pid="5" name="Mendeley Recent Style Id 0_1">
    <vt:lpwstr>http://www.zotero.org/styles/apa-old-doi-prefix</vt:lpwstr>
  </property>
  <property fmtid="{D5CDD505-2E9C-101B-9397-08002B2CF9AE}" pid="6" name="Mendeley Recent Style Name 0_1">
    <vt:lpwstr>American Psychological Association 6th edition ("doi:" DOI prefix)</vt:lpwstr>
  </property>
  <property fmtid="{D5CDD505-2E9C-101B-9397-08002B2CF9AE}" pid="7" name="Mendeley Recent Style Id 1_1">
    <vt:lpwstr>http://csl.mendeley.com/styles/378573261/apa-old-doi-prefix</vt:lpwstr>
  </property>
  <property fmtid="{D5CDD505-2E9C-101B-9397-08002B2CF9AE}" pid="8" name="Mendeley Recent Style Name 1_1">
    <vt:lpwstr>American Psychological Association 6th edition ("doi:" DOI prefix) - Stefanos Mastrotheodoros, PhD</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http://www.zotero.org/styles/apa-annotated-bibliography</vt:lpwstr>
  </property>
  <property fmtid="{D5CDD505-2E9C-101B-9397-08002B2CF9AE}" pid="12" name="Mendeley Recent Style Name 3_1">
    <vt:lpwstr>American Psychological Association 7th edition (annotated bibliography)</vt:lpwstr>
  </property>
  <property fmtid="{D5CDD505-2E9C-101B-9397-08002B2CF9AE}" pid="13" name="Mendeley Recent Style Id 4_1">
    <vt:lpwstr>http://www.zotero.org/styles/american-sociological-association</vt:lpwstr>
  </property>
  <property fmtid="{D5CDD505-2E9C-101B-9397-08002B2CF9AE}" pid="14" name="Mendeley Recent Style Name 4_1">
    <vt:lpwstr>American Sociological Association</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10th edition - Harvard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