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597804" w14:textId="5D5F29D9" w:rsidR="00A06227" w:rsidRDefault="00A06227" w:rsidP="00335954">
      <w:pPr>
        <w:pStyle w:val="Titel"/>
        <w:rPr>
          <w:lang w:val="en-GB"/>
        </w:rPr>
      </w:pPr>
      <w:r>
        <w:rPr>
          <w:lang w:val="en-GB"/>
        </w:rPr>
        <w:t xml:space="preserve">Jazz and </w:t>
      </w:r>
      <w:r w:rsidR="00AB09CA">
        <w:rPr>
          <w:lang w:val="en-GB"/>
        </w:rPr>
        <w:t>the Material Turn</w:t>
      </w:r>
    </w:p>
    <w:p w14:paraId="3CC80DD3" w14:textId="77777777" w:rsidR="00335954" w:rsidRPr="00335954" w:rsidRDefault="00335954" w:rsidP="00335954">
      <w:pPr>
        <w:rPr>
          <w:lang w:val="en-GB"/>
        </w:rPr>
      </w:pPr>
      <w:bookmarkStart w:id="0" w:name="_GoBack"/>
      <w:bookmarkEnd w:id="0"/>
    </w:p>
    <w:p w14:paraId="61E7CBD9" w14:textId="148437C0" w:rsidR="00FE1C53" w:rsidRPr="00FE1C53" w:rsidRDefault="00FE1C53" w:rsidP="00FE1C53">
      <w:pPr>
        <w:spacing w:after="0" w:line="360" w:lineRule="auto"/>
        <w:rPr>
          <w:rFonts w:ascii="Times New Roman" w:hAnsi="Times New Roman" w:cs="Times New Roman"/>
          <w:i/>
          <w:sz w:val="24"/>
          <w:szCs w:val="24"/>
          <w:lang w:val="en-GB"/>
        </w:rPr>
      </w:pPr>
      <w:r>
        <w:rPr>
          <w:rFonts w:ascii="Times New Roman" w:hAnsi="Times New Roman" w:cs="Times New Roman"/>
          <w:i/>
          <w:sz w:val="24"/>
          <w:szCs w:val="24"/>
          <w:lang w:val="en-GB"/>
        </w:rPr>
        <w:t>Floris Schuiling (Utrecht University)</w:t>
      </w:r>
    </w:p>
    <w:p w14:paraId="2E5DF3FE" w14:textId="77777777" w:rsidR="00A06227" w:rsidRDefault="00A06227" w:rsidP="00FE1C53">
      <w:pPr>
        <w:spacing w:after="0" w:line="360" w:lineRule="auto"/>
        <w:rPr>
          <w:rFonts w:ascii="Times New Roman" w:hAnsi="Times New Roman" w:cs="Times New Roman"/>
          <w:b/>
          <w:sz w:val="24"/>
          <w:szCs w:val="24"/>
          <w:lang w:val="en-GB"/>
        </w:rPr>
      </w:pPr>
    </w:p>
    <w:p w14:paraId="58985104" w14:textId="77777777" w:rsidR="002C7484" w:rsidRDefault="002C7484" w:rsidP="00FE1C53">
      <w:pPr>
        <w:spacing w:after="0" w:line="360" w:lineRule="auto"/>
        <w:rPr>
          <w:rFonts w:ascii="Times New Roman" w:hAnsi="Times New Roman" w:cs="Times New Roman"/>
          <w:b/>
          <w:sz w:val="24"/>
          <w:szCs w:val="24"/>
          <w:lang w:val="en-GB"/>
        </w:rPr>
      </w:pPr>
    </w:p>
    <w:p w14:paraId="704A75B1" w14:textId="7F80F624" w:rsidR="002C7484" w:rsidRDefault="002C7484" w:rsidP="002C7484">
      <w:pPr>
        <w:spacing w:after="0" w:line="360" w:lineRule="auto"/>
        <w:rPr>
          <w:rFonts w:ascii="Times New Roman" w:hAnsi="Times New Roman" w:cs="Times New Roman"/>
          <w:i/>
          <w:sz w:val="24"/>
          <w:szCs w:val="24"/>
          <w:lang w:val="en-GB"/>
        </w:rPr>
      </w:pPr>
      <w:r>
        <w:rPr>
          <w:rFonts w:ascii="Times New Roman" w:hAnsi="Times New Roman" w:cs="Times New Roman"/>
          <w:i/>
          <w:sz w:val="24"/>
          <w:szCs w:val="24"/>
          <w:lang w:val="en-GB"/>
        </w:rPr>
        <w:t xml:space="preserve">This is </w:t>
      </w:r>
      <w:r>
        <w:rPr>
          <w:rFonts w:ascii="Times New Roman" w:hAnsi="Times New Roman" w:cs="Times New Roman"/>
          <w:i/>
          <w:sz w:val="24"/>
          <w:szCs w:val="24"/>
          <w:lang w:val="en-GB"/>
        </w:rPr>
        <w:t xml:space="preserve">a pre-publication version of a chapter published in </w:t>
      </w:r>
      <w:r>
        <w:rPr>
          <w:rFonts w:ascii="Times New Roman" w:hAnsi="Times New Roman" w:cs="Times New Roman"/>
          <w:sz w:val="24"/>
          <w:szCs w:val="24"/>
          <w:lang w:val="en-GB"/>
        </w:rPr>
        <w:t>The Routledge Companion to Jazz Studies</w:t>
      </w:r>
      <w:r>
        <w:rPr>
          <w:rFonts w:ascii="Times New Roman" w:hAnsi="Times New Roman" w:cs="Times New Roman"/>
          <w:i/>
          <w:sz w:val="24"/>
          <w:szCs w:val="24"/>
          <w:lang w:val="en-GB"/>
        </w:rPr>
        <w:t xml:space="preserve">. This document presents the </w:t>
      </w:r>
      <w:r>
        <w:rPr>
          <w:rFonts w:ascii="Times New Roman" w:hAnsi="Times New Roman" w:cs="Times New Roman"/>
          <w:i/>
          <w:sz w:val="24"/>
          <w:szCs w:val="24"/>
          <w:lang w:val="en-GB"/>
        </w:rPr>
        <w:t xml:space="preserve">original </w:t>
      </w:r>
      <w:r>
        <w:rPr>
          <w:rFonts w:ascii="Times New Roman" w:hAnsi="Times New Roman" w:cs="Times New Roman"/>
          <w:i/>
          <w:sz w:val="24"/>
          <w:szCs w:val="24"/>
          <w:lang w:val="en-GB"/>
        </w:rPr>
        <w:t xml:space="preserve">manuscript as submitted </w:t>
      </w:r>
      <w:r>
        <w:rPr>
          <w:rFonts w:ascii="Times New Roman" w:hAnsi="Times New Roman" w:cs="Times New Roman"/>
          <w:i/>
          <w:sz w:val="24"/>
          <w:szCs w:val="24"/>
          <w:lang w:val="en-GB"/>
        </w:rPr>
        <w:t>to the editors of that work, but before any editorial work by them or the work’s publisher. To cite this document, please consult the published version.</w:t>
      </w:r>
    </w:p>
    <w:p w14:paraId="5FFE7417" w14:textId="77777777" w:rsidR="002C7484" w:rsidRDefault="002C7484" w:rsidP="00FE1C53">
      <w:pPr>
        <w:spacing w:after="0" w:line="360" w:lineRule="auto"/>
        <w:rPr>
          <w:rFonts w:ascii="Times New Roman" w:hAnsi="Times New Roman" w:cs="Times New Roman"/>
          <w:b/>
          <w:sz w:val="24"/>
          <w:szCs w:val="24"/>
          <w:lang w:val="en-GB"/>
        </w:rPr>
      </w:pPr>
    </w:p>
    <w:p w14:paraId="116FCF59" w14:textId="77777777" w:rsidR="002C7484" w:rsidRDefault="002C7484" w:rsidP="00FE1C53">
      <w:pPr>
        <w:spacing w:after="0" w:line="360" w:lineRule="auto"/>
        <w:rPr>
          <w:rFonts w:ascii="Times New Roman" w:hAnsi="Times New Roman" w:cs="Times New Roman"/>
          <w:b/>
          <w:sz w:val="24"/>
          <w:szCs w:val="24"/>
          <w:lang w:val="en-GB"/>
        </w:rPr>
      </w:pPr>
    </w:p>
    <w:p w14:paraId="09723E03" w14:textId="77777777" w:rsidR="002C7484" w:rsidRDefault="002C7484" w:rsidP="00FE1C53">
      <w:pPr>
        <w:spacing w:after="0" w:line="360" w:lineRule="auto"/>
        <w:rPr>
          <w:rFonts w:ascii="Times New Roman" w:hAnsi="Times New Roman" w:cs="Times New Roman"/>
          <w:b/>
          <w:sz w:val="24"/>
          <w:szCs w:val="24"/>
          <w:lang w:val="en-GB"/>
        </w:rPr>
      </w:pPr>
    </w:p>
    <w:p w14:paraId="71E139B8" w14:textId="047110AD" w:rsidR="00632E45" w:rsidRDefault="00ED60C0" w:rsidP="00FE1C53">
      <w:pPr>
        <w:spacing w:after="0" w:line="360" w:lineRule="auto"/>
        <w:rPr>
          <w:rFonts w:ascii="Times New Roman" w:hAnsi="Times New Roman" w:cs="Times New Roman"/>
          <w:sz w:val="24"/>
          <w:szCs w:val="24"/>
          <w:lang w:val="en-GB"/>
        </w:rPr>
      </w:pPr>
      <w:r w:rsidRPr="006F5D72">
        <w:rPr>
          <w:rFonts w:ascii="Times New Roman" w:hAnsi="Times New Roman" w:cs="Times New Roman"/>
          <w:sz w:val="24"/>
          <w:szCs w:val="24"/>
          <w:lang w:val="en-GB"/>
        </w:rPr>
        <w:t>“When you hear music, after it’s over, it’s gone, in the air; you can never capture it again.”</w:t>
      </w:r>
      <w:r w:rsidR="00AC24D8">
        <w:rPr>
          <w:rFonts w:ascii="Times New Roman" w:hAnsi="Times New Roman" w:cs="Times New Roman"/>
          <w:sz w:val="24"/>
          <w:szCs w:val="24"/>
          <w:lang w:val="en-GB"/>
        </w:rPr>
        <w:t xml:space="preserve"> </w:t>
      </w:r>
      <w:r w:rsidR="00AC24D8">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{"citationID":"fWimelPK","properties":{"formattedCitation":"(Dolphy 1964)","plainCitation":"(Dolphy 1964)","noteIndex":0},"citationItems":[{"id":787,"uris":["http://zotero.org/users/4953069/items/ESKNBFUP"],"uri":["http://zotero.org/users/4953069/items/ESKNBFUP"],"itemData":{"id":787,"type":"song","title":"Last Date","publisher":"Fontana","medium":"LP","call-number":"681 008 ZL","author":[{"family":"Dolphy","given":"Eric"}],"issued":{"date-parts":[["1964"]]}}}],"schema":"https://github.com/citation-style-language/schema/raw/master/csl-citation.json"} </w:instrText>
      </w:r>
      <w:r w:rsidR="00AC24D8">
        <w:rPr>
          <w:rFonts w:ascii="Times New Roman" w:hAnsi="Times New Roman" w:cs="Times New Roman"/>
          <w:sz w:val="24"/>
          <w:szCs w:val="24"/>
          <w:lang w:val="en-GB"/>
        </w:rPr>
        <w:fldChar w:fldCharType="separate"/>
      </w:r>
      <w:r w:rsidR="00AC24D8" w:rsidRPr="00AC24D8">
        <w:rPr>
          <w:rFonts w:ascii="Times New Roman" w:hAnsi="Times New Roman" w:cs="Times New Roman"/>
          <w:sz w:val="24"/>
          <w:lang w:val="en-GB"/>
        </w:rPr>
        <w:t>(Dolphy 1964)</w:t>
      </w:r>
      <w:r w:rsidR="00AC24D8">
        <w:rPr>
          <w:rFonts w:ascii="Times New Roman" w:hAnsi="Times New Roman" w:cs="Times New Roman"/>
          <w:sz w:val="24"/>
          <w:szCs w:val="24"/>
          <w:lang w:val="en-GB"/>
        </w:rPr>
        <w:fldChar w:fldCharType="end"/>
      </w:r>
      <w:r w:rsidR="00AC24D8">
        <w:rPr>
          <w:rStyle w:val="Voetnootmarkering"/>
          <w:rFonts w:ascii="Times New Roman" w:hAnsi="Times New Roman" w:cs="Times New Roman"/>
          <w:sz w:val="24"/>
          <w:szCs w:val="24"/>
          <w:lang w:val="en-GB"/>
        </w:rPr>
        <w:t xml:space="preserve"> </w:t>
      </w:r>
      <w:r w:rsidR="00CA6199">
        <w:rPr>
          <w:rFonts w:ascii="Times New Roman" w:hAnsi="Times New Roman" w:cs="Times New Roman"/>
          <w:sz w:val="24"/>
          <w:szCs w:val="24"/>
          <w:lang w:val="en-GB"/>
        </w:rPr>
        <w:t>Eric Dolphy’s statement signifies a common understanding of music as intangible and immaterial.</w:t>
      </w:r>
      <w:r w:rsidR="00B043E7">
        <w:rPr>
          <w:rFonts w:ascii="Times New Roman" w:hAnsi="Times New Roman" w:cs="Times New Roman"/>
          <w:sz w:val="24"/>
          <w:szCs w:val="24"/>
          <w:lang w:val="en-GB"/>
        </w:rPr>
        <w:t xml:space="preserve"> </w:t>
      </w:r>
      <w:r w:rsidR="00987C46">
        <w:rPr>
          <w:rFonts w:ascii="Times New Roman" w:hAnsi="Times New Roman" w:cs="Times New Roman"/>
          <w:sz w:val="24"/>
          <w:szCs w:val="24"/>
          <w:lang w:val="en-GB"/>
        </w:rPr>
        <w:t>Because of its emphasis on improvisation, this discourse of immateriality has been particularly influential in jazz.</w:t>
      </w:r>
      <w:r w:rsidR="00B043E7">
        <w:rPr>
          <w:rFonts w:ascii="Times New Roman" w:hAnsi="Times New Roman" w:cs="Times New Roman"/>
          <w:sz w:val="24"/>
          <w:szCs w:val="24"/>
          <w:lang w:val="en-GB"/>
        </w:rPr>
        <w:t xml:space="preserve"> </w:t>
      </w:r>
      <w:r w:rsidR="00632E45">
        <w:rPr>
          <w:rFonts w:ascii="Times New Roman" w:hAnsi="Times New Roman" w:cs="Times New Roman"/>
          <w:sz w:val="24"/>
          <w:szCs w:val="24"/>
          <w:lang w:val="en-GB"/>
        </w:rPr>
        <w:t>As the music where notes are “picked out of thin air”</w:t>
      </w:r>
      <w:r w:rsidR="00AC24D8">
        <w:rPr>
          <w:rFonts w:ascii="Times New Roman" w:hAnsi="Times New Roman" w:cs="Times New Roman"/>
          <w:sz w:val="24"/>
          <w:szCs w:val="24"/>
          <w:lang w:val="en-GB"/>
        </w:rPr>
        <w:t xml:space="preserve"> </w:t>
      </w:r>
      <w:r w:rsidR="00AC24D8">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{"citationID":"YqpLfKau","properties":{"formattedCitation":"(Berliner 1994)","plainCitation":"(Berliner 1994)","dontUpdate":true,"noteIndex":0},"citationItems":[{"id":149,"uris":["http://zotero.org/users/4953069/items/4JV4NKWE"],"uri":["http://zotero.org/users/4953069/items/4JV4NKWE"],"itemData":{"id":149,"type":"book","title":"Thinking in Jazz: The Infinite Art of Improvisation","publisher":"University of Chicago Press","number-of-pages":"905","source":"Google Books","abstract":"A landmark in jazz studies, Thinking in Jazz reveals as never before how musicians, both individually and collectively, learn to improvise. Chronicling leading musicians from their first encounters with jazz to the development of a unique improvisatory voice, Paul Berliner documents the lifetime of preparation that lies behind the skilled improviser's every idea.  The product of more than fifteen years of immersion in the jazz world, Thinking in Jazz combines participant observation with detailed musicological analysis, the author's experience as a jazz trumpeter, interpretations of published material by scholars and performers, and, above all, original data from interviews with more than fifty professional musicians: bassists George Duvivier and Rufus Reid; drummers Max Roach, Ronald Shannon Jackson, and Akira Tana; guitarist Emily Remler; pianists Tommy Flanagan and Barry Harris; saxophonists Lou Donaldson, Lee Konitz, and James Moody; trombonist Curtis Fuller; trumpeters Doc Cheatham, Art Farmer, Wynton Marsalis, and Red Rodney; vocalists Carmen Lundy and Vea Williams; and others. Together, the interviews provide insight into the production of jazz by great artists like Betty Carter, Miles Davis, Dizzy Gillespie, Coleman Hawkins, and Charlie Parker.  Thinking in Jazz overflows with musical examples from the 1920s to the present, including original transcriptions (keyed to commercial recordings) of collective improvisations by Miles Davis's and John Coltrane's groups. These transcriptions provide additional insight into the structure and creativity of jazz improvisation and represent a remarkable resource for jazz musicians as well as students and educators.  Berliner explores the alternative ways—aural, visual, kinetic, verbal, emotional, theoretical, associative—in which these performers conceptualize their music and describes the delicate interplay of soloist and ensemble in collective improvisation. Berliner's skillful integration of data concerning musical development, the rigorous practice and thought artists devote to jazz outside of performance, and the complexities of composing in the moment leads to a new understanding of jazz improvisation as a language, an aesthetic, and a tradition. This unprecedented journey to the heart of the jazz tradition will fascinate and enlighten musicians, musicologists, and jazz fans alike.","ISBN":"978-0-226-04452-1","note":"Google-Books-ID: tqPnM_e4CPYC","shortTitle":"Thinking in Jazz","language":"en","author":[{"family":"Berliner","given":"Paul"}],"issued":{"date-parts":[["1994"]]}}}],"schema":"https://github.com/citation-style-language/schema/raw/master/csl-citation.json"} </w:instrText>
      </w:r>
      <w:r w:rsidR="00AC24D8">
        <w:rPr>
          <w:rFonts w:ascii="Times New Roman" w:hAnsi="Times New Roman" w:cs="Times New Roman"/>
          <w:sz w:val="24"/>
          <w:szCs w:val="24"/>
          <w:lang w:val="en-GB"/>
        </w:rPr>
        <w:fldChar w:fldCharType="separate"/>
      </w:r>
      <w:r w:rsidR="00AC24D8" w:rsidRPr="00AC24D8">
        <w:rPr>
          <w:rFonts w:ascii="Times New Roman" w:hAnsi="Times New Roman" w:cs="Times New Roman"/>
          <w:sz w:val="24"/>
          <w:lang w:val="en-GB"/>
        </w:rPr>
        <w:t>(Berliner 1994</w:t>
      </w:r>
      <w:r w:rsidR="00AC24D8">
        <w:rPr>
          <w:rFonts w:ascii="Times New Roman" w:hAnsi="Times New Roman" w:cs="Times New Roman"/>
          <w:sz w:val="24"/>
          <w:lang w:val="en-GB"/>
        </w:rPr>
        <w:t>: 1</w:t>
      </w:r>
      <w:r w:rsidR="00AC24D8" w:rsidRPr="00AC24D8">
        <w:rPr>
          <w:rFonts w:ascii="Times New Roman" w:hAnsi="Times New Roman" w:cs="Times New Roman"/>
          <w:sz w:val="24"/>
          <w:lang w:val="en-GB"/>
        </w:rPr>
        <w:t>)</w:t>
      </w:r>
      <w:r w:rsidR="00AC24D8">
        <w:rPr>
          <w:rFonts w:ascii="Times New Roman" w:hAnsi="Times New Roman" w:cs="Times New Roman"/>
          <w:sz w:val="24"/>
          <w:szCs w:val="24"/>
          <w:lang w:val="en-GB"/>
        </w:rPr>
        <w:fldChar w:fldCharType="end"/>
      </w:r>
      <w:r w:rsidR="00632E45">
        <w:rPr>
          <w:rFonts w:ascii="Times New Roman" w:hAnsi="Times New Roman" w:cs="Times New Roman"/>
          <w:sz w:val="24"/>
          <w:szCs w:val="24"/>
          <w:lang w:val="en-GB"/>
        </w:rPr>
        <w:t>, it has become “a kind of language for expressing the ineffable.”</w:t>
      </w:r>
      <w:r w:rsidR="00AC24D8">
        <w:rPr>
          <w:rFonts w:ascii="Times New Roman" w:hAnsi="Times New Roman" w:cs="Times New Roman"/>
          <w:sz w:val="24"/>
          <w:szCs w:val="24"/>
          <w:lang w:val="en-GB"/>
        </w:rPr>
        <w:t xml:space="preserve"> </w:t>
      </w:r>
      <w:r w:rsidR="00AC24D8">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{"citationID":"YDZjuvnK","properties":{"formattedCitation":"(Bivins 2015)","plainCitation":"(Bivins 2015)","dontUpdate":true,"noteIndex":0},"citationItems":[{"id":368,"uris":["http://zotero.org/users/4953069/items/5P2K2ZAK"],"uri":["http://zotero.org/users/4953069/items/5P2K2ZAK"],"itemData":{"id":368,"type":"book","title":"Spirits Rejoice!: Jazz and American Religion","publisher":"Oxford University Press","publisher-place":"Oxford","number-of-pages":"392","source":"Oxford University Press","event-place":"Oxford","abstract":"Spirits Rejoice! takes its name from a record by jazz saxophonist of the mid-1960s, Albert Ayler—later used, with an exclamation point added, by Louis Moholo-Moholo—and is appropriated in Jason Bivins's book to express the overlap of religion and jazz music through history. Bivins explore themes that have resounded throughout the musical genre that are also integral to the practice of religions in the United States.Much writing about jazz falls into one of three categories: glorified record reviews or discographies; impressionistic descriptions of the actual sounds and dense musicological analyses; or contextualizing it within institutions or extant narratives that are easier to analyze. Using religious studies as a point of comparison Bivins seeks to go beyond these approaches. Instead, he takes to heart a commonly invoked characteristic of jazz, and improvises on the standard questions and stories that might be told. Rather than producing a history or a series of biographical entries, Spirits Rejoice! will generate a collection of themes, pursuits, reoccurring foci, and interpretations. When ranging across the cultural history of American jazz, these themes emerge not just in the musicians' own words (in interviews, liner notes, or journals) but also from the bandstand, audience reception, and critical interrogation. Bivins looks at themes such as musical creativity as related to specific religious traditions, jazz as a form of ritual and healing, and jazz cosmologies and metaphysics, drawing conclusions that explore how \"the sound of spirits rejoicing\" challenges not only prevailing understandings of race and music, but also the way we think about \"religion.\"","ISBN":"978-0-19-023091-3","shortTitle":"Spirits Rejoice!","author":[{"family":"Bivins","given":"Jason"}],"issued":{"date-parts":[["2015"]]}}}],"schema":"https://github.com/citation-style-language/schema/raw/master/csl-citation.json"} </w:instrText>
      </w:r>
      <w:r w:rsidR="00AC24D8">
        <w:rPr>
          <w:rFonts w:ascii="Times New Roman" w:hAnsi="Times New Roman" w:cs="Times New Roman"/>
          <w:sz w:val="24"/>
          <w:szCs w:val="24"/>
          <w:lang w:val="en-GB"/>
        </w:rPr>
        <w:fldChar w:fldCharType="separate"/>
      </w:r>
      <w:r w:rsidR="00AC24D8" w:rsidRPr="00AC24D8">
        <w:rPr>
          <w:rFonts w:ascii="Times New Roman" w:hAnsi="Times New Roman" w:cs="Times New Roman"/>
          <w:sz w:val="24"/>
          <w:lang w:val="en-GB"/>
        </w:rPr>
        <w:t>(Bivins 2015</w:t>
      </w:r>
      <w:r w:rsidR="00AC24D8">
        <w:rPr>
          <w:rFonts w:ascii="Times New Roman" w:hAnsi="Times New Roman" w:cs="Times New Roman"/>
          <w:sz w:val="24"/>
          <w:lang w:val="en-GB"/>
        </w:rPr>
        <w:t>: 199</w:t>
      </w:r>
      <w:r w:rsidR="00AC24D8" w:rsidRPr="00AC24D8">
        <w:rPr>
          <w:rFonts w:ascii="Times New Roman" w:hAnsi="Times New Roman" w:cs="Times New Roman"/>
          <w:sz w:val="24"/>
          <w:lang w:val="en-GB"/>
        </w:rPr>
        <w:t>)</w:t>
      </w:r>
      <w:r w:rsidR="00AC24D8">
        <w:rPr>
          <w:rFonts w:ascii="Times New Roman" w:hAnsi="Times New Roman" w:cs="Times New Roman"/>
          <w:sz w:val="24"/>
          <w:szCs w:val="24"/>
          <w:lang w:val="en-GB"/>
        </w:rPr>
        <w:fldChar w:fldCharType="end"/>
      </w:r>
      <w:r w:rsidR="00632E45">
        <w:rPr>
          <w:rFonts w:ascii="Times New Roman" w:hAnsi="Times New Roman" w:cs="Times New Roman"/>
          <w:sz w:val="24"/>
          <w:szCs w:val="24"/>
          <w:lang w:val="en-GB"/>
        </w:rPr>
        <w:t xml:space="preserve"> </w:t>
      </w:r>
      <w:r w:rsidR="00987C46">
        <w:rPr>
          <w:rFonts w:ascii="Times New Roman" w:hAnsi="Times New Roman" w:cs="Times New Roman"/>
          <w:sz w:val="24"/>
          <w:szCs w:val="24"/>
          <w:lang w:val="en-GB"/>
        </w:rPr>
        <w:t>Jazz performance is often described, both by musicians and more recently by music theorists, as a “conversation”</w:t>
      </w:r>
      <w:r w:rsidR="00AC24D8">
        <w:rPr>
          <w:rFonts w:ascii="Times New Roman" w:hAnsi="Times New Roman" w:cs="Times New Roman"/>
          <w:sz w:val="24"/>
          <w:szCs w:val="24"/>
          <w:lang w:val="en-GB"/>
        </w:rPr>
        <w:t xml:space="preserve"> </w:t>
      </w:r>
      <w:r w:rsidR="00AC24D8">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{"citationID":"V5kjoWgz","properties":{"formattedCitation":"(Monson 1996)","plainCitation":"(Monson 1996)","noteIndex":0},"citationItems":[{"id":396,"uris":["http://zotero.org/users/4953069/items/EJBD3IPF"],"uri":["http://zotero.org/users/4953069/items/EJBD3IPF"],"itemData":{"id":396,"type":"book","title":"Saying Something: Jazz improvisation and interaction","publisher":"University of Chicago Press","publisher-place":"Chicago","event-place":"Chicago","author":[{"family":"Monson","given":"Ingrid"}],"issued":{"date-parts":[["1996"]]}}}],"schema":"https://github.com/citation-style-language/schema/raw/master/csl-citation.json"} </w:instrText>
      </w:r>
      <w:r w:rsidR="00AC24D8">
        <w:rPr>
          <w:rFonts w:ascii="Times New Roman" w:hAnsi="Times New Roman" w:cs="Times New Roman"/>
          <w:sz w:val="24"/>
          <w:szCs w:val="24"/>
          <w:lang w:val="en-GB"/>
        </w:rPr>
        <w:fldChar w:fldCharType="separate"/>
      </w:r>
      <w:r w:rsidR="00AC24D8" w:rsidRPr="00AC24D8">
        <w:rPr>
          <w:rFonts w:ascii="Times New Roman" w:hAnsi="Times New Roman" w:cs="Times New Roman"/>
          <w:sz w:val="24"/>
          <w:lang w:val="en-GB"/>
        </w:rPr>
        <w:t>(Monson 1996)</w:t>
      </w:r>
      <w:r w:rsidR="00AC24D8">
        <w:rPr>
          <w:rFonts w:ascii="Times New Roman" w:hAnsi="Times New Roman" w:cs="Times New Roman"/>
          <w:sz w:val="24"/>
          <w:szCs w:val="24"/>
          <w:lang w:val="en-GB"/>
        </w:rPr>
        <w:fldChar w:fldCharType="end"/>
      </w:r>
      <w:r w:rsidR="00987C46">
        <w:rPr>
          <w:rFonts w:ascii="Times New Roman" w:hAnsi="Times New Roman" w:cs="Times New Roman"/>
          <w:sz w:val="24"/>
          <w:szCs w:val="24"/>
          <w:lang w:val="en-GB"/>
        </w:rPr>
        <w:t>, suggesting ideas of orality and immediacy</w:t>
      </w:r>
      <w:r w:rsidR="00D55186">
        <w:rPr>
          <w:rFonts w:ascii="Times New Roman" w:hAnsi="Times New Roman" w:cs="Times New Roman"/>
          <w:sz w:val="24"/>
          <w:szCs w:val="24"/>
          <w:lang w:val="en-GB"/>
        </w:rPr>
        <w:t>—despite prevailing notions that “real” jazz is instrumental</w:t>
      </w:r>
      <w:r w:rsidR="00632E45">
        <w:rPr>
          <w:rFonts w:ascii="Times New Roman" w:hAnsi="Times New Roman" w:cs="Times New Roman"/>
          <w:sz w:val="24"/>
          <w:szCs w:val="24"/>
          <w:lang w:val="en-GB"/>
        </w:rPr>
        <w:t>.  The very definition of jazz has been described as “if you have to ask, you’ll never know”,</w:t>
      </w:r>
      <w:r w:rsidR="000C65FF">
        <w:rPr>
          <w:rFonts w:ascii="Times New Roman" w:hAnsi="Times New Roman" w:cs="Times New Roman"/>
          <w:sz w:val="24"/>
          <w:szCs w:val="24"/>
          <w:lang w:val="en-GB"/>
        </w:rPr>
        <w:t xml:space="preserve"> </w:t>
      </w:r>
      <w:r w:rsidR="00632E45">
        <w:rPr>
          <w:rFonts w:ascii="Times New Roman" w:hAnsi="Times New Roman" w:cs="Times New Roman"/>
          <w:sz w:val="24"/>
          <w:szCs w:val="24"/>
          <w:lang w:val="en-GB"/>
        </w:rPr>
        <w:t xml:space="preserve">making its elusiveness and intangibility essential to the genre. </w:t>
      </w:r>
      <w:r w:rsidR="00D55186">
        <w:rPr>
          <w:rFonts w:ascii="Times New Roman" w:hAnsi="Times New Roman" w:cs="Times New Roman"/>
          <w:sz w:val="24"/>
          <w:szCs w:val="24"/>
          <w:lang w:val="en-GB"/>
        </w:rPr>
        <w:t xml:space="preserve">However, </w:t>
      </w:r>
      <w:r w:rsidR="00632E45">
        <w:rPr>
          <w:rFonts w:ascii="Times New Roman" w:hAnsi="Times New Roman" w:cs="Times New Roman"/>
          <w:sz w:val="24"/>
          <w:szCs w:val="24"/>
          <w:lang w:val="en-GB"/>
        </w:rPr>
        <w:t xml:space="preserve">we only know Dolphy’s words because they </w:t>
      </w:r>
      <w:r w:rsidR="003272AB">
        <w:rPr>
          <w:rFonts w:ascii="Times New Roman" w:hAnsi="Times New Roman" w:cs="Times New Roman"/>
          <w:sz w:val="24"/>
          <w:szCs w:val="24"/>
          <w:lang w:val="en-GB"/>
        </w:rPr>
        <w:t>were recorded in 1964, suggesting</w:t>
      </w:r>
      <w:r w:rsidR="00632E45">
        <w:rPr>
          <w:rFonts w:ascii="Times New Roman" w:hAnsi="Times New Roman" w:cs="Times New Roman"/>
          <w:sz w:val="24"/>
          <w:szCs w:val="24"/>
          <w:lang w:val="en-GB"/>
        </w:rPr>
        <w:t xml:space="preserve"> that even such </w:t>
      </w:r>
      <w:r w:rsidR="003272AB">
        <w:rPr>
          <w:rFonts w:ascii="Times New Roman" w:hAnsi="Times New Roman" w:cs="Times New Roman"/>
          <w:sz w:val="24"/>
          <w:szCs w:val="24"/>
          <w:lang w:val="en-GB"/>
        </w:rPr>
        <w:t>transient</w:t>
      </w:r>
      <w:r w:rsidR="00632E45">
        <w:rPr>
          <w:rFonts w:ascii="Times New Roman" w:hAnsi="Times New Roman" w:cs="Times New Roman"/>
          <w:sz w:val="24"/>
          <w:szCs w:val="24"/>
          <w:lang w:val="en-GB"/>
        </w:rPr>
        <w:t xml:space="preserve"> and immaterial experiences are mediated through material practices and technologies.</w:t>
      </w:r>
    </w:p>
    <w:p w14:paraId="0B598F06" w14:textId="3FA7AC99" w:rsidR="00996481" w:rsidRDefault="00D55186" w:rsidP="00A53C92">
      <w:pPr>
        <w:spacing w:after="0" w:line="36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 xml:space="preserve">A growing number of scholars in the humanities and social sciences are </w:t>
      </w:r>
      <w:r w:rsidR="00632E45">
        <w:rPr>
          <w:rFonts w:ascii="Times New Roman" w:hAnsi="Times New Roman" w:cs="Times New Roman"/>
          <w:sz w:val="24"/>
          <w:szCs w:val="24"/>
          <w:lang w:val="en-GB"/>
        </w:rPr>
        <w:t>turning their attention to</w:t>
      </w:r>
      <w:r>
        <w:rPr>
          <w:rFonts w:ascii="Times New Roman" w:hAnsi="Times New Roman" w:cs="Times New Roman"/>
          <w:sz w:val="24"/>
          <w:szCs w:val="24"/>
          <w:lang w:val="en-GB"/>
        </w:rPr>
        <w:t xml:space="preserve"> such forms of material mediation of cultural expression and experience</w:t>
      </w:r>
      <w:r w:rsidR="00632E45">
        <w:rPr>
          <w:rFonts w:ascii="Times New Roman" w:hAnsi="Times New Roman" w:cs="Times New Roman"/>
          <w:sz w:val="24"/>
          <w:szCs w:val="24"/>
          <w:lang w:val="en-GB"/>
        </w:rPr>
        <w:t>, and are increasingly finding their materiality to be</w:t>
      </w:r>
      <w:r>
        <w:rPr>
          <w:rFonts w:ascii="Times New Roman" w:hAnsi="Times New Roman" w:cs="Times New Roman"/>
          <w:sz w:val="24"/>
          <w:szCs w:val="24"/>
          <w:lang w:val="en-GB"/>
        </w:rPr>
        <w:t xml:space="preserve"> non-trivial</w:t>
      </w:r>
      <w:r w:rsidR="00632E45">
        <w:rPr>
          <w:rFonts w:ascii="Times New Roman" w:hAnsi="Times New Roman" w:cs="Times New Roman"/>
          <w:sz w:val="24"/>
          <w:szCs w:val="24"/>
          <w:lang w:val="en-GB"/>
        </w:rPr>
        <w:t xml:space="preserve">. </w:t>
      </w:r>
      <w:r w:rsidR="00491C26">
        <w:rPr>
          <w:rFonts w:ascii="Times New Roman" w:hAnsi="Times New Roman" w:cs="Times New Roman"/>
          <w:sz w:val="24"/>
          <w:szCs w:val="24"/>
          <w:lang w:val="en-GB"/>
        </w:rPr>
        <w:t>The study of “material culture”</w:t>
      </w:r>
      <w:r w:rsidR="001208BE">
        <w:rPr>
          <w:rFonts w:ascii="Times New Roman" w:hAnsi="Times New Roman" w:cs="Times New Roman"/>
          <w:sz w:val="24"/>
          <w:szCs w:val="24"/>
          <w:lang w:val="en-GB"/>
        </w:rPr>
        <w:t>, as two of its major proponents write, “may be most broadly defined as the investigation of the relationship between people and things irrespective of time and space.”</w:t>
      </w:r>
      <w:r w:rsidR="00AC24D8">
        <w:rPr>
          <w:rFonts w:ascii="Times New Roman" w:hAnsi="Times New Roman" w:cs="Times New Roman"/>
          <w:sz w:val="24"/>
          <w:szCs w:val="24"/>
          <w:lang w:val="en-GB"/>
        </w:rPr>
        <w:t xml:space="preserve"> </w:t>
      </w:r>
      <w:r w:rsidR="00AC24D8">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{"citationID":"g3rR1XPZ","properties":{"formattedCitation":"(Miller and Tilley 1996)","plainCitation":"(Miller and Tilley 1996)","dontUpdate":true,"noteIndex":0},"citationItems":[{"id":367,"uris":["http://zotero.org/users/4953069/items/ECGKQGHT"],"uri":["http://zotero.org/users/4953069/items/ECGKQGHT"],"itemData":{"id":367,"type":"article-journal","title":"Editorial","container-title":"Journal of Material Culture","page":"5-14","volume":"1","issue":"1","source":"SAGE Journals","DOI":"10.1177/135918359600100101","ISSN":"1359-1835","journalAbbreviation":"Journal of Material Culture","language":"en","author":[{"family":"Miller","given":"Daniel"},{"family":"Tilley","given":"Christopher"}],"issued":{"date-parts":[["1996"]]}}}],"schema":"https://github.com/citation-style-language/schema/raw/master/csl-citation.json"} </w:instrText>
      </w:r>
      <w:r w:rsidR="00AC24D8">
        <w:rPr>
          <w:rFonts w:ascii="Times New Roman" w:hAnsi="Times New Roman" w:cs="Times New Roman"/>
          <w:sz w:val="24"/>
          <w:szCs w:val="24"/>
          <w:lang w:val="en-GB"/>
        </w:rPr>
        <w:fldChar w:fldCharType="separate"/>
      </w:r>
      <w:r w:rsidR="00AC24D8" w:rsidRPr="00AC24D8">
        <w:rPr>
          <w:rFonts w:ascii="Times New Roman" w:hAnsi="Times New Roman" w:cs="Times New Roman"/>
          <w:sz w:val="24"/>
          <w:lang w:val="en-GB"/>
        </w:rPr>
        <w:t>(Miller and Tilley 1996</w:t>
      </w:r>
      <w:r w:rsidR="00AC24D8">
        <w:rPr>
          <w:rFonts w:ascii="Times New Roman" w:hAnsi="Times New Roman" w:cs="Times New Roman"/>
          <w:sz w:val="24"/>
          <w:lang w:val="en-GB"/>
        </w:rPr>
        <w:t>: 5</w:t>
      </w:r>
      <w:r w:rsidR="00AC24D8" w:rsidRPr="00AC24D8">
        <w:rPr>
          <w:rFonts w:ascii="Times New Roman" w:hAnsi="Times New Roman" w:cs="Times New Roman"/>
          <w:sz w:val="24"/>
          <w:lang w:val="en-GB"/>
        </w:rPr>
        <w:t>)</w:t>
      </w:r>
      <w:r w:rsidR="00AC24D8">
        <w:rPr>
          <w:rFonts w:ascii="Times New Roman" w:hAnsi="Times New Roman" w:cs="Times New Roman"/>
          <w:sz w:val="24"/>
          <w:szCs w:val="24"/>
          <w:lang w:val="en-GB"/>
        </w:rPr>
        <w:fldChar w:fldCharType="end"/>
      </w:r>
      <w:r w:rsidR="00193B80">
        <w:rPr>
          <w:rFonts w:ascii="Times New Roman" w:hAnsi="Times New Roman" w:cs="Times New Roman"/>
          <w:sz w:val="24"/>
          <w:szCs w:val="24"/>
          <w:lang w:val="en-GB"/>
        </w:rPr>
        <w:t xml:space="preserve"> Thus, in practice, it is</w:t>
      </w:r>
      <w:r w:rsidR="00491C26">
        <w:rPr>
          <w:rFonts w:ascii="Times New Roman" w:hAnsi="Times New Roman" w:cs="Times New Roman"/>
          <w:sz w:val="24"/>
          <w:szCs w:val="24"/>
          <w:lang w:val="en-GB"/>
        </w:rPr>
        <w:t xml:space="preserve"> the study of the role played by material objec</w:t>
      </w:r>
      <w:r w:rsidR="001208BE">
        <w:rPr>
          <w:rFonts w:ascii="Times New Roman" w:hAnsi="Times New Roman" w:cs="Times New Roman"/>
          <w:sz w:val="24"/>
          <w:szCs w:val="24"/>
          <w:lang w:val="en-GB"/>
        </w:rPr>
        <w:t>ts, artefacts, and technologies</w:t>
      </w:r>
      <w:r w:rsidR="00491C26">
        <w:rPr>
          <w:rFonts w:ascii="Times New Roman" w:hAnsi="Times New Roman" w:cs="Times New Roman"/>
          <w:sz w:val="24"/>
          <w:szCs w:val="24"/>
          <w:lang w:val="en-GB"/>
        </w:rPr>
        <w:t xml:space="preserve"> in the shaping of human societies, cultures, identities</w:t>
      </w:r>
      <w:r w:rsidR="00193B80">
        <w:rPr>
          <w:rFonts w:ascii="Times New Roman" w:hAnsi="Times New Roman" w:cs="Times New Roman"/>
          <w:sz w:val="24"/>
          <w:szCs w:val="24"/>
          <w:lang w:val="en-GB"/>
        </w:rPr>
        <w:t>, and knowledge</w:t>
      </w:r>
      <w:r w:rsidR="00491C26">
        <w:rPr>
          <w:rFonts w:ascii="Times New Roman" w:hAnsi="Times New Roman" w:cs="Times New Roman"/>
          <w:sz w:val="24"/>
          <w:szCs w:val="24"/>
          <w:lang w:val="en-GB"/>
        </w:rPr>
        <w:t xml:space="preserve">. </w:t>
      </w:r>
      <w:r w:rsidR="00193B80">
        <w:rPr>
          <w:rFonts w:ascii="Times New Roman" w:hAnsi="Times New Roman" w:cs="Times New Roman"/>
          <w:sz w:val="24"/>
          <w:szCs w:val="24"/>
          <w:lang w:val="en-GB"/>
        </w:rPr>
        <w:t xml:space="preserve">The authors continue that “the potential range of contemporary disciplines involved in some way or other in studying material culture is effectively as wide as the human and cultural sciences </w:t>
      </w:r>
      <w:r w:rsidR="00193B80">
        <w:rPr>
          <w:rFonts w:ascii="Times New Roman" w:hAnsi="Times New Roman" w:cs="Times New Roman"/>
          <w:sz w:val="24"/>
          <w:szCs w:val="24"/>
          <w:lang w:val="en-GB"/>
        </w:rPr>
        <w:lastRenderedPageBreak/>
        <w:t xml:space="preserve">themselves.” (Ibid.) Twenty years later, this appears as a prophetic statement, as the </w:t>
      </w:r>
      <w:r w:rsidR="0090650E">
        <w:rPr>
          <w:rFonts w:ascii="Times New Roman" w:hAnsi="Times New Roman" w:cs="Times New Roman"/>
          <w:sz w:val="24"/>
          <w:szCs w:val="24"/>
          <w:lang w:val="en-GB"/>
        </w:rPr>
        <w:t>“material turn”</w:t>
      </w:r>
      <w:r w:rsidR="00193B80">
        <w:rPr>
          <w:rFonts w:ascii="Times New Roman" w:hAnsi="Times New Roman" w:cs="Times New Roman"/>
          <w:sz w:val="24"/>
          <w:szCs w:val="24"/>
          <w:lang w:val="en-GB"/>
        </w:rPr>
        <w:t xml:space="preserve"> has made </w:t>
      </w:r>
      <w:r w:rsidR="0050108F">
        <w:rPr>
          <w:rFonts w:ascii="Times New Roman" w:hAnsi="Times New Roman" w:cs="Times New Roman"/>
          <w:sz w:val="24"/>
          <w:szCs w:val="24"/>
          <w:lang w:val="en-GB"/>
        </w:rPr>
        <w:t xml:space="preserve">a big impact </w:t>
      </w:r>
      <w:r w:rsidR="00193B80">
        <w:rPr>
          <w:rFonts w:ascii="Times New Roman" w:hAnsi="Times New Roman" w:cs="Times New Roman"/>
          <w:sz w:val="24"/>
          <w:szCs w:val="24"/>
          <w:lang w:val="en-GB"/>
        </w:rPr>
        <w:t xml:space="preserve">beyond its origins in anthropology and archaeology, with important influences from media studies and science and technology studies, </w:t>
      </w:r>
      <w:r w:rsidR="0050108F">
        <w:rPr>
          <w:rFonts w:ascii="Times New Roman" w:hAnsi="Times New Roman" w:cs="Times New Roman"/>
          <w:sz w:val="24"/>
          <w:szCs w:val="24"/>
          <w:lang w:val="en-GB"/>
        </w:rPr>
        <w:t>to fields such as history, sociology, literature, art history, gender studies, philosophy, and many others.</w:t>
      </w:r>
      <w:r w:rsidR="00996481">
        <w:rPr>
          <w:rStyle w:val="Eindnootmarkering"/>
          <w:rFonts w:ascii="Times New Roman" w:hAnsi="Times New Roman" w:cs="Times New Roman"/>
          <w:sz w:val="24"/>
          <w:szCs w:val="24"/>
          <w:lang w:val="en-GB"/>
        </w:rPr>
        <w:endnoteReference w:id="1"/>
      </w:r>
      <w:r w:rsidR="00996481">
        <w:rPr>
          <w:rFonts w:ascii="Times New Roman" w:hAnsi="Times New Roman" w:cs="Times New Roman"/>
          <w:sz w:val="24"/>
          <w:szCs w:val="24"/>
          <w:lang w:val="en-GB"/>
        </w:rPr>
        <w:t xml:space="preserve"> Interdisciplinary work is being carried out under the banners of “thing theory” </w:t>
      </w:r>
      <w:r w:rsidR="00996481">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{"citationID":"WNL3Ubbd","properties":{"formattedCitation":"(Brown 2001)","plainCitation":"(Brown 2001)","noteIndex":0},"citationItems":[{"id":354,"uris":["http://zotero.org/users/4953069/items/U3736SZ5"],"uri":["http://zotero.org/users/4953069/items/U3736SZ5"],"itemData":{"id":354,"type":"article-journal","title":"Thing Theory","container-title":"Critical Inquiry","page":"1-22","volume":"28","issue":"1","source":"JSTOR","ISSN":"0093-1896","author":[{"family":"Brown","given":"Bill"}],"issued":{"date-parts":[["2001"]]}}}],"schema":"https://github.com/citation-style-language/schema/raw/master/csl-citation.json"} </w:instrText>
      </w:r>
      <w:r w:rsidR="00996481">
        <w:rPr>
          <w:rFonts w:ascii="Times New Roman" w:hAnsi="Times New Roman" w:cs="Times New Roman"/>
          <w:sz w:val="24"/>
          <w:szCs w:val="24"/>
          <w:lang w:val="en-GB"/>
        </w:rPr>
        <w:fldChar w:fldCharType="separate"/>
      </w:r>
      <w:r w:rsidR="00996481" w:rsidRPr="004802B4">
        <w:rPr>
          <w:rFonts w:ascii="Times New Roman" w:hAnsi="Times New Roman" w:cs="Times New Roman"/>
          <w:sz w:val="24"/>
          <w:lang w:val="en-GB"/>
        </w:rPr>
        <w:t>(Brown 2001)</w:t>
      </w:r>
      <w:r w:rsidR="00996481">
        <w:rPr>
          <w:rFonts w:ascii="Times New Roman" w:hAnsi="Times New Roman" w:cs="Times New Roman"/>
          <w:sz w:val="24"/>
          <w:szCs w:val="24"/>
          <w:lang w:val="en-GB"/>
        </w:rPr>
        <w:fldChar w:fldCharType="end"/>
      </w:r>
      <w:r w:rsidR="00996481">
        <w:rPr>
          <w:rFonts w:ascii="Times New Roman" w:hAnsi="Times New Roman" w:cs="Times New Roman"/>
          <w:sz w:val="24"/>
          <w:szCs w:val="24"/>
          <w:lang w:val="en-GB"/>
        </w:rPr>
        <w:t xml:space="preserve"> and “new materialism” </w:t>
      </w:r>
      <w:r w:rsidR="00996481">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{"citationID":"kYjN8HcG","properties":{"formattedCitation":"(Coole and Frost 2010; Dolphijn and Van der Tuin 2012)","plainCitation":"(Coole and Frost 2010; Dolphijn and Van der Tuin 2012)","noteIndex":0},"citationItems":[{"id":353,"uris":["http://zotero.org/users/4953069/items/JMJ66N4Q"],"uri":["http://zotero.org/users/4953069/items/JMJ66N4Q"],"itemData":{"id":353,"type":"book","title":"New Materialisms: Ontology, Agency, and Politics","publisher":"Duke University Press","publisher-place":"Durham","number-of-pages":"348","source":"Google Books","event-place":"Durham","abstract":"New Materialisms brings into focus and explains the significance of the innovative materialist critiques that are emerging across the social sciences and humanities. By gathering essays that exemplify the new thinking about matter and processes of materialization, this important collection shows how scholars are reworking older materialist traditions, contemporary theoretical debates, and advances in scientific knowledge to address pressing ethical and political challenges. In the introduction, Diana Coole and Samantha Frost highlight common themes among the distinctive critical projects that comprise the new materialisms. The continuities they discern include a posthumanist conception of matter as lively or exhibiting agency, and a reengagement with both the material realities of everyday life and broader geopolitical and socioeconomic structures.Coole and Frost argue that contemporary economic, environmental, geopolitical, and technological developments demand new accounts of nature, agency, and social and political relationships; modes of inquiry that privilege consciousness and subjectivity are not adequate to the task. New materialist philosophies are needed to do justice to the complexities of twenty-first-century biopolitics and political economy, because they raise fundamental questions about the place of embodied humans in a material world and the ways that we produce, reproduce, and consume our material environment.ContributorsSara AhmedJane BennettRosi BraidottiPheng CheahRey ChowWilliam E. ConnollyDiana CooleJason EdwardsSamantha FrostElizabeth GroszSonia KruksMelissa A. Orlie","ISBN":"978-0-8223-9299-6","note":"Google-Books-ID: UFhBBKKTkMoC","shortTitle":"New Materialisms","language":"en","editor":[{"family":"Coole","given":"Diana"},{"family":"Frost","given":"Samantha"}],"issued":{"date-parts":[["2010",8,19]]}}},{"id":162,"uris":["http://zotero.org/users/4953069/items/J923QB2S"],"uri":["http://zotero.org/users/4953069/items/J923QB2S"],"itemData":{"id":162,"type":"book","title":"New Materialism: Interviews &amp; Cartographies","publisher":"Open Humanities Press","publisher-place":"Ann Arbor","event-place":"Ann Arbor","editor":[{"family":"Dolphijn","given":"Rick"},{"family":"Van der Tuin","given":"Iris"}],"issued":{"date-parts":[["2012"]]}}}],"schema":"https://github.com/citation-style-language/schema/raw/master/csl-citation.json"} </w:instrText>
      </w:r>
      <w:r w:rsidR="00996481">
        <w:rPr>
          <w:rFonts w:ascii="Times New Roman" w:hAnsi="Times New Roman" w:cs="Times New Roman"/>
          <w:sz w:val="24"/>
          <w:szCs w:val="24"/>
          <w:lang w:val="en-GB"/>
        </w:rPr>
        <w:fldChar w:fldCharType="separate"/>
      </w:r>
      <w:r w:rsidR="00996481" w:rsidRPr="004802B4">
        <w:rPr>
          <w:rFonts w:ascii="Times New Roman" w:hAnsi="Times New Roman" w:cs="Times New Roman"/>
          <w:sz w:val="24"/>
          <w:lang w:val="en-GB"/>
        </w:rPr>
        <w:t>(Coole and Frost 2010; Dolphijn and Van der Tuin 2012)</w:t>
      </w:r>
      <w:r w:rsidR="00996481">
        <w:rPr>
          <w:rFonts w:ascii="Times New Roman" w:hAnsi="Times New Roman" w:cs="Times New Roman"/>
          <w:sz w:val="24"/>
          <w:szCs w:val="24"/>
          <w:lang w:val="en-GB"/>
        </w:rPr>
        <w:fldChar w:fldCharType="end"/>
      </w:r>
      <w:r w:rsidR="00996481">
        <w:rPr>
          <w:rFonts w:ascii="Times New Roman" w:hAnsi="Times New Roman" w:cs="Times New Roman"/>
          <w:sz w:val="24"/>
          <w:szCs w:val="24"/>
          <w:lang w:val="en-GB"/>
        </w:rPr>
        <w:t xml:space="preserve"> as well as that of material culture, and important work on materiality and embodiment is also being done in adjacent interdisciplinary fields such as performance studies, sensory studies, and cultural and political ecology.</w:t>
      </w:r>
    </w:p>
    <w:p w14:paraId="6665201D" w14:textId="326D20CC" w:rsidR="00996481" w:rsidRDefault="00996481" w:rsidP="006E650C">
      <w:pPr>
        <w:spacing w:after="0" w:line="36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 xml:space="preserve">The study of material culture, understood broadly, is thus a diverse and vibrant academic field, and it has offered a number of important challenges to traditional approaches in the social sciences and humanities. As archaeologist Dan Hicks writes, in the intertwining of human and material lives “things themselves can come to constitute contexts, which are </w:t>
      </w:r>
      <w:r w:rsidRPr="0090650E">
        <w:rPr>
          <w:rFonts w:ascii="Times New Roman" w:hAnsi="Times New Roman" w:cs="Times New Roman"/>
          <w:i/>
          <w:sz w:val="24"/>
          <w:szCs w:val="24"/>
          <w:lang w:val="en-GB"/>
        </w:rPr>
        <w:t xml:space="preserve">by no means purely human or social </w:t>
      </w:r>
      <w:r>
        <w:rPr>
          <w:rFonts w:ascii="Times New Roman" w:hAnsi="Times New Roman" w:cs="Times New Roman"/>
          <w:sz w:val="24"/>
          <w:szCs w:val="24"/>
          <w:lang w:val="en-GB"/>
        </w:rPr>
        <w:t xml:space="preserve">contexts”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{"citationID":"tWMw1MzB","properties":{"formattedCitation":"(Hicks 2010)","plainCitation":"(Hicks 2010)","dontUpdate":true,"noteIndex":0},"citationItems":[{"id":363,"uris":["http://zotero.org/users/4953069/items/D8DUTCKE"],"uri":["http://zotero.org/users/4953069/items/D8DUTCKE"],"itemData":{"id":363,"type":"chapter","title":"The Material‐Cultural Turn: Event and Effect","container-title":"The Oxford Handbook of Material Culture Studies","publisher":"Oxford University Press","publisher-place":"Oxford","page":"25-98","source":"libsta28.lib.cam.ac.uk:2461","event-place":"Oxford","abstract":"The terms ‘material culture’ and ‘material culture studies’ emerged, one after another, during the twentieth century in the disciplines of archaeology and socio-cultural anthropology, and especially in the place of intersection between the two: anthropological archaeology. The purpose of this article, however, is to excavate the idea of ‘material culture studies’, rather than to bury it. Excavation examines the remains of the past in the present and for the present. It proceeds down from the surface, but the archaeological convention is to reverse this sequence in writing: from the past to the present. In the discussion of the history of ideas and theories, a major risk of such a chronological framework is that new ideas are narrated progressively, as paradigm shifts. The main argument of the article relates to the distinctive form taken by the ‘cultural turn’ in British archaeology and anthropology during the 1980s and 1990s.","URL":"http://www.oxfordhandbooks.com/view/10.1093/oxfordhb/9780199218714.001.0001/oxfordhb-9780199218714-e-2","author":[{"family":"Hicks","given":"Dan"}],"editor":[{"family":"Hicks","given":"Dan"},{"family":"Beaudry","given":"Mary C."}],"issued":{"date-parts":[["2010"]]},"accessed":{"date-parts":[["2017",2,2]]}}}],"schema":"https://github.com/citation-style-language/schema/raw/master/csl-citation.json"} </w:instrText>
      </w:r>
      <w:r>
        <w:rPr>
          <w:rFonts w:ascii="Times New Roman" w:hAnsi="Times New Roman" w:cs="Times New Roman"/>
          <w:sz w:val="24"/>
          <w:szCs w:val="24"/>
          <w:lang w:val="en-GB"/>
        </w:rPr>
        <w:fldChar w:fldCharType="separate"/>
      </w:r>
      <w:r w:rsidRPr="004802B4">
        <w:rPr>
          <w:rFonts w:ascii="Times New Roman" w:hAnsi="Times New Roman" w:cs="Times New Roman"/>
          <w:sz w:val="24"/>
          <w:lang w:val="en-GB"/>
        </w:rPr>
        <w:t>(Hicks 2010</w:t>
      </w:r>
      <w:r>
        <w:rPr>
          <w:rFonts w:ascii="Times New Roman" w:hAnsi="Times New Roman" w:cs="Times New Roman"/>
          <w:sz w:val="24"/>
          <w:lang w:val="en-GB"/>
        </w:rPr>
        <w:t>: 83, my emphasis</w:t>
      </w:r>
      <w:r w:rsidRPr="004802B4">
        <w:rPr>
          <w:rFonts w:ascii="Times New Roman" w:hAnsi="Times New Roman" w:cs="Times New Roman"/>
          <w:sz w:val="24"/>
          <w:lang w:val="en-GB"/>
        </w:rPr>
        <w:t>)</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thus nicely capturing the way in which material culture studies has often led to reconsiderations of standard assumptions of meaning and sociality. A main concern of the field has been how to account for this interpenetration of humans and things. Instead of a traditional humanist understanding of agency as independence from material and social constraints, scholars increasingly understand human agency and cognition to be relational, leading to what Jane Bennett calls a “congregational” rather than an “atomistic” understanding of agency, wherein agency is not located in a particular subject but formed through a reciprocal relation with the substances, artefacts, and technologies that fill the material world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{"citationID":"MmL1PrnD","properties":{"formattedCitation":"(Bennett 2009)","plainCitation":"(Bennett 2009)","dontUpdate":true,"noteIndex":0},"citationItems":[{"id":350,"uris":["http://zotero.org/users/4953069/items/H2E9DPRB"],"uri":["http://zotero.org/users/4953069/items/H2E9DPRB"],"itemData":{"id":350,"type":"book","title":"Vibrant Matter: A Political Ecology of Things","publisher":"Duke University Press","publisher-place":"Durham","number-of-pages":"202","source":"Google Books","event-place":"Durham","abstract":"In Vibrant Matter the political theorist Jane Bennett, renowned for her work on nature, ethics, and affect, shifts her focus from the human experience of things to things themselves. Bennett argues that political theory needs to do a better job of recognizing the active participation of nonhuman forces in events. Toward that end, she theorizes a “vital materiality” that runs through and across bodies, both human and nonhuman. Bennett explores how political analyses of public events might change were we to acknowledge that agency always emerges as the effect of ad hoc configurations of human and nonhuman forces. She suggests that recognizing that agency is distributed this way, and is not solely the province of humans, might spur the cultivation of a more responsible, ecologically sound politics: a politics less devoted to blaming and condemning individuals than to discerning the web of forces affecting situations and events.Bennett examines the political and theoretical implications of vital materialism through extended discussions of commonplace things and physical phenomena including stem cells, fish oils, electricity, metal, and trash. She reflects on the vital power of material formations such as landfills, which generate lively streams of chemicals, and omega-3 fatty acids, which can transform brain chemistry and mood. Along the way, she engages with the concepts and claims of Spinoza, Nietzsche, Thoreau, Darwin, Adorno, and Deleuze, disclosing a long history of thinking about vibrant matter in Western philosophy, including attempts by Kant, Bergson, and the embryologist Hans Driesch to name the “vital force” inherent in material forms. Bennett concludes by sketching the contours of a “green materialist” ecophilosophy.","ISBN":"978-0-8223-9162-3","note":"Google-Books-ID: Vok4FxXvZioC","shortTitle":"Vibrant Matter","language":"en","author":[{"family":"Bennett","given":"Jane"}],"issued":{"date-parts":[["2009",12,14]]}}}],"schema":"https://github.com/citation-style-language/schema/raw/master/csl-citation.json"} </w:instrText>
      </w:r>
      <w:r>
        <w:rPr>
          <w:rFonts w:ascii="Times New Roman" w:hAnsi="Times New Roman" w:cs="Times New Roman"/>
          <w:sz w:val="24"/>
          <w:szCs w:val="24"/>
          <w:lang w:val="en-GB"/>
        </w:rPr>
        <w:fldChar w:fldCharType="separate"/>
      </w:r>
      <w:r w:rsidRPr="006219AF">
        <w:rPr>
          <w:rFonts w:ascii="Times New Roman" w:hAnsi="Times New Roman" w:cs="Times New Roman"/>
          <w:sz w:val="24"/>
          <w:lang w:val="en-GB"/>
        </w:rPr>
        <w:t>(Bennett 2009: 20)</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Agency and cognition are often said to be “distributed” over what are variously called “networks”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{"citationID":"Quuv7erp","properties":{"formattedCitation":"(Latour 2005)","plainCitation":"(Latour 2005)","noteIndex":0},"citationItems":[{"id":265,"uris":["http://zotero.org/users/4953069/items/U2GRSFTJ"],"uri":["http://zotero.org/users/4953069/items/U2GRSFTJ"],"itemData":{"id":265,"type":"book","title":"Reassembling the Social: An Introduction to Actor-Network-Theory","publisher":"Oxford University Press","publisher-place":"Oxford","number-of-pages":"320","source":"Google Books","event-place":"Oxford","abstract":"Reassembling the Social is a fundamental challenge from one of the world's leading social theorists to how we understand society and the 'social'. Bruno Latour's contention is that the word 'social', as used by Social Scientists, has become laden with assumptions to the point where it has become misnomer. When the adjective is applied to a phenomenon, it is used to indicate a stablilized state of affairs, a bundle of ties that in due course may be used to account for another phenomenon. But Latour also finds the word used as if it described a type of material, in a comparable way to an adjective such as 'wooden' or 'steely'. Rather than simply indicating what is already assembled together, it is now used in a way that makes assumptions about the nature of what is assembled. It has become a word that designates two distinct things: a process of assembling; and a type of material, distinct from others. Latour shows why 'the social' cannot be thought of as a kind of material or domain, and disputes attempts to provide a 'social explanations' of other states of affairs. While these attempts have been productive (and probably necessary) in the past, the very success of the social sciences mean that they are largely no longer so. At the present stage it is no longer possible to inspect the precise constituents entering the social domain. Latour returns to the original meaning of 'the social' to redefine the notion, and allow it to trace connections again. It will then be possible to resume the traditional goal of the social sciences, but using more refined tools. Drawing on his extensive work examining the 'assemblages' of nature, Latour finds it necessary to scrutinize thoroughly the exact content of what is assembled under the umbrella of Society. This approach, a 'sociology of associations', has become known as Actor-Network-Theory, and this book is an essential introduction both for those seeking to understand Actor-Network Theory, or the ideas of one of its most influential proponents.","ISBN":"978-0-19-925605-1","note":"Google-Books-ID: 7ZGknQEACAAJ","shortTitle":"Reassembling the Social","language":"en","author":[{"family":"Latour","given":"Bruno"}],"issued":{"date-parts":[["2005"]]}}}],"schema":"https://github.com/citation-style-language/schema/raw/master/csl-citation.json"} </w:instrText>
      </w:r>
      <w:r>
        <w:rPr>
          <w:rFonts w:ascii="Times New Roman" w:hAnsi="Times New Roman" w:cs="Times New Roman"/>
          <w:sz w:val="24"/>
          <w:szCs w:val="24"/>
          <w:lang w:val="en-GB"/>
        </w:rPr>
        <w:fldChar w:fldCharType="separate"/>
      </w:r>
      <w:r w:rsidRPr="00843FB8">
        <w:rPr>
          <w:rFonts w:ascii="Times New Roman" w:hAnsi="Times New Roman" w:cs="Times New Roman"/>
          <w:sz w:val="24"/>
          <w:lang w:val="en-GB"/>
        </w:rPr>
        <w:t>(Latour 2005)</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“assemblages”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{"citationID":"8DZdeSHa","properties":{"formattedCitation":"(Bennett 2009)","plainCitation":"(Bennett 2009)","noteIndex":0},"citationItems":[{"id":350,"uris":["http://zotero.org/users/4953069/items/H2E9DPRB"],"uri":["http://zotero.org/users/4953069/items/H2E9DPRB"],"itemData":{"id":350,"type":"book","title":"Vibrant Matter: A Political Ecology of Things","publisher":"Duke University Press","publisher-place":"Durham","number-of-pages":"202","source":"Google Books","event-place":"Durham","abstract":"In Vibrant Matter the political theorist Jane Bennett, renowned for her work on nature, ethics, and affect, shifts her focus from the human experience of things to things themselves. Bennett argues that political theory needs to do a better job of recognizing the active participation of nonhuman forces in events. Toward that end, she theorizes a “vital materiality” that runs through and across bodies, both human and nonhuman. Bennett explores how political analyses of public events might change were we to acknowledge that agency always emerges as the effect of ad hoc configurations of human and nonhuman forces. She suggests that recognizing that agency is distributed this way, and is not solely the province of humans, might spur the cultivation of a more responsible, ecologically sound politics: a politics less devoted to blaming and condemning individuals than to discerning the web of forces affecting situations and events.Bennett examines the political and theoretical implications of vital materialism through extended discussions of commonplace things and physical phenomena including stem cells, fish oils, electricity, metal, and trash. She reflects on the vital power of material formations such as landfills, which generate lively streams of chemicals, and omega-3 fatty acids, which can transform brain chemistry and mood. Along the way, she engages with the concepts and claims of Spinoza, Nietzsche, Thoreau, Darwin, Adorno, and Deleuze, disclosing a long history of thinking about vibrant matter in Western philosophy, including attempts by Kant, Bergson, and the embryologist Hans Driesch to name the “vital force” inherent in material forms. Bennett concludes by sketching the contours of a “green materialist” ecophilosophy.","ISBN":"978-0-8223-9162-3","note":"Google-Books-ID: Vok4FxXvZioC","shortTitle":"Vibrant Matter","language":"en","author":[{"family":"Bennett","given":"Jane"}],"issued":{"date-parts":[["2009",12,14]]}}}],"schema":"https://github.com/citation-style-language/schema/raw/master/csl-citation.json"} </w:instrText>
      </w:r>
      <w:r>
        <w:rPr>
          <w:rFonts w:ascii="Times New Roman" w:hAnsi="Times New Roman" w:cs="Times New Roman"/>
          <w:sz w:val="24"/>
          <w:szCs w:val="24"/>
          <w:lang w:val="en-GB"/>
        </w:rPr>
        <w:fldChar w:fldCharType="separate"/>
      </w:r>
      <w:r w:rsidRPr="00843FB8">
        <w:rPr>
          <w:rFonts w:ascii="Times New Roman" w:hAnsi="Times New Roman" w:cs="Times New Roman"/>
          <w:sz w:val="24"/>
          <w:lang w:val="en-GB"/>
        </w:rPr>
        <w:t>(Bennett 2009)</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or “</w:t>
      </w:r>
      <w:proofErr w:type="spellStart"/>
      <w:r>
        <w:rPr>
          <w:rFonts w:ascii="Times New Roman" w:hAnsi="Times New Roman" w:cs="Times New Roman"/>
          <w:sz w:val="24"/>
          <w:szCs w:val="24"/>
          <w:lang w:val="en-GB"/>
        </w:rPr>
        <w:t>meshworks</w:t>
      </w:r>
      <w:proofErr w:type="spellEnd"/>
      <w:r>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{"citationID":"8zJz0clk","properties":{"formattedCitation":"(Ingold 2011b)","plainCitation":"(Ingold 2011b)","noteIndex":0},"citationItems":[{"id":349,"uris":["http://zotero.org/users/4953069/items/TWX3FKHD"],"uri":["http://zotero.org/users/4953069/items/TWX3FKHD"],"itemData":{"id":349,"type":"book","title":"Redrawing Anthropology: Materials, Movements, Lines","publisher":"Ashgate Publishing, Ltd.","number-of-pages":"216","source":"Google Books","abstract":"This title shifts our attention away from ready-made objects in the study of agency and the relations between people and material objects, to a focus on the processes of generation and dissolution, and hence, the nature of design and the central place of &amp;#39;line-making&amp;#39; in practices of observation and learning.","ISBN":"978-1-4094-1774-3","note":"Google-Books-ID: Uw0vYLruT7sC","shortTitle":"Redrawing Anthropology","language":"en","editor":[{"family":"Ingold","given":"Tim"}],"issued":{"date-parts":[["2011"]]}}}],"schema":"https://github.com/citation-style-language/schema/raw/master/csl-citation.json"} </w:instrText>
      </w:r>
      <w:r>
        <w:rPr>
          <w:rFonts w:ascii="Times New Roman" w:hAnsi="Times New Roman" w:cs="Times New Roman"/>
          <w:sz w:val="24"/>
          <w:szCs w:val="24"/>
          <w:lang w:val="en-GB"/>
        </w:rPr>
        <w:fldChar w:fldCharType="separate"/>
      </w:r>
      <w:r w:rsidRPr="00843FB8">
        <w:rPr>
          <w:rFonts w:ascii="Times New Roman" w:hAnsi="Times New Roman" w:cs="Times New Roman"/>
          <w:sz w:val="24"/>
          <w:lang w:val="en-GB"/>
        </w:rPr>
        <w:t>(Ingold 2011b)</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This reciprocal relation implies, first, that such networks are contingent and dynamic, and second, that the material world is active rather than passive—an idea that some scholars express with the concept of “material agency”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{"citationID":"nfc3vOnY","properties":{"formattedCitation":"(Latour 2005; Knappett and Malafouris 2008; Pinch 2010; Ingold 2011)","plainCitation":"(Latour 2005; Knappett and Malafouris 2008; Pinch 2010; Ingold 2011)","dontUpdate":true,"noteIndex":0},"citationItems":[{"id":265,"uris":["http://zotero.org/users/4953069/items/U2GRSFTJ"],"uri":["http://zotero.org/users/4953069/items/U2GRSFTJ"],"itemData":{"id":265,"type":"book","title":"Reassembling the Social: An Introduction to Actor-Network-Theory","publisher":"Oxford University Press","publisher-place":"Oxford","number-of-pages":"320","source":"Google Books","event-place":"Oxford","abstract":"Reassembling the Social is a fundamental challenge from one of the world's leading social theorists to how we understand society and the 'social'. Bruno Latour's contention is that the word 'social', as used by Social Scientists, has become laden with assumptions to the point where it has become misnomer. When the adjective is applied to a phenomenon, it is used to indicate a stablilized state of affairs, a bundle of ties that in due course may be used to account for another phenomenon. But Latour also finds the word used as if it described a type of material, in a comparable way to an adjective such as 'wooden' or 'steely'. Rather than simply indicating what is already assembled together, it is now used in a way that makes assumptions about the nature of what is assembled. It has become a word that designates two distinct things: a process of assembling; and a type of material, distinct from others. Latour shows why 'the social' cannot be thought of as a kind of material or domain, and disputes attempts to provide a 'social explanations' of other states of affairs. While these attempts have been productive (and probably necessary) in the past, the very success of the social sciences mean that they are largely no longer so. At the present stage it is no longer possible to inspect the precise constituents entering the social domain. Latour returns to the original meaning of 'the social' to redefine the notion, and allow it to trace connections again. It will then be possible to resume the traditional goal of the social sciences, but using more refined tools. Drawing on his extensive work examining the 'assemblages' of nature, Latour finds it necessary to scrutinize thoroughly the exact content of what is assembled under the umbrella of Society. This approach, a 'sociology of associations', has become known as Actor-Network-Theory, and this book is an essential introduction both for those seeking to understand Actor-Network Theory, or the ideas of one of its most influential proponents.","ISBN":"978-0-19-925605-1","note":"Google-Books-ID: 7ZGknQEACAAJ","shortTitle":"Reassembling the Social","language":"en","author":[{"family":"Latour","given":"Bruno"}],"issued":{"date-parts":[["2005"]]}}},{"id":347,"uris":["http://zotero.org/users/4953069/items/7EJUPQI3"],"uri":["http://zotero.org/users/4953069/items/7EJUPQI3"],"itemData":{"id":347,"type":"book","title":"Material Agency: Towards a Non-Anthropocentric Approach","publisher":"Springer","publisher-place":"New York","number-of-pages":"268","source":"Google Books","event-place":"New York","abstract":"Agency is a key theme that cross-cuts a wide raft of disciplines in the humanities, social sciences and beyond; yet it is invariably discussed separately behind closed disciplinary doors.  Within archaeology, agency has been characterized as a uniquely human attribute, and a means of incorporating individual intentionality into theoretical discourse. In other domains, however, notions of non-human and ‘material’ agency have been finding currency, and it is our aim to introduce some of these themes into archaeology and develop a non-anthropocentric approach to agency.  It is anticipated that such a perspective will not only help us achieve more convincing interpretations of the past, giving a more active role to material culture, but also throw new light on the changing role of artifacts in the present and the future.  This book is a groundbreaking attempt to address questions of non-human and material agency from a wide range of perspectives and disciplines: archaeology, anthropology, sociology, cognitive science, philosophy, and economics. The editors and authors demostrate that a distributed, relational approach to agency, incorporating both humans and artifacts, has important ramifications for how we understand material culture.","ISBN":"978-0-387-74711-8","note":"Google-Books-ID: V4TiiiDYixIC","shortTitle":"Material Agency","language":"en","editor":[{"family":"Knappett","given":"Carl"},{"family":"Malafouris","given":"Lambros"}],"issued":{"date-parts":[["2008"]]}}},{"id":164,"uris":["http://zotero.org/users/4953069/items/QHIDFKZG"],"uri":["http://zotero.org/users/4953069/items/QHIDFKZG"],"itemData":{"id":164,"type":"article-journal","title":"On making infrastructure visible: putting the non-humans to rights","container-title":"Cambridge Journal of Economics","page":"77-89","volume":"34","issue":"1","source":"academic.oup.com","DOI":"10.1093/cje/bep044","ISSN":"0309-166X","shortTitle":"On making infrastructure visible","journalAbbreviation":"Camb J Econ","author":[{"family":"Pinch","given":"Trevor"}],"issued":{"date-parts":[["2010",1,1]]}}},{"id":159,"uris":["http://zotero.org/users/4953069/items/AMHQW9IM"],"uri":["http://zotero.org/users/4953069/items/AMHQW9IM"],"itemData":{"id":159,"type":"book","title":"Being Alive: Essays on Movement, Knowledge and Description","publisher":"Routledge","publisher-place":"Abingdon","number-of-pages":"279","source":"Google Books","event-place":"Abingdon","abstract":"Anthropology is a disciplined inquiry into the conditions and potentials of human life. Generations of theorists, however, have expunged life from their accounts, treating it as the mere output of patterns, codes, structures or systems variously defined as genetic or cultural, natural or social. Building on his classic work The Perception of the Environment, Tim Ingold sets out to restore life to where it should belong, at the heart of anthropological concern.  Being Alive ranges over such themes as the vitality of materials, what it means to make things, the perception and formation of the ground, the mingling of earth and sky in the weather-world, the experiences of light, sound and feeling, the role of storytelling in the integration of knowledge, and the potential of drawing to unite observation and description.  Our humanity, Ingold argues, does not come ready-made but is continually fashioned in our movements along ways of life. Starting from the idea of life as a process of wayfaring, Ingold presents a radically new understanding of movement, knowledge and description as dimensions not just of being in the world, but of being alive to what is going on there.","ISBN":"978-1-136-73543-1","note":"Google-Books-ID: 40yxRsE0OQUC","shortTitle":"Being Alive","language":"en","author":[{"family":"Ingold","given":"Tim"}],"issued":{"date-parts":[["2011"]]}}}],"schema":"https://github.com/citation-style-language/schema/raw/master/csl-citation.json"} </w:instrText>
      </w:r>
      <w:r>
        <w:rPr>
          <w:rFonts w:ascii="Times New Roman" w:hAnsi="Times New Roman" w:cs="Times New Roman"/>
          <w:sz w:val="24"/>
          <w:szCs w:val="24"/>
          <w:lang w:val="en-GB"/>
        </w:rPr>
        <w:fldChar w:fldCharType="separate"/>
      </w:r>
      <w:r w:rsidRPr="000C76F4">
        <w:rPr>
          <w:rFonts w:ascii="Times New Roman" w:hAnsi="Times New Roman" w:cs="Times New Roman"/>
          <w:sz w:val="24"/>
          <w:lang w:val="en-GB"/>
        </w:rPr>
        <w:t xml:space="preserve">(Latour 2005; Knappett and Malafouris 2008; </w:t>
      </w:r>
      <w:r>
        <w:rPr>
          <w:rFonts w:ascii="Times New Roman" w:hAnsi="Times New Roman" w:cs="Times New Roman"/>
          <w:sz w:val="24"/>
          <w:lang w:val="en-GB"/>
        </w:rPr>
        <w:t xml:space="preserve">for alternative views see </w:t>
      </w:r>
      <w:r w:rsidRPr="000C76F4">
        <w:rPr>
          <w:rFonts w:ascii="Times New Roman" w:hAnsi="Times New Roman" w:cs="Times New Roman"/>
          <w:sz w:val="24"/>
          <w:lang w:val="en-GB"/>
        </w:rPr>
        <w:t>Pinch 2010; Ingold 2011)</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w:t>
      </w:r>
    </w:p>
    <w:p w14:paraId="3FC1FA3A" w14:textId="60AD6D85" w:rsidR="00996481" w:rsidRDefault="00996481" w:rsidP="00712C68">
      <w:pPr>
        <w:spacing w:after="0" w:line="36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 xml:space="preserve">In music scholarship, such ideas have been explored in depth in the field of music technology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{"citationID":"B4TiY1M3","properties":{"formattedCitation":"{\\rtf (Th\\uc0\\u233{}berge 1997; Taylor 2001; Straw 2002; Straw 2000; Straw 2012; Sterne 2003; Born 2005; Katz 2010)}","plainCitation":"(Théberge 1997; Taylor 2001; Straw 2002; Straw 2000; Straw 2012; Sterne 2003; Born 2005; Katz 2010)","dontUpdate":true,"noteIndex":0},"citationItems":[{"id":134,"uris":["http://zotero.org/users/4953069/items/7APTFWFC"],"uri":["http://zotero.org/users/4953069/items/7APTFWFC"],"itemData":{"id":134,"type":"book","title":"Any Sound You Can Imagine: Making Music/Consuming Technology","publisher":"Wesleyan University Press","publisher-place":"Middletown","number-of-pages":"308","source":"Google Books","event-place":"Middletown","abstract":"Winner of the International Association for the Study of Popular Music (IASPM) Book Award (1997)Recent innovations in musical instrument design are not simply a response to the needs of musicians, writes Paul Théberge; they also have become \"a driving force with which musicians must contend.\" He argues that digital synthesizers, samplers, and sequencers in studio production and in the home have caused musicians to rely increasingly on manufacturers for both the instruments themselves as well as the very sounds and musical patterns that they use to make music. Musical practices have thus become allied with a new type of consumer practice that is altogether different from earlier relationships between musicians and their instruments as a means of production. Théberge places these developments within a broad social and historical perspective that examines the development of the musical instrument industry, particularly the piano industry, the economic and cultural role of musicians' magazines and computer networks, and the fundamental relationships between musical concepts, styles, and technology.","ISBN":"978-0-8195-6309-5","note":"Google-Books-ID: asBnYmKKz6kC","shortTitle":"Any Sound You Can Imagine","language":"en","author":[{"family":"Théberge","given":"Paul"}],"issued":{"date-parts":[["1997",6,23]]}}},{"id":135,"uris":["http://zotero.org/users/4953069/items/CFMJ4CIX"],"uri":["http://zotero.org/users/4953069/items/CFMJ4CIX"],"itemData":{"id":135,"type":"book","title":"Strange Sounds: Music, Technology and Culture","publisher":"Routledge","publisher-place":"New York","number-of-pages":"289","source":"Google Books","event-place":"New York","abstract":"In Strange Sounds, Timothy D. Taylor explains the wonder and anxiety provoked by a technological revolution that began in the 1940s and gathers steam daily. Taylor discusses the ultural role of technology, its use in making music, and the inevitable concerns about \"authenticity\" that arise from electronic music. Informative and highly entertaining for both music fans and scholars, Strange Sounds is a provocative look at how we perform, listen to, and understand music today.","ISBN":"978-1-135-20652-9","note":"Google-Books-ID: MDyMAgAAQBAJ","shortTitle":"Strange Sounds","language":"en","author":[{"family":"Taylor","given":"Timothy D."}],"issued":{"date-parts":[["2001"]]}}},{"id":136,"uris":["http://zotero.org/users/4953069/items/ENDNBJ56"],"uri":["http://zotero.org/users/4953069/items/ENDNBJ56"],"itemData":{"id":136,"type":"article-journal","title":"Music as Commodity and Material Culture","container-title":"Repercussions","page":"147-172","volume":"7-8","author":[{"family":"Straw","given":"Will"}],"issued":{"date-parts":[["2002"]]}}},{"id":132,"uris":["http://zotero.org/users/4953069/items/D8VT599A"],"uri":["http://zotero.org/users/4953069/items/D8VT599A"],"itemData":{"id":132,"type":"article-journal","title":"Exhausted Commodities: The Material Culture of Music","container-title":"Canadian Journal of Communication","page":"175-185","volume":"25","issue":"1","author":[{"family":"Straw","given":"Will"}],"issued":{"date-parts":[["2000"]]}}},{"id":342,"uris":["http://zotero.org/users/4953069/items/54A52T3H"],"uri":["http://zotero.org/users/4953069/items/54A52T3H"],"itemData":{"id":342,"type":"chapter","title":"Music and Material Culture","container-title":"The Cultural Study of Music: A Critical Introduction","publisher":"Routledge","publisher-place":"New York","page":"227-236","edition":"2nd Edition","event-place":"New York","author":[{"family":"Straw","given":"Will"}],"editor":[{"family":"Clayton","given":"Martin"},{"family":"Herbert","given":"Trevor"},{"family":"Middleton","given":"Richard"}],"issued":{"date-parts":[["2012"]]}}},{"id":329,"uris":["http://zotero.org/users/4953069/items/64G455WP"],"uri":["http://zotero.org/users/4953069/items/64G455WP"],"itemData":{"id":329,"type":"book","title":"The Audible Past: Cultural Origins of Sound Reproduction","publisher":"Duke University Press","publisher-place":"Durham","number-of-pages":"476","source":"Google Books","event-place":"Durham","abstract":"The Audible Past explores the cultural origins of sound reproduction. It describes a distinctive sound culture that gave birth to the sound recording and the transmission devices so ubiquitous in modern life. With an ear for the unexpected, scholar and musician Jonathan Sterne uses the technological and cultural precursors of telephony, phonography, and radio as an entry point into a history of sound in its own right. Sterne studies the constantly shifting boundary between phenomena organized as \"sound\" and \"not sound.\" In The Audible Past, this history crisscrosses the liminal regions between bodies and machines, originals and copies, nature and culture, and life and death. Blending cultural studies and the history of communication technology, Sterne follows modern sound technologies back through a historical labyrinth. Along the way, he encounters capitalists and inventors, musicians and philosophers, embalmers and grave robbers, doctors and patients, deaf children and their teachers, professionals and hobbyists, folklorists and tribal singers. The Audible Past tracks the connections between the history of sound and the defining features of modernity: from developments in medicine, physics, and philosophy to the tumultuous shifts of industrial capitalism, colonialism, urbanization, modern technology, and the rise of a new middle class.A provocative history of sound, The Audible Past challenges theoretical commonplaces such as the philosophical privilege of the speaking subject, the visual bias in theories of modernity, and static descriptions of nature. It will interest those in cultural studies, media and communication studies, the new musicology, and the history of technology.","ISBN":"978-0-8223-3013-4","note":"Google-Books-ID: xeh0Fhe9Y9wC","shortTitle":"The Audible Past","language":"en","author":[{"family":"Sterne","given":"Jonathan"}],"issued":{"date-parts":[["2003"]]}}},{"id":301,"uris":["http://zotero.org/users/4953069/items/M4ZN8UHA"],"uri":["http://zotero.org/users/4953069/items/M4ZN8UHA"],"itemData":{"id":301,"type":"article-journal","title":"On Musical Mediation: Ontology, Technology and Creativity","container-title":"Twentieth-Century Music","page":"7–36","volume":"2","issue":"01","source":"Cambridge Journals Online","abstract":"This article develops a theoretical analysis of music and mediation, building on the work of Theodor Adorno, Tia DeNora and Antoine Hennion. It begins by suggesting that Lydia Goehr’s account of the work concept requires such a perspective. Drawing on Alfred Gell’s anthropology of art, the article outlines an approach to mediation that incorporates understandings of music’s social, technological and temporal dimensions. It suggests that music’s mediations have taken a number of historical forms, which cohere into assemblages, and that we should be alert to shifts in the dominant forms of musical assemblage. In the latter part of the article, these tools are used to conceptualize changing forms of musical creativity that emerged over the twentieth century. A comparison is made between the work concept and jazz and improvised electronic musics. Three contemporary digital music experiments are discussed in detail, demonstrating the concepts of the provisional work and of social, distributed and relayed creativity. Throughout, key motifs are mediation, creativity, and the negotiation of difference.","DOI":"10.1017/S147857220500023X","ISSN":"1478-5730","shortTitle":"On Musical Mediation","author":[{"family":"Born","given":"Georgina"}],"issued":{"date-parts":[["2005",3]]}}},{"id":133,"uris":["http://zotero.org/users/4953069/items/XF4R9RK4"],"uri":["http://zotero.org/users/4953069/items/XF4R9RK4"],"itemData":{"id":133,"type":"book","title":"Capturing Sound: How Technology Has Changed Music","publisher":"University of California Press","publisher-place":"Berkeley","number-of-pages":"336","source":"Google Books","event-place":"Berkeley","abstract":"There is more to sound recording than just recording sound. Far from being simply a tool for the preservation of music, the technology is a catalyst. In this award-winning text, Mark Katz provides a wide-ranging, deeply informative, consistently entertaining history of recording's profound impact on the musical life of the past century, from Edison to the Internet. Fully revised and updated, this new edition adds coverage of mashups and Auto-Tune, explores recent developments in file-sharing, and includes an expanded conclusion and bibliography. Find illustrative sound and film clips on the new companion website at www.ucpress.edu/go/capturingsound","ISBN":"978-0-520-26105-1","note":"Google-Books-ID: r_p_Q6TUrQoC","shortTitle":"Capturing Sound","language":"en","author":[{"family":"Katz","given":"Mark"}],"issued":{"date-parts":[["2010",10,7]]}}}],"schema":"https://github.com/citation-style-language/schema/raw/master/csl-citation.json"} </w:instrText>
      </w:r>
      <w:r>
        <w:rPr>
          <w:rFonts w:ascii="Times New Roman" w:hAnsi="Times New Roman" w:cs="Times New Roman"/>
          <w:sz w:val="24"/>
          <w:szCs w:val="24"/>
          <w:lang w:val="en-GB"/>
        </w:rPr>
        <w:fldChar w:fldCharType="separate"/>
      </w:r>
      <w:r w:rsidRPr="00D56B13">
        <w:rPr>
          <w:rFonts w:ascii="Times New Roman" w:hAnsi="Times New Roman" w:cs="Times New Roman"/>
          <w:sz w:val="24"/>
          <w:szCs w:val="24"/>
          <w:lang w:val="en-GB"/>
        </w:rPr>
        <w:t>(Théberge 1997; Taylor 2001; Straw 2000</w:t>
      </w:r>
      <w:r>
        <w:rPr>
          <w:rFonts w:ascii="Times New Roman" w:hAnsi="Times New Roman" w:cs="Times New Roman"/>
          <w:sz w:val="24"/>
          <w:szCs w:val="24"/>
          <w:lang w:val="en-GB"/>
        </w:rPr>
        <w:t xml:space="preserve">, </w:t>
      </w:r>
      <w:r w:rsidRPr="00D56B13">
        <w:rPr>
          <w:rFonts w:ascii="Times New Roman" w:hAnsi="Times New Roman" w:cs="Times New Roman"/>
          <w:sz w:val="24"/>
          <w:szCs w:val="24"/>
          <w:lang w:val="en-GB"/>
        </w:rPr>
        <w:t>2012; Sterne 2003; Born 2005; Katz 2010)</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and more recently have also been applied to musical instruments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{"citationID":"CDJktx8Y","properties":{"formattedCitation":"(Dolan 2012; Tresch and Dolan 2013; Bates 2012; Roda 2014; Moseley 2016; Rehding 2016)","plainCitation":"(Dolan 2012; Tresch and Dolan 2013; Bates 2012; Roda 2014; Moseley 2016; Rehding 2016)","noteIndex":0},"citationItems":[{"id":551,"uris":["http://zotero.org/users/4953069/items/EFQDMMMK"],"uri":["http://zotero.org/users/4953069/items/EFQDMMMK"],"itemData":{"id":551,"type":"article-journal","title":"Toward a Musicology of Interfaces","container-title":"Keyboard Perspectives","page":"1-12","volume":"5","author":[{"family":"Dolan","given":"Emily"}],"issued":{"date-parts":[["2012"]]}}},{"id":550,"uris":["http://zotero.org/users/4953069/items/DSRNGV8C"],"uri":["http://zotero.org/users/4953069/items/DSRNGV8C"],"itemData":{"id":550,"type":"article-journal","title":"Toward a New Organology: Instruments of Music and Science","container-title":"Osiris","page":"278-298","volume":"28","issue":"1","source":"JSTOR","abstract":"AbstractThe Renaissance genre of organological treatises inventoried the forms and functions of musical instruments. This article proposes an update and expansion of the organological tradition, examining the discourses and practices surrounding both musical and scientific instruments. Drawing on examples from many periods and genres, we aim to capture instruments’ diverse ways of life. To that end we propose and describe a comparative “ethics of instruments”: an analysis of instruments’ material configurations, social and institutional locations, degrees of freedom, and teleologies. This perspective makes it possible to trace the intersecting and at times divergent histories of science and music: their shared material practices, aesthetic commitments, and attitudes toward technology, as well as their impact on understandings of human agency and the order of nature.","DOI":"10.1086/671381","ISSN":"0369-7827","shortTitle":"Toward a New Organology","journalAbbreviation":"Osiris","author":[{"family":"Tresch","given":"John"},{"family":"Dolan","given":"Emily"}],"issued":{"date-parts":[["2013"]]}}},{"id":148,"uris":["http://zotero.org/users/4953069/items/QB9RJ83J"],"uri":["http://zotero.org/users/4953069/items/QB9RJ83J"],"itemData":{"id":148,"type":"article-journal","title":"The Social Life of Musical Instruments","container-title":"Ethnomusicology","page":"363-395","volume":"56","issue":"3","source":"JSTOR","DOI":"10.5406/ethnomusicology.56.3.0363","ISSN":"0014-1836","author":[{"family":"Bates","given":"Eliot"}],"issued":{"date-parts":[["2012"]]}}},{"id":291,"uris":["http://zotero.org/users/4953069/items/E455GZ2J"],"uri":["http://zotero.org/users/4953069/items/E455GZ2J"],"itemData":{"id":291,"type":"article-journal","title":"Tabla Tuning on the Workshop Stage: Toward a Materialist Musical Ethnography","container-title":"Ethnomusicology Forum","page":"360-382","volume":"23","issue":"3","source":"Taylor and Francis+NEJM","abstract":"Focusing on the climactic moment when a customer comes to the shop to collect his or her drum, this article describes the fine-tuning of tabla in great detail. In the process, the paper addresses the dexterous manual gestures and acts of diagnostic audition performed by tabla makers, relationships between players and makers, as well as the interconnection between material and interpersonal constraints that influence fine-tuning. This musical ethnography of tabla tuning is grounded in a methodology based on new materialist scholarship such as object-oriented ontology and actor network theory. It advocates for greater acknowledgement of the ways in which instruments influence musical practices as well as the musical contributions of instrument makers, and it demonstrates the practical application of materialist scholarship to the study of musical practices.","DOI":"10.1080/17411912.2014.919871","ISSN":"1741-1912","shortTitle":"Tabla Tuning on the Workshop Stage","author":[{"family":"Roda","given":"P. Allen"}],"issued":{"date-parts":[["2014",9,2]]}}},{"id":384,"uris":["http://zotero.org/users/4953069/items/FJ5BSE2S"],"uri":["http://zotero.org/users/4953069/items/FJ5BSE2S"],"itemData":{"id":384,"type":"book","title":"Keys to Play: Music as a Ludic Medium from Apollo to Nintendo","publisher":"University of California Press","publisher-place":"Berkeley","number-of-pages":"486","source":"Google Books","event-place":"Berkeley","abstract":"At publication date, a free ebook version of this title will be available through Luminos, University of California Press's open access publishing program for monographs. Visit www.luminosoa.org to learn more.  How do keyboards make music playable? Drawing on theories of media, systems, and cultural techniques, Keys to Play spans Greek myth and contemporary Japanese digital games to chart a genealogy of musical play and its animation via improvisation, performance, and recreation. As a paradigmatic digital interface, the keyboard forms a field of play on which the book's diverse objects of inquiry--from clavichords to PCs and eighteenth-century musical dice games to the latest rhythm-action titles--enter into analogical relations. Remapping the keyboard's topography by way of Mozart and Super Mario, who head an expansive cast of historical and virtual actors, Keys to Play invites readers to unlock ludic dimensions of music that are at once old and new.","ISBN":"978-0-520-29124-9","note":"Google-Books-ID: C1b_jwEACAAJ","shortTitle":"Keys to Play","language":"en","author":[{"family":"Moseley","given":"Roger"}],"issued":{"date-parts":[["2016"]]}}},{"id":175,"uris":["http://zotero.org/users/4953069/items/GAJXCS2P"],"uri":["http://zotero.org/users/4953069/items/GAJXCS2P"],"itemData":{"id":175,"type":"article-journal","title":"Instruments of Music Theory","container-title":"Music Theory Online","volume":"22","issue":"4","source":"mtosmt.org","URL":"http://mtosmt.org/issues/mto.16.22.4/mto.16.22.4.rehding.html","author":[{"family":"Rehding","given":"Alexander"}],"issued":{"date-parts":[["2016",12,1]]},"accessed":{"date-parts":[["2017",2,3]]}}}],"schema":"https://github.com/citation-style-language/schema/raw/master/csl-citation.json"} </w:instrText>
      </w:r>
      <w:r>
        <w:rPr>
          <w:rFonts w:ascii="Times New Roman" w:hAnsi="Times New Roman" w:cs="Times New Roman"/>
          <w:sz w:val="24"/>
          <w:szCs w:val="24"/>
          <w:lang w:val="en-GB"/>
        </w:rPr>
        <w:fldChar w:fldCharType="separate"/>
      </w:r>
      <w:r w:rsidRPr="00712C68">
        <w:rPr>
          <w:rFonts w:ascii="Times New Roman" w:hAnsi="Times New Roman" w:cs="Times New Roman"/>
          <w:sz w:val="24"/>
          <w:lang w:val="en-GB"/>
        </w:rPr>
        <w:t>(Dolan 2012; Tresch and Dolan 2013; Bates 2012; Roda 2014; Moseley 2016; Rehding 2016)</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and music notation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{"citationID":"5Bk8NtxU","properties":{"formattedCitation":"(Orden 2015; Schuiling 2016)","plainCitation":"(Orden 2015; Schuiling 2016)","noteIndex":0},"citationItems":[{"id":279,"uris":["http://zotero.org/users/4953069/items/TNXV5W9H"],"uri":["http://zotero.org/users/4953069/items/TNXV5W9H"],"itemData":{"id":279,"type":"book","title":"Materialities: Books, Readers, and the Chanson in Sixteenth-Century Europe","publisher":"Oxford University Press","number-of-pages":"373","source":"Google Books","abstract":"Ephemeral, fragile, often left unbound, sixteenth-century songbooks led fleeting lives in the pockets of singers and on the music desks of instrumentalists. Constantly in action, they were forever being used up, replaced, or abandoned as ways of reading changed. As such they document the acts of early musicians and the practices of everyday life at the unseen margins of elite society. Materialities is a cultural history of song on the page. It addresses a series of central questions concerning the audiences for written music by concentrating on the first genre to be commercialized by music printers: the French chanson. Scholars have long stressed that chansons represent the most broadly disseminated polyphony of the sixteenth century, but Materialities is the first book to account for the cultural reach of the chanson across a considerable cross-section of European society. Musicologist Kate van Orden brings extensive primary research and new analytical models to bear in this remarkable history of songbooks, music literacy, and social transformation during the first century of music printing. By tracking chansons into private libraries and schoolrooms and putting chansonniers into dialogue with catechisms, civility manuals, and chapbooks, Materialities charts the social distribution of songbooks, the gradual moralization of song, and the ways children learned their letters and notes. Its fresh conclusions revise several common assumptions about the value early moderns attributed to printed music, the levels of literacy required to perform polyphony, and the way musicians did or did not \"read\" their songbooks. With musical perspectives that can invigorate studies of print culture and the history of reading, Materialities is an essential guide for musicologists working with original sources and historians of the book interested in the vocal performances that operated alongside print.","ISBN":"978-0-19-027314-9","note":"Google-Books-ID: yMgRCgAAQBAJ","shortTitle":"Materialities","language":"en","author":[{"family":"Orden","given":"Kate","dropping-particle":"van"}],"issued":{"date-parts":[["2015",6,8]]}}},{"id":"qfYZ9Eth/4GzhHSe6","uris":["http://zotero.org/users/local/BqC9nJ9t/items/Z9FUTW9T"],"uri":["http://zotero.org/users/local/BqC9nJ9t/items/Z9FUTW9T"],"itemData":{"id":74,"type":"article-journal","title":"The Instant Composers Pool: Music Notation and the Mediation of Improvising Agency","container-title":"Cadernos de Arte e Antropologia","page":"39-58","issue":"Vol. 5, No 1","source":"cadernosaa.revues.org","abstract":"This article relates the recent development of a “relational musicology” to debates about participatory art and relational aesthetics. I present results from an ethnographic study of the Dutch improvising music collective the Instant Composers Pool, founded in 1967 and still performing. With a background in jazz, experimental music and performance art, this group developed an improvisatory musical practice in which musical notations are freely used. These pieces mediate the social and creative agency of the musicians in the group. As such, they provide a case for reconsidering the nature of musical notation, and the distinction between composition and improvisation, which have been foundational for the academic study of music, and constitutive for a distinction between the aesthetic and the social. I employ the concept of “microtopia” to describe not only the way in which artistic practices subvert such conventional categories, but also to account for the value of ethnographic fieldwork to take such practices as inspiration for disciplinary innovation.","DOI":"10.4000/cadernosaa.1028","ISSN":"2238-0361","shortTitle":"The Instant Composers Pool","language":"en","author":[{"family":"Schuiling","given":"Floris"}],"issued":{"date-parts":[["2016",4,1]]}}}],"schema":"https://github.com/citation-style-language/schema/raw/master/csl-citation.json"} </w:instrText>
      </w:r>
      <w:r>
        <w:rPr>
          <w:rFonts w:ascii="Times New Roman" w:hAnsi="Times New Roman" w:cs="Times New Roman"/>
          <w:sz w:val="24"/>
          <w:szCs w:val="24"/>
          <w:lang w:val="en-GB"/>
        </w:rPr>
        <w:fldChar w:fldCharType="separate"/>
      </w:r>
      <w:r w:rsidRPr="00712C68">
        <w:rPr>
          <w:rFonts w:ascii="Times New Roman" w:hAnsi="Times New Roman" w:cs="Times New Roman"/>
          <w:sz w:val="24"/>
          <w:lang w:val="en-GB"/>
        </w:rPr>
        <w:t>(Orden 2015; Schuiling 2016)</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Hence, it would seem that a “material turn” in music scholarship is gaining some momentum. Its late arrival may have to do with the elusive </w:t>
      </w:r>
      <w:r>
        <w:rPr>
          <w:rFonts w:ascii="Times New Roman" w:hAnsi="Times New Roman" w:cs="Times New Roman"/>
          <w:sz w:val="24"/>
          <w:szCs w:val="24"/>
          <w:lang w:val="en-GB"/>
        </w:rPr>
        <w:lastRenderedPageBreak/>
        <w:t xml:space="preserve">materiality of music itself. Indeed, much of the critical musicological literature since the late twentieth century has precisely argued </w:t>
      </w:r>
      <w:r>
        <w:rPr>
          <w:rFonts w:ascii="Times New Roman" w:hAnsi="Times New Roman" w:cs="Times New Roman"/>
          <w:i/>
          <w:sz w:val="24"/>
          <w:szCs w:val="24"/>
          <w:lang w:val="en-GB"/>
        </w:rPr>
        <w:t>against</w:t>
      </w:r>
      <w:r>
        <w:rPr>
          <w:rFonts w:ascii="Times New Roman" w:hAnsi="Times New Roman" w:cs="Times New Roman"/>
          <w:sz w:val="24"/>
          <w:szCs w:val="24"/>
          <w:lang w:val="en-GB"/>
        </w:rPr>
        <w:t xml:space="preserve"> the “reifying” notion of music as an object, proposing instead to see it as a form of practice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{"citationID":"wkXzVFpK","properties":{"formattedCitation":"(Cook 2001; Cook 2013; DeNora 2003; Goehr 2007)","plainCitation":"(Cook 2001; Cook 2013; DeNora 2003; Goehr 2007)","dontUpdate":true,"noteIndex":0},"citationItems":[{"id":340,"uris":["http://zotero.org/users/4953069/items/PK9NR4CP"],"uri":["http://zotero.org/users/4953069/items/PK9NR4CP"],"itemData":{"id":340,"type":"article-journal","title":"Between Process and Product: Music and/as Performance","container-title":"Music Theory Online","volume":"7","issue":"2","source":"www.mtosmt.org","URL":"http://www.mtosmt.org/issues/mto.01.7.2/mto.01.7.2.cook.html","shortTitle":"Between Process and Product","author":[{"family":"Cook","given":"Nicholas"}],"issued":{"date-parts":[["2001"]]},"accessed":{"date-parts":[["2017",2,2]]}}},{"id":296,"uris":["http://zotero.org/users/4953069/items/3QHUMW9S"],"uri":["http://zotero.org/users/4953069/items/3QHUMW9S"],"itemData":{"id":296,"type":"book","title":"Beyond the Score: Music as Performance","publisher":"Oxford University Press","publisher-place":"Oxford","number-of-pages":"483","source":"Google Books","event-place":"Oxford","abstract":"In Beyond the Score: Music as Performance, author Nicholas Cook supplants the traditional musicological notion of music as writing, asserting instead that it is as performance that music is loved, understood, and consumed. This book reconceives music as an activity through which meaning is generated in real time, as Cook rethinks familiar assumptions and develops new approaches. Focusing primarily but not exclusively on the Western 'art' tradition, Cook explores perspectives that range from close listening to computational analysis, from ethnography to the study of recordings, and from the social relations constructed through performance to the performing (and listening) body. In doing so, he reveals not only that the notion of music as text has hampered academic understanding of music, but also that it has inhibited performance practices, placing them in a textualist straightjacket. Beyond the Score has a strong historical emphasis, touching on broad developments in twentieth-century performance style and setting them into their larger cultural context. Cook also investigates the relationship between recordings and performance, arguing that we do not experience recordings as mere reproductions of a performance but as performances in their own right. Beyond the Score is a comprehensive exploration of new approaches and methods for the study of music as performance, and will be an invaluable addition to the libraries of music scholars-including musicologists, music theorists, and music cognition scholars-everywhere.","ISBN":"978-0-19-935740-6","note":"Google-Books-ID: BnhCAgAAQBAJ","shortTitle":"Beyond the Score","language":"en","author":[{"family":"Cook","given":"Nicholas"}],"issued":{"date-parts":[["2013"]]}}},{"id":303,"uris":["http://zotero.org/users/4953069/items/PJNB99IX"],"uri":["http://zotero.org/users/4953069/items/PJNB99IX"],"itemData":{"id":303,"type":"book","title":"After Adorno: Rethinking Music Sociology","publisher":"Cambridge University Press","publisher-place":"Cambridge","source":"CrossRef","event-place":"Cambridge","URL":"http://ebooks.cambridge.org/ref/id/CBO9780511489426","ISBN":"978-0-511-48942-6","shortTitle":"After Adorno","author":[{"family":"DeNora","given":"Tia"}],"issued":{"date-parts":[["2003"]]},"accessed":{"date-parts":[["2016",8,16]]}}},{"id":383,"uris":["http://zotero.org/users/4953069/items/UZ5V7IX7"],"uri":["http://zotero.org/users/4953069/items/UZ5V7IX7"],"itemData":{"id":383,"type":"book","title":"The Imaginary Museum of Musical Works: An essay in the philosophy of music","publisher":"Oxford University Press","publisher-place":"Oxford","event-place":"Oxford","author":[{"family":"Goehr","given":"Lydia"}],"issued":{"date-parts":[["2007"]]}}}],"schema":"https://github.com/citation-style-language/schema/raw/master/csl-citation.json"} </w:instrText>
      </w:r>
      <w:r>
        <w:rPr>
          <w:rFonts w:ascii="Times New Roman" w:hAnsi="Times New Roman" w:cs="Times New Roman"/>
          <w:sz w:val="24"/>
          <w:szCs w:val="24"/>
          <w:lang w:val="en-GB"/>
        </w:rPr>
        <w:fldChar w:fldCharType="separate"/>
      </w:r>
      <w:r w:rsidRPr="006219AF">
        <w:rPr>
          <w:rFonts w:ascii="Times New Roman" w:hAnsi="Times New Roman" w:cs="Times New Roman"/>
          <w:sz w:val="24"/>
          <w:lang w:val="en-GB"/>
        </w:rPr>
        <w:t>(Cook 2001, 2013; DeNora 2003; Goehr 2007)</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However, this practice is mediated through various material objects and formations: instruments, concert venues, recording and playback technologies, scores, the bodies of musicians and listeners, advertising and promotional material, music videos, and so on. I would therefore argue, with Straw (2012), Georgina Born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{"citationID":"c3DzCg9n","properties":{"formattedCitation":"(Born 2005)","plainCitation":"(Born 2005)","dontUpdate":true,"noteIndex":0},"citationItems":[{"id":301,"uris":["http://zotero.org/users/4953069/items/M4ZN8UHA"],"uri":["http://zotero.org/users/4953069/items/M4ZN8UHA"],"itemData":{"id":301,"type":"article-journal","title":"On Musical Mediation: Ontology, Technology and Creativity","container-title":"Twentieth-Century Music","page":"7–36","volume":"2","issue":"01","source":"Cambridge Journals Online","abstract":"This article develops a theoretical analysis of music and mediation, building on the work of Theodor Adorno, Tia DeNora and Antoine Hennion. It begins by suggesting that Lydia Goehr’s account of the work concept requires such a perspective. Drawing on Alfred Gell’s anthropology of art, the article outlines an approach to mediation that incorporates understandings of music’s social, technological and temporal dimensions. It suggests that music’s mediations have taken a number of historical forms, which cohere into assemblages, and that we should be alert to shifts in the dominant forms of musical assemblage. In the latter part of the article, these tools are used to conceptualize changing forms of musical creativity that emerged over the twentieth century. A comparison is made between the work concept and jazz and improvised electronic musics. Three contemporary digital music experiments are discussed in detail, demonstrating the concepts of the provisional work and of social, distributed and relayed creativity. Throughout, key motifs are mediation, creativity, and the negotiation of difference.","DOI":"10.1017/S147857220500023X","ISSN":"1478-5730","shortTitle":"On Musical Mediation","author":[{"family":"Born","given":"Georgina"}],"issued":{"date-parts":[["2005",3]]}}}],"schema":"https://github.com/citation-style-language/schema/raw/master/csl-citation.json"} </w:instrText>
      </w:r>
      <w:r>
        <w:rPr>
          <w:rFonts w:ascii="Times New Roman" w:hAnsi="Times New Roman" w:cs="Times New Roman"/>
          <w:sz w:val="24"/>
          <w:szCs w:val="24"/>
          <w:lang w:val="en-GB"/>
        </w:rPr>
        <w:fldChar w:fldCharType="separate"/>
      </w:r>
      <w:r>
        <w:rPr>
          <w:rFonts w:ascii="Times New Roman" w:hAnsi="Times New Roman" w:cs="Times New Roman"/>
          <w:sz w:val="24"/>
          <w:lang w:val="en-GB"/>
        </w:rPr>
        <w:t>(</w:t>
      </w:r>
      <w:r w:rsidRPr="000C76F4">
        <w:rPr>
          <w:rFonts w:ascii="Times New Roman" w:hAnsi="Times New Roman" w:cs="Times New Roman"/>
          <w:sz w:val="24"/>
          <w:lang w:val="en-GB"/>
        </w:rPr>
        <w:t>2005)</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and Antoine </w:t>
      </w:r>
      <w:proofErr w:type="spellStart"/>
      <w:r>
        <w:rPr>
          <w:rFonts w:ascii="Times New Roman" w:hAnsi="Times New Roman" w:cs="Times New Roman"/>
          <w:sz w:val="24"/>
          <w:szCs w:val="24"/>
          <w:lang w:val="en-GB"/>
        </w:rPr>
        <w:t>Hennion</w:t>
      </w:r>
      <w:proofErr w:type="spellEnd"/>
      <w:r>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{"citationID":"MALlnXPo","properties":{"formattedCitation":"(Hennion 2015)","plainCitation":"(Hennion 2015)","dontUpdate":true,"noteIndex":0},"citationItems":[{"id":341,"uris":["http://zotero.org/users/4953069/items/QIWETHU9"],"uri":["http://zotero.org/users/4953069/items/QIWETHU9"],"itemData":{"id":341,"type":"book","title":"The Passion for Music: A Sociology of Mediation","publisher":"Ashgate","publisher-place":"Farnham","number-of-pages":"353","source":"Google Books","event-place":"Farnham","abstract":"Music is an accumulation of mediators: instruments, languages, sheets, performers, scenes, media and so on. Learning from music - this art of infinite mediations - allows us to confront sociology with a different way of considering objects. For this task, Hennion draws on aesthetics, art history, science, technology and popular music studies. He shows us that music is a collective process, which must always be performed again and again. As part of that project, he presents a wide-ranging series of case studies, restoring attention to the rich and varied intermediaries through which music is brought to life. This is the first English translation of one of the most important works of French scholarship on music and society.","ISBN":"978-1-4724-1810-4","note":"Google-Books-ID: D0shCgAAQBAJ","shortTitle":"The Passion for Music","language":"en","author":[{"family":"Hennion","given":"Antoine"}],"translator":[{"family":"Rigaud","given":"Margaret"},{"family":"Collier","given":""}],"issued":{"date-parts":[["2015"]]}}}],"schema":"https://github.com/citation-style-language/schema/raw/master/csl-citation.json"} </w:instrText>
      </w:r>
      <w:r>
        <w:rPr>
          <w:rFonts w:ascii="Times New Roman" w:hAnsi="Times New Roman" w:cs="Times New Roman"/>
          <w:sz w:val="24"/>
          <w:szCs w:val="24"/>
          <w:lang w:val="en-GB"/>
        </w:rPr>
        <w:fldChar w:fldCharType="separate"/>
      </w:r>
      <w:r>
        <w:rPr>
          <w:rFonts w:ascii="Times New Roman" w:hAnsi="Times New Roman" w:cs="Times New Roman"/>
          <w:sz w:val="24"/>
          <w:lang w:val="en-GB"/>
        </w:rPr>
        <w:t>(</w:t>
      </w:r>
      <w:r w:rsidRPr="000C76F4">
        <w:rPr>
          <w:rFonts w:ascii="Times New Roman" w:hAnsi="Times New Roman" w:cs="Times New Roman"/>
          <w:sz w:val="24"/>
          <w:lang w:val="en-GB"/>
        </w:rPr>
        <w:t>2015)</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that precisely because of this “paradigmatic multiply-mediated” nature, music in fact presents a unique opportunity for conceptualizing the role of material objects in cultural expression and experience.</w:t>
      </w:r>
    </w:p>
    <w:p w14:paraId="59EEFB77" w14:textId="335549B5" w:rsidR="00996481" w:rsidRDefault="00996481" w:rsidP="00C14390">
      <w:pPr>
        <w:spacing w:after="0" w:line="36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 xml:space="preserve">Jazz, with its emphasis on its own intangibility and elusiveness, is a case in point. Apart from this existence “between process and product”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{"citationID":"96jJvhOv","properties":{"formattedCitation":"(Cook 2001)","plainCitation":"(Cook 2001)","noteIndex":0},"citationItems":[{"id":340,"uris":["http://zotero.org/users/4953069/items/PK9NR4CP"],"uri":["http://zotero.org/users/4953069/items/PK9NR4CP"],"itemData":{"id":340,"type":"article-journal","title":"Between Process and Product: Music and/as Performance","container-title":"Music Theory Online","volume":"7","issue":"2","source":"www.mtosmt.org","URL":"http://www.mtosmt.org/issues/mto.01.7.2/mto.01.7.2.cook.html","shortTitle":"Between Process and Product","author":[{"family":"Cook","given":"Nicholas"}],"issued":{"date-parts":[["2001"]]},"accessed":{"date-parts":[["2017",2,2]]}}}],"schema":"https://github.com/citation-style-language/schema/raw/master/csl-citation.json"} </w:instrText>
      </w:r>
      <w:r>
        <w:rPr>
          <w:rFonts w:ascii="Times New Roman" w:hAnsi="Times New Roman" w:cs="Times New Roman"/>
          <w:sz w:val="24"/>
          <w:szCs w:val="24"/>
          <w:lang w:val="en-GB"/>
        </w:rPr>
        <w:fldChar w:fldCharType="separate"/>
      </w:r>
      <w:r w:rsidRPr="000C76F4">
        <w:rPr>
          <w:rFonts w:ascii="Times New Roman" w:hAnsi="Times New Roman" w:cs="Times New Roman"/>
          <w:sz w:val="24"/>
          <w:lang w:val="en-GB"/>
        </w:rPr>
        <w:t>(Cook 2001)</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which it shares with all other forms of music, there are two more particular reasons why the question of jazz’s materiality is significant. The first is historical. As a product of African-American culture and history, jazz is to an important extent the expression of a people who have themselves been treated as objects to be exploited or sold for profit, rather than fully acknowledged as human subjects, and ongoing systemic racism suggests that this acknowledgement is still not universally shared. As the work of Fred Moten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{"citationID":"v44rtAzP","properties":{"formattedCitation":"(Moten 2003)","plainCitation":"(Moten 2003)","dontUpdate":true,"noteIndex":0},"citationItems":[{"id":339,"uris":["http://zotero.org/users/4953069/items/WGHBQHJI"],"uri":["http://zotero.org/users/4953069/items/WGHBQHJI"],"itemData":{"id":339,"type":"book","title":"In the Break: The Aesthetics of the Black Radical Tradition","publisher":"U of Minnesota Press","publisher-place":"Minneapolis","number-of-pages":"306","source":"Google Books","event-place":"Minneapolis","abstract":"In his controversial essay on white jazz musician Burton Greene, Amiri Baraka asserted that jazz was exclusively an African American art form and explicitly fused the idea of a black aesthetic with radical political traditions of the African diaspora. In the Break is an extended riff on \"The Burton Greene Affair, \" exploring the tangled relationship between black avant-grade in music and literature in the 1950s and 1960s, the emergence of a distinct form of black cultural nationalism, and the complex engagement with and disavowal of homoeroticism that bridges the two. Fred Moten focuses in particular on the brilliant improvisatory jazz of John Coltrane, Ornette Coleman, Albert Ayler, Eric Dolphy, Charles Mingus, and others, arguing that all black performance--culture, politics, sexuality, identity, and blackness itself--is improvisation. For Moten, improvisation provides a unique epistemological standpoint from which to investigate the provocative connections between black aesthetics and Western philosophy. He engages in a strenuous critical analysis of Western philosophy (Heidegger, Kant, Husserl, Wittgenstein, and Derrida) through the prism of radical black thought and culture. As the critical, lyrical, and disruptive performance of the human, Moten's concept of blackness also brings such figures as Frederick Douglass and Karl Marx, Cecil Taylor and Samuel R. Delany, Billie Holiday and William Shakespeare into conversation with each other. Stylistically brilliant and challenging, much like the music he writes about, Moten's wide-ranging discussion embraces a variety of disciplines--semiotics, deconstruction, genre theory, social history, and psychoanalysis--to understand thepoliticized sexuality, particularly homoeroticism, underpinning black radicalism. In the Break is the inaugural volume in Moten's ambitious intellectual project--to establish an aesthetic genealogy of the black radical tradition.","ISBN":"978-0-8166-4099-7","note":"Google-Books-ID: eclwFpG0xggC","shortTitle":"In the Break","language":"en","author":[{"family":"Moten","given":"Fred"}],"issued":{"date-parts":[["2003"]]}}}],"schema":"https://github.com/citation-style-language/schema/raw/master/csl-citation.json"} </w:instrText>
      </w:r>
      <w:r>
        <w:rPr>
          <w:rFonts w:ascii="Times New Roman" w:hAnsi="Times New Roman" w:cs="Times New Roman"/>
          <w:sz w:val="24"/>
          <w:szCs w:val="24"/>
          <w:lang w:val="en-GB"/>
        </w:rPr>
        <w:fldChar w:fldCharType="separate"/>
      </w:r>
      <w:r>
        <w:rPr>
          <w:rFonts w:ascii="Times New Roman" w:hAnsi="Times New Roman" w:cs="Times New Roman"/>
          <w:sz w:val="24"/>
          <w:lang w:val="en-GB"/>
        </w:rPr>
        <w:t>(</w:t>
      </w:r>
      <w:r w:rsidRPr="000C76F4">
        <w:rPr>
          <w:rFonts w:ascii="Times New Roman" w:hAnsi="Times New Roman" w:cs="Times New Roman"/>
          <w:sz w:val="24"/>
          <w:lang w:val="en-GB"/>
        </w:rPr>
        <w:t>2003)</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and Alexander </w:t>
      </w:r>
      <w:proofErr w:type="spellStart"/>
      <w:r>
        <w:rPr>
          <w:rFonts w:ascii="Times New Roman" w:hAnsi="Times New Roman" w:cs="Times New Roman"/>
          <w:sz w:val="24"/>
          <w:szCs w:val="24"/>
          <w:lang w:val="en-GB"/>
        </w:rPr>
        <w:t>Weheliye</w:t>
      </w:r>
      <w:proofErr w:type="spellEnd"/>
      <w:r>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{"citationID":"fZcyEUN4","properties":{"formattedCitation":"(Weheliye 2005)","plainCitation":"(Weheliye 2005)","dontUpdate":true,"noteIndex":0},"citationItems":[{"id":338,"uris":["http://zotero.org/users/4953069/items/T939TR39"],"uri":["http://zotero.org/users/4953069/items/T939TR39"],"itemData":{"id":338,"type":"book","title":"Phonographies: Grooves in Sonic Afro-Modernity","publisher":"Duke University Press","publisher-place":"Durham","number-of-pages":"300","source":"Google Books","event-place":"Durham","abstract":"Phonographies explores the numerous links and relays between twentieth-century black cultural production and sound technologies from the phonograph to the Walkman. Highlighting how black authors, filmmakers, and musicians have actively engaged with recorded sound in their work, Alexander G. Weheliye contends that the interplay between sound technologies and black music and speech enabled the emergence of modern black culture, of what he terms “sonic Afro-modernity.” He shows that by separating music and speech from their human sources, sound-recording technologies beginning with the phonograph generated new modes of thinking, being, and becoming. Black artists used these new possibilities to revamp key notions of modernity—among these, ideas of subjectivity, temporality, and community. Phonographies is a powerful argument that sound technologies are integral to black culture, which is, in turn, fundamental to Western modernity.Weheliye surveys literature, film, and music to focus on engagements with recorded sound. He offers substantial new readings of canonical texts by W. E. B. Du Bois and Ralph Ellison, establishing dialogues between these writers and popular music and film ranging from Louis Armstrong’s voice to DJ mixing techniques to Darnell Martin’s 1994 movie I Like It Like That. Looking at how questions of diasporic belonging are articulated in contemporary black musical practices, Weheliye analyzes three contemporary Afro-diasporic musical acts: the Haitian and African American rap group the Fugees, the Afro- and Italian-German rap collective Advanced Chemistry, and black British artist Tricky and his partner Martina. Phonographies imagines the African diaspora as a virtual sounding space, one that is marked, in the twentieth century and twenty-first, by the circulation of culture via technological reproductions—records and tapes, dubbing and mixing, and more.","ISBN":"978-0-8223-8693-3","note":"Google-Books-ID: axc8YaJKLXkC","shortTitle":"Phonographies","language":"en","author":[{"family":"Weheliye","given":"Alexander G."}],"issued":{"date-parts":[["2005"]]}}}],"schema":"https://github.com/citation-style-language/schema/raw/master/csl-citation.json"} </w:instrText>
      </w:r>
      <w:r>
        <w:rPr>
          <w:rFonts w:ascii="Times New Roman" w:hAnsi="Times New Roman" w:cs="Times New Roman"/>
          <w:sz w:val="24"/>
          <w:szCs w:val="24"/>
          <w:lang w:val="en-GB"/>
        </w:rPr>
        <w:fldChar w:fldCharType="separate"/>
      </w:r>
      <w:r>
        <w:rPr>
          <w:rFonts w:ascii="Times New Roman" w:hAnsi="Times New Roman" w:cs="Times New Roman"/>
          <w:sz w:val="24"/>
          <w:lang w:val="en-GB"/>
        </w:rPr>
        <w:t>(</w:t>
      </w:r>
      <w:r w:rsidRPr="000C76F4">
        <w:rPr>
          <w:rFonts w:ascii="Times New Roman" w:hAnsi="Times New Roman" w:cs="Times New Roman"/>
          <w:sz w:val="24"/>
          <w:lang w:val="en-GB"/>
        </w:rPr>
        <w:t>2005)</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suggests, it is precisely because of this historical background that black popular music has employed sound, as the technological mediation of subjective expression, to subvert traditional distinctions between subject and object, negotiate the historical intangibility and invisibility of black subjectivity, and project what </w:t>
      </w:r>
      <w:proofErr w:type="spellStart"/>
      <w:r>
        <w:rPr>
          <w:rFonts w:ascii="Times New Roman" w:hAnsi="Times New Roman" w:cs="Times New Roman"/>
          <w:sz w:val="24"/>
          <w:szCs w:val="24"/>
          <w:lang w:val="en-GB"/>
        </w:rPr>
        <w:t>Weheliye</w:t>
      </w:r>
      <w:proofErr w:type="spellEnd"/>
      <w:r>
        <w:rPr>
          <w:rFonts w:ascii="Times New Roman" w:hAnsi="Times New Roman" w:cs="Times New Roman"/>
          <w:sz w:val="24"/>
          <w:szCs w:val="24"/>
          <w:lang w:val="en-GB"/>
        </w:rPr>
        <w:t xml:space="preserve"> calls a “sonic Afro-modernity”. The second reason, while less overtly political, is directly related to the first, and has to do with the important role of improvisation in jazz performance. The discourse on jazz improvisation, with its emphasis on personal expression and “finding your own voice”, seems to suggest an ideal of conquering one’s material limitations in order to express a (black) subjectivity. However, if Moten and </w:t>
      </w:r>
      <w:proofErr w:type="spellStart"/>
      <w:r>
        <w:rPr>
          <w:rFonts w:ascii="Times New Roman" w:hAnsi="Times New Roman" w:cs="Times New Roman"/>
          <w:sz w:val="24"/>
          <w:szCs w:val="24"/>
          <w:lang w:val="en-GB"/>
        </w:rPr>
        <w:t>Weheliye</w:t>
      </w:r>
      <w:proofErr w:type="spellEnd"/>
      <w:r>
        <w:rPr>
          <w:rFonts w:ascii="Times New Roman" w:hAnsi="Times New Roman" w:cs="Times New Roman"/>
          <w:sz w:val="24"/>
          <w:szCs w:val="24"/>
          <w:lang w:val="en-GB"/>
        </w:rPr>
        <w:t xml:space="preserve"> are correct, there is rather more to this idea, and the concept of material culture may help us to reconsider how we conceptualize agency in improvised music. </w:t>
      </w:r>
    </w:p>
    <w:p w14:paraId="693FA14B" w14:textId="77777777" w:rsidR="00996481" w:rsidRDefault="00996481" w:rsidP="0050638A">
      <w:pPr>
        <w:spacing w:after="0" w:line="360" w:lineRule="auto"/>
        <w:rPr>
          <w:rFonts w:ascii="Times New Roman" w:hAnsi="Times New Roman" w:cs="Times New Roman"/>
          <w:sz w:val="24"/>
          <w:szCs w:val="24"/>
          <w:lang w:val="en-GB"/>
        </w:rPr>
      </w:pPr>
    </w:p>
    <w:p w14:paraId="5814FCB0" w14:textId="77777777" w:rsidR="00996481" w:rsidRDefault="00996481" w:rsidP="0050638A">
      <w:pPr>
        <w:spacing w:after="0" w:line="360" w:lineRule="auto"/>
        <w:rPr>
          <w:rFonts w:ascii="Times New Roman" w:hAnsi="Times New Roman" w:cs="Times New Roman"/>
          <w:b/>
          <w:sz w:val="24"/>
          <w:szCs w:val="24"/>
          <w:lang w:val="en-GB"/>
        </w:rPr>
      </w:pPr>
      <w:r>
        <w:rPr>
          <w:rFonts w:ascii="Times New Roman" w:hAnsi="Times New Roman" w:cs="Times New Roman"/>
          <w:b/>
          <w:sz w:val="24"/>
          <w:szCs w:val="24"/>
          <w:lang w:val="en-GB"/>
        </w:rPr>
        <w:t>Genre as Material Culture</w:t>
      </w:r>
    </w:p>
    <w:p w14:paraId="4616A686" w14:textId="77777777" w:rsidR="00996481" w:rsidRDefault="00996481" w:rsidP="0050638A">
      <w:pPr>
        <w:spacing w:after="0" w:line="360" w:lineRule="auto"/>
        <w:rPr>
          <w:rFonts w:ascii="Times New Roman" w:hAnsi="Times New Roman" w:cs="Times New Roman"/>
          <w:sz w:val="24"/>
          <w:szCs w:val="24"/>
          <w:lang w:val="en-GB"/>
        </w:rPr>
      </w:pPr>
    </w:p>
    <w:p w14:paraId="24E85D6C" w14:textId="0A36F3B1" w:rsidR="00996481" w:rsidRDefault="00996481" w:rsidP="0050638A">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The “new” jazz studies came into focus in the 1990s partly through the critical writings of Scott </w:t>
      </w:r>
      <w:proofErr w:type="spellStart"/>
      <w:r>
        <w:rPr>
          <w:rFonts w:ascii="Times New Roman" w:hAnsi="Times New Roman" w:cs="Times New Roman"/>
          <w:sz w:val="24"/>
          <w:szCs w:val="24"/>
          <w:lang w:val="en-GB"/>
        </w:rPr>
        <w:t>DeVeaux</w:t>
      </w:r>
      <w:proofErr w:type="spellEnd"/>
      <w:r>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{"citationID":"APodTqN5","properties":{"formattedCitation":"(DeVeaux 1991)","plainCitation":"(DeVeaux 1991)","dontUpdate":true,"noteIndex":0},"citationItems":[{"id":262,"uris":["http://zotero.org/users/4953069/items/XNMKHH6S"],"uri":["http://zotero.org/users/4953069/items/XNMKHH6S"],"itemData":{"id":262,"type":"article-journal","title":"Constructing the Jazz Tradition: Jazz Historiography","container-title":"Black American Literature Forum","page":"525-560","volume":"25","issue":"3","source":"JSTOR","DOI":"10.2307/3041812","ISSN":"0148-6179","shortTitle":"Constructing the Jazz Tradition","journalAbbreviation":"Black American Literature Forum","author":[{"family":"DeVeaux","given":"Scott"}],"issued":{"date-parts":[["1991"]]}}}],"schema":"https://github.com/citation-style-language/schema/raw/master/csl-citation.json"} </w:instrText>
      </w:r>
      <w:r>
        <w:rPr>
          <w:rFonts w:ascii="Times New Roman" w:hAnsi="Times New Roman" w:cs="Times New Roman"/>
          <w:sz w:val="24"/>
          <w:szCs w:val="24"/>
          <w:lang w:val="en-GB"/>
        </w:rPr>
        <w:fldChar w:fldCharType="separate"/>
      </w:r>
      <w:r>
        <w:rPr>
          <w:rFonts w:ascii="Times New Roman" w:hAnsi="Times New Roman" w:cs="Times New Roman"/>
          <w:sz w:val="24"/>
          <w:lang w:val="en-GB"/>
        </w:rPr>
        <w:t>(</w:t>
      </w:r>
      <w:r w:rsidRPr="000C76F4">
        <w:rPr>
          <w:rFonts w:ascii="Times New Roman" w:hAnsi="Times New Roman" w:cs="Times New Roman"/>
          <w:sz w:val="24"/>
          <w:lang w:val="en-GB"/>
        </w:rPr>
        <w:t>1991)</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Krin</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Gabbard</w:t>
      </w:r>
      <w:proofErr w:type="spellEnd"/>
      <w:r>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{"citationID":"EbeYPYGg","properties":{"formattedCitation":"(Gabbard 1995)","plainCitation":"(Gabbard 1995)","dontUpdate":true,"noteIndex":0},"citationItems":[{"id":337,"uris":["http://zotero.org/users/4953069/items/S3BC4PCK"],"uri":["http://zotero.org/users/4953069/items/S3BC4PCK"],"itemData":{"id":337,"type":"chapter","title":"Introduction: The Jazz Canon and Its Consequences","container-title":"Jazz Among the Discourses","publisher":"Duke University Press","publisher-place":"Durham","event-place":"Durham","author":[{"family":"Gabbard","given":"Krin"}],"editor":[{"family":"Gabbard","given":"Krin"}],"issued":{"date-parts":[["1995"]]}}}],"schema":"https://github.com/citation-style-language/schema/raw/master/csl-citation.json"} </w:instrText>
      </w:r>
      <w:r>
        <w:rPr>
          <w:rFonts w:ascii="Times New Roman" w:hAnsi="Times New Roman" w:cs="Times New Roman"/>
          <w:sz w:val="24"/>
          <w:szCs w:val="24"/>
          <w:lang w:val="en-GB"/>
        </w:rPr>
        <w:fldChar w:fldCharType="separate"/>
      </w:r>
      <w:r>
        <w:rPr>
          <w:rFonts w:ascii="Times New Roman" w:hAnsi="Times New Roman" w:cs="Times New Roman"/>
          <w:sz w:val="24"/>
          <w:lang w:val="en-GB"/>
        </w:rPr>
        <w:t>(</w:t>
      </w:r>
      <w:r w:rsidRPr="000C76F4">
        <w:rPr>
          <w:rFonts w:ascii="Times New Roman" w:hAnsi="Times New Roman" w:cs="Times New Roman"/>
          <w:sz w:val="24"/>
          <w:lang w:val="en-GB"/>
        </w:rPr>
        <w:t>1995)</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and John </w:t>
      </w:r>
      <w:proofErr w:type="spellStart"/>
      <w:r>
        <w:rPr>
          <w:rFonts w:ascii="Times New Roman" w:hAnsi="Times New Roman" w:cs="Times New Roman"/>
          <w:sz w:val="24"/>
          <w:szCs w:val="24"/>
          <w:lang w:val="en-GB"/>
        </w:rPr>
        <w:t>Gennari</w:t>
      </w:r>
      <w:proofErr w:type="spellEnd"/>
      <w:r>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{"citationID":"trrxYsgn","properties":{"formattedCitation":"(Gennari 1991; Gennari 2007)","plainCitation":"(Gennari 1991; Gennari 2007)","dontUpdate":true,"noteIndex":0},"citationItems":[{"id":374,"uris":["http://zotero.org/users/4953069/items/FC226B6U"],"uri":["http://zotero.org/users/4953069/items/FC226B6U"],"itemData":{"id":374,"type":"article-journal","title":"Jazz Criticism: Its Development and Ideologies","container-title":"Black American Literature Forum","page":"449-523","volume":"25","issue":"3","source":"JSTOR","DOI":"10.2307/3041811","ISSN":"0148-6179","shortTitle":"Jazz Criticism","author":[{"family":"Gennari","given":"John"}],"issued":{"date-parts":[["1991"]]}}},{"id":261,"uris":["http://zotero.org/users/4953069/items/RK93PDI2"],"uri":["http://zotero.org/users/4953069/items/RK93PDI2"],"itemData":{"id":261,"type":"book","title":"Blowin' Hot and Cool: Jazz and Its Critics","publisher":"University of Chicago Press","publisher-place":"Chicago","number-of-pages":"495","source":"Google Books","event-place":"Chicago","abstract":"In the illustrious and richly documented history of American jazz, no figure has been more controversial than the jazz critic. Jazz critics can be revered or reviled—often both—but they should not be ignored. And while the tradition of jazz has been covered from seemingly every angle, nobody has ever turned the pen back on itself to chronicle the many writers who have helped define how we listen to and how we understand jazz. That is, of course, until now.  In Blowin’ Hot and Cool, John Gennari provides a definitive history of jazz criticism from the 1920s to the present. The music itself is prominent in his account, as are the musicians—from Louis Armstrong and Duke Ellington to Charlie Parker, John Coltrane, Roscoe Mitchell, and beyond. But the work takes its shape from fascinating stories of the tradition’s key critics—Leonard Feather, Martin Williams, Whitney Balliett, Dan Morgenstern, Gary Giddins, and Stanley Crouch, among many others. Gennari is the first to show the many ways these critics have mediated the relationship between the musicians and the audience—not merely as writers, but in many cases as producers, broadcasters, concert organizers, and public intellectuals as well.  For Gennari, the jazz tradition is not so much a collection of recordings and performances as it is a rancorous debate—the dissonant noise clamoring in response to the sounds of jazz. Against the backdrop of racial strife, class and gender issues, war, and protest that has defined the past seventy-five years in America, Blowin’ Hot and Cool brings to the fore jazz’s most vital critics and the role they have played not only in defining the history of jazz but also in shaping jazz’s significance in American culture and life.","ISBN":"978-0-226-28924-3","shortTitle":"Blowin' Hot and Cool","language":"en","author":[{"family":"Gennari","given":"John"}],"issued":{"date-parts":[["2007"]]}}}],"schema":"https://github.com/citation-style-language/schema/raw/master/csl-citation.json"} </w:instrText>
      </w:r>
      <w:r>
        <w:rPr>
          <w:rFonts w:ascii="Times New Roman" w:hAnsi="Times New Roman" w:cs="Times New Roman"/>
          <w:sz w:val="24"/>
          <w:szCs w:val="24"/>
          <w:lang w:val="en-GB"/>
        </w:rPr>
        <w:fldChar w:fldCharType="separate"/>
      </w:r>
      <w:r>
        <w:rPr>
          <w:rFonts w:ascii="Times New Roman" w:hAnsi="Times New Roman" w:cs="Times New Roman"/>
          <w:sz w:val="24"/>
          <w:lang w:val="en-GB"/>
        </w:rPr>
        <w:t>(</w:t>
      </w:r>
      <w:r w:rsidRPr="000C76F4">
        <w:rPr>
          <w:rFonts w:ascii="Times New Roman" w:hAnsi="Times New Roman" w:cs="Times New Roman"/>
          <w:sz w:val="24"/>
          <w:lang w:val="en-GB"/>
        </w:rPr>
        <w:t>1991</w:t>
      </w:r>
      <w:r>
        <w:rPr>
          <w:rFonts w:ascii="Times New Roman" w:hAnsi="Times New Roman" w:cs="Times New Roman"/>
          <w:sz w:val="24"/>
          <w:lang w:val="en-GB"/>
        </w:rPr>
        <w:t>,</w:t>
      </w:r>
      <w:r w:rsidRPr="000C76F4">
        <w:rPr>
          <w:rFonts w:ascii="Times New Roman" w:hAnsi="Times New Roman" w:cs="Times New Roman"/>
          <w:sz w:val="24"/>
          <w:lang w:val="en-GB"/>
        </w:rPr>
        <w:t xml:space="preserve"> 2007)</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on the jazz </w:t>
      </w:r>
      <w:r>
        <w:rPr>
          <w:rFonts w:ascii="Times New Roman" w:hAnsi="Times New Roman" w:cs="Times New Roman"/>
          <w:sz w:val="24"/>
          <w:szCs w:val="24"/>
          <w:lang w:val="en-GB"/>
        </w:rPr>
        <w:lastRenderedPageBreak/>
        <w:t xml:space="preserve">canon and the assumption that jazz is a uniform musical category. Particularly </w:t>
      </w:r>
      <w:proofErr w:type="spellStart"/>
      <w:r>
        <w:rPr>
          <w:rFonts w:ascii="Times New Roman" w:hAnsi="Times New Roman" w:cs="Times New Roman"/>
          <w:sz w:val="24"/>
          <w:szCs w:val="24"/>
          <w:lang w:val="en-GB"/>
        </w:rPr>
        <w:t>DeVeaux’s</w:t>
      </w:r>
      <w:proofErr w:type="spellEnd"/>
      <w:r>
        <w:rPr>
          <w:rFonts w:ascii="Times New Roman" w:hAnsi="Times New Roman" w:cs="Times New Roman"/>
          <w:sz w:val="24"/>
          <w:szCs w:val="24"/>
          <w:lang w:val="en-GB"/>
        </w:rPr>
        <w:t xml:space="preserve"> emphasis on the fact that jazz history is in fact filled with disputes about whether or not new, old, or revivalist styles could still be called “jazz” seems to foreshadow more recent work on genre as “assemblage”, in that it aims to describe a process of categorization that does not presume an analytic totality but rather proceeds by negotiating difference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{"citationID":"UpzySfYt","properties":{"formattedCitation":"(Brackett 2016)","plainCitation":"(Brackett 2016)","dontUpdate":true,"noteIndex":0},"citationItems":[{"id":263,"uris":["http://zotero.org/users/4953069/items/V89892GB"],"uri":["http://zotero.org/users/4953069/items/V89892GB"],"itemData":{"id":263,"type":"book","title":"Categorizing Sound: Genre and Twentieth-Century Popular Music","publisher":"University of California Press","publisher-place":"Oakland","number-of-pages":"385","source":"Google Books","event-place":"Oakland","abstract":"Categorizing Sound addresses the relationship between categories of music and categories of people, particularly how certain ways of organizing sounds becomes integral to how we perceive ourselves and how we feel connected to some people and disconnected from others. Presenting a series of case studies ranging from race music and old-time music of the 1920s through country and R&amp;B of the 1980s, David Brackett explores the processes by which genres are produced. Using in-depth archival research and sophisticated theorizing about how musical categories are defined, Brackett has produced a markedly original work.","ISBN":"978-0-520-96531-7","note":"Google-Books-ID: U35JDAAAQBAJ","shortTitle":"Categorizing Sound","language":"en","author":[{"family":"Brackett","given":"David"}],"issued":{"date-parts":[["2016"]]}}}],"schema":"https://github.com/citation-style-language/schema/raw/master/csl-citation.json"} </w:instrText>
      </w:r>
      <w:r>
        <w:rPr>
          <w:rFonts w:ascii="Times New Roman" w:hAnsi="Times New Roman" w:cs="Times New Roman"/>
          <w:sz w:val="24"/>
          <w:szCs w:val="24"/>
          <w:lang w:val="en-GB"/>
        </w:rPr>
        <w:fldChar w:fldCharType="separate"/>
      </w:r>
      <w:r w:rsidRPr="000C76F4">
        <w:rPr>
          <w:rFonts w:ascii="Times New Roman" w:hAnsi="Times New Roman" w:cs="Times New Roman"/>
          <w:sz w:val="24"/>
          <w:lang w:val="en-GB"/>
        </w:rPr>
        <w:t>(</w:t>
      </w:r>
      <w:r>
        <w:rPr>
          <w:rFonts w:ascii="Times New Roman" w:hAnsi="Times New Roman" w:cs="Times New Roman"/>
          <w:sz w:val="24"/>
          <w:lang w:val="en-GB"/>
        </w:rPr>
        <w:t xml:space="preserve">see for instance </w:t>
      </w:r>
      <w:r w:rsidRPr="000C76F4">
        <w:rPr>
          <w:rFonts w:ascii="Times New Roman" w:hAnsi="Times New Roman" w:cs="Times New Roman"/>
          <w:sz w:val="24"/>
          <w:lang w:val="en-GB"/>
        </w:rPr>
        <w:t>Brackett 2016)</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Such work approaches genre not in terms of musical characteristics, or even as a discourse of identity and distinction, but as a dynamic process of grouping, of establishing and blurring connections and distinctions; a process made up of human actors as well as objects and technologies of aggregation and dissemination. Benjamin </w:t>
      </w:r>
      <w:proofErr w:type="spellStart"/>
      <w:r>
        <w:rPr>
          <w:rFonts w:ascii="Times New Roman" w:hAnsi="Times New Roman" w:cs="Times New Roman"/>
          <w:sz w:val="24"/>
          <w:szCs w:val="24"/>
          <w:lang w:val="en-GB"/>
        </w:rPr>
        <w:t>Piekut</w:t>
      </w:r>
      <w:proofErr w:type="spellEnd"/>
      <w:r>
        <w:rPr>
          <w:rFonts w:ascii="Times New Roman" w:hAnsi="Times New Roman" w:cs="Times New Roman"/>
          <w:sz w:val="24"/>
          <w:szCs w:val="24"/>
          <w:lang w:val="en-GB"/>
        </w:rPr>
        <w:t xml:space="preserve"> for instance, in his work on experimental music, argues that genre is not “something that magically coalesced around shared [musical] qualities”, but “a network, arranged, and fabricated through the hard work of composers, critics, scholars, performers, audiences, students, and a host of other elements including texts, scores, articles, curricula, patronage systems, and discourses of race, gender, class and nation.”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{"citationID":"FC6k0ewU","properties":{"formattedCitation":"(Piekut 2011)","plainCitation":"(Piekut 2011)","dontUpdate":true,"noteIndex":0},"citationItems":[{"id":258,"uris":["http://zotero.org/users/4953069/items/S8MIJNCI"],"uri":["http://zotero.org/users/4953069/items/S8MIJNCI"],"itemData":{"id":258,"type":"book","title":"Experimentalism Otherwise: The New York Avant-Garde and Its Limits","publisher":"University of California Press","publisher-place":"Berkeley","number-of-pages":"297","source":"Google Books","event-place":"Berkeley","abstract":"In Experimental Otherwise, Benjamin Piekut takes the reader into the heart of what we mean by \"experimental\" in avant-garde music. Focusing on one place and time—New York City, 1964—Piekut examines five disparate events: the New York Philharmonic’s disastrous performance of John Cage’s Atlas Eclipticalis; Henry Flynt’s demonstrations against the downtown avant-garde; Charlotte Moorman’s Avant Garde Festival; the founding of the Jazz Composers Guild; and the emergence of Iggy Pop. Drawing together a colorful array of personalities, Piekut argues that each of these examples points to a failure and marks a limit or boundary of canonical experimentalism. What emerges from these marginal moments is an accurate picture of the avant-garde, not as a style or genre, but as a network defined by disagreements, struggles, and exclusions.","ISBN":"978-0-520-94842-6","note":"Google-Books-ID: r9kooAjAxJYC","shortTitle":"Experimentalism Otherwise","language":"en","author":[{"family":"Piekut","given":"Benjamin"}],"issued":{"date-parts":[["2011"]]}}}],"schema":"https://github.com/citation-style-language/schema/raw/master/csl-citation.json"} </w:instrText>
      </w:r>
      <w:r>
        <w:rPr>
          <w:rFonts w:ascii="Times New Roman" w:hAnsi="Times New Roman" w:cs="Times New Roman"/>
          <w:sz w:val="24"/>
          <w:szCs w:val="24"/>
          <w:lang w:val="en-GB"/>
        </w:rPr>
        <w:fldChar w:fldCharType="separate"/>
      </w:r>
      <w:r w:rsidRPr="006219AF">
        <w:rPr>
          <w:rFonts w:ascii="Times New Roman" w:hAnsi="Times New Roman" w:cs="Times New Roman"/>
          <w:sz w:val="24"/>
          <w:lang w:val="en-GB"/>
        </w:rPr>
        <w:t>(Piekut 2011: 19)</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w:t>
      </w:r>
    </w:p>
    <w:p w14:paraId="346B2A3A" w14:textId="1126014B" w:rsidR="00996481" w:rsidRPr="00C47DDA" w:rsidRDefault="00996481" w:rsidP="00656AF0">
      <w:pPr>
        <w:spacing w:after="0" w:line="360" w:lineRule="auto"/>
        <w:ind w:firstLine="709"/>
        <w:rPr>
          <w:rFonts w:ascii="Times New Roman" w:hAnsi="Times New Roman" w:cs="Times New Roman"/>
          <w:b/>
          <w:sz w:val="24"/>
          <w:szCs w:val="24"/>
          <w:lang w:val="en-GB"/>
        </w:rPr>
      </w:pPr>
      <w:r>
        <w:rPr>
          <w:rFonts w:ascii="Times New Roman" w:hAnsi="Times New Roman" w:cs="Times New Roman"/>
          <w:sz w:val="24"/>
          <w:szCs w:val="24"/>
          <w:lang w:val="en-GB"/>
        </w:rPr>
        <w:t xml:space="preserve">In various ways, jazz scholars have implicitly addressed the material culture of jazz. Particularly the importance of recordings has been noted, not just because they are the object of study for most jazz scholars, but because listening to records, playing along with them, and copying solos has been an important part of how many jazz musicians have learned to play and develop their own idiom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{"citationID":"vnfM04fH","properties":{"formattedCitation":"(P. F. Berliner 1994; Monson 1996; Born 2005)","plainCitation":"(P. F. Berliner 1994; Monson 1996; Born 2005)","dontUpdate":true,"noteIndex":0},"citationItems":[{"id":149,"uris":["http://zotero.org/users/4953069/items/4JV4NKWE"],"uri":["http://zotero.org/users/4953069/items/4JV4NKWE"],"itemData":{"id":149,"type":"book","title":"Thinking in Jazz: The Infinite Art of Improvisation","publisher":"University of Chicago Press","number-of-pages":"905","source":"Google Books","abstract":"A landmark in jazz studies, Thinking in Jazz reveals as never before how musicians, both individually and collectively, learn to improvise. Chronicling leading musicians from their first encounters with jazz to the development of a unique improvisatory voice, Paul Berliner documents the lifetime of preparation that lies behind the skilled improviser's every idea.  The product of more than fifteen years of immersion in the jazz world, Thinking in Jazz combines participant observation with detailed musicological analysis, the author's experience as a jazz trumpeter, interpretations of published material by scholars and performers, and, above all, original data from interviews with more than fifty professional musicians: bassists George Duvivier and Rufus Reid; drummers Max Roach, Ronald Shannon Jackson, and Akira Tana; guitarist Emily Remler; pianists Tommy Flanagan and Barry Harris; saxophonists Lou Donaldson, Lee Konitz, and James Moody; trombonist Curtis Fuller; trumpeters Doc Cheatham, Art Farmer, Wynton Marsalis, and Red Rodney; vocalists Carmen Lundy and Vea Williams; and others. Together, the interviews provide insight into the production of jazz by great artists like Betty Carter, Miles Davis, Dizzy Gillespie, Coleman Hawkins, and Charlie Parker.  Thinking in Jazz overflows with musical examples from the 1920s to the present, including original transcriptions (keyed to commercial recordings) of collective improvisations by Miles Davis's and John Coltrane's groups. These transcriptions provide additional insight into the structure and creativity of jazz improvisation and represent a remarkable resource for jazz musicians as well as students and educators.  Berliner explores the alternative ways—aural, visual, kinetic, verbal, emotional, theoretical, associative—in which these performers conceptualize their music and describes the delicate interplay of soloist and ensemble in collective improvisation. Berliner's skillful integration of data concerning musical development, the rigorous practice and thought artists devote to jazz outside of performance, and the complexities of composing in the moment leads to a new understanding of jazz improvisation as a language, an aesthetic, and a tradition. This unprecedented journey to the heart of the jazz tradition will fascinate and enlighten musicians, musicologists, and jazz fans alike.","ISBN":"978-0-226-04452-1","note":"Google-Books-ID: tqPnM_e4CPYC","shortTitle":"Thinking in Jazz","language":"en","author":[{"family":"Berliner","given":"Paul"}],"issued":{"date-parts":[["1994"]]}}},{"id":396,"uris":["http://zotero.org/users/4953069/items/EJBD3IPF"],"uri":["http://zotero.org/users/4953069/items/EJBD3IPF"],"itemData":{"id":396,"type":"book","title":"Saying Something: Jazz improvisation and interaction","publisher":"University of Chicago Press","publisher-place":"Chicago","event-place":"Chicago","author":[{"family":"Monson","given":"Ingrid"}],"issued":{"date-parts":[["1996"]]}}},{"id":301,"uris":["http://zotero.org/users/4953069/items/M4ZN8UHA"],"uri":["http://zotero.org/users/4953069/items/M4ZN8UHA"],"itemData":{"id":301,"type":"article-journal","title":"On Musical Mediation: Ontology, Technology and Creativity","container-title":"Twentieth-Century Music","page":"7–36","volume":"2","issue":"01","source":"Cambridge Journals Online","abstract":"This article develops a theoretical analysis of music and mediation, building on the work of Theodor Adorno, Tia DeNora and Antoine Hennion. It begins by suggesting that Lydia Goehr’s account of the work concept requires such a perspective. Drawing on Alfred Gell’s anthropology of art, the article outlines an approach to mediation that incorporates understandings of music’s social, technological and temporal dimensions. It suggests that music’s mediations have taken a number of historical forms, which cohere into assemblages, and that we should be alert to shifts in the dominant forms of musical assemblage. In the latter part of the article, these tools are used to conceptualize changing forms of musical creativity that emerged over the twentieth century. A comparison is made between the work concept and jazz and improvised electronic musics. Three contemporary digital music experiments are discussed in detail, demonstrating the concepts of the provisional work and of social, distributed and relayed creativity. Throughout, key motifs are mediation, creativity, and the negotiation of difference.","DOI":"10.1017/S147857220500023X","ISSN":"1478-5730","shortTitle":"On Musical Mediation","author":[{"family":"Born","given":"Georgina"}],"issued":{"date-parts":[["2005",3]]}}}],"schema":"https://github.com/citation-style-language/schema/raw/master/csl-citation.json"} </w:instrText>
      </w:r>
      <w:r>
        <w:rPr>
          <w:rFonts w:ascii="Times New Roman" w:hAnsi="Times New Roman" w:cs="Times New Roman"/>
          <w:sz w:val="24"/>
          <w:szCs w:val="24"/>
          <w:lang w:val="en-GB"/>
        </w:rPr>
        <w:fldChar w:fldCharType="separate"/>
      </w:r>
      <w:r>
        <w:rPr>
          <w:rFonts w:ascii="Times New Roman" w:hAnsi="Times New Roman" w:cs="Times New Roman"/>
          <w:sz w:val="24"/>
          <w:lang w:val="en-GB"/>
        </w:rPr>
        <w:t>(</w:t>
      </w:r>
      <w:r w:rsidRPr="002C02F0">
        <w:rPr>
          <w:rFonts w:ascii="Times New Roman" w:hAnsi="Times New Roman" w:cs="Times New Roman"/>
          <w:sz w:val="24"/>
          <w:lang w:val="en-GB"/>
        </w:rPr>
        <w:t>Berliner 1994; Monson 1996; Born 2005)</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As a technology of memory, recordings have thus played an important part in jazz history not just as documents of this history, but as common points of reference for musicians to “signify” on and in doing so give new meaning to them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{"citationID":"Wph3jXih","properties":{"formattedCitation":"(Gates 1988; Tomlinson 1991; Walser 1995; Monson 1996)","plainCitation":"(Gates 1988; Tomlinson 1991; Walser 1995; Monson 1996)","noteIndex":0},"citationItems":[{"id":336,"uris":["http://zotero.org/users/4953069/items/EA73FXFN"],"uri":["http://zotero.org/users/4953069/items/EA73FXFN"],"itemData":{"id":336,"type":"book","title":"The Signifying Monkey: A Theory of African-American Literary Criticism","publisher":"Oxford University Press","publisher-place":"Oxford","number-of-pages":"322","source":"Google Books","event-place":"Oxford","abstract":"Henry Louis Gates, Jr.'s original, groundbreaking study explores the relationship between the African and African-American vernacular traditions and black literature, elaborating a new critical approach located within this tradition that allows the black voice to speak for itself. Examining the ancient poetry and myths found in African, Latin American, and Caribbean culture, and particularly the Yoruba trickster figure of Esu-Elegbara and the Signifying Monkey whose myths help articulate the black tradition's theory of its literature, Gates uncovers a unique system for interpretation and a powerful vernacular tradition that black slaves brought with them to the New World. His critical approach relies heavily on the Signifying Monkey--perhaps the most popular figure in African-American folklore--and signification and Signifyin(g). Exploring signification in black American life and literature by analyzing the transmission and revision of various signifying figures, Gates provides an extended analysis of what he calls the \"Talking Book,\" a central trope in early slave narratives that virtually defines the tradition of black American letters. Gates uses this critical framework to examine several major works of African-American literature--including Zora Neale Hurston's Their Eyes Were Watching God, Ralph Ellison's Invisible Man, and Ishmael Reed's Mumbo Jumbo--revealing how these works signify on the black tradition and on each other. The second volume in an enterprising trilogy on African-American literature, The Signifying Monkey--which expands the arguments of Figures in Black--makes an important contribution to literary theory, African-American literature, folklore, and literary history.","ISBN":"978-0-19-987861-1","note":"Google-Books-ID: yCk5oNtPhwAC","shortTitle":"The Signifying Monkey","language":"en","author":[{"family":"Gates","given":"Henry Louis"}],"issued":{"date-parts":[["1988"]]}}},{"id":334,"uris":["http://zotero.org/users/4953069/items/GPDMEEF8"],"uri":["http://zotero.org/users/4953069/items/GPDMEEF8"],"itemData":{"id":334,"type":"article-journal","title":"Cultural Dialogics and Jazz: A White Historian Signifies","container-title":"Black Music Research Journal","page":"229-264","volume":"11","issue":"2","source":"JSTOR","DOI":"10.2307/779268","ISSN":"0276-3605","shortTitle":"Cultural Dialogics and Jazz","author":[{"family":"Tomlinson","given":"Gary"}],"issued":{"date-parts":[["1991"]]}}},{"id":335,"uris":["http://zotero.org/users/4953069/items/6M5SKHIR"],"uri":["http://zotero.org/users/4953069/items/6M5SKHIR"],"itemData":{"id":335,"type":"chapter","title":"Out of Notes: Signification, Interpretation, and the Problem of Miles Davis","container-title":"Jazz Among the Discourses","publisher":"Duke University Press","publisher-place":"Durham","page":"165-188","event-place":"Durham","author":[{"family":"Walser","given":"Robert"}],"editor":[{"family":"Gabbard","given":"Krin"}],"issued":{"date-parts":[["1995"]]}}},{"id":396,"uris":["http://zotero.org/users/4953069/items/EJBD3IPF"],"uri":["http://zotero.org/users/4953069/items/EJBD3IPF"],"itemData":{"id":396,"type":"book","title":"Saying Something: Jazz improvisation and interaction","publisher":"University of Chicago Press","publisher-place":"Chicago","event-place":"Chicago","author":[{"family":"Monson","given":"Ingrid"}],"issued":{"date-parts":[["1996"]]}}}],"schema":"https://github.com/citation-style-language/schema/raw/master/csl-citation.json"} </w:instrText>
      </w:r>
      <w:r>
        <w:rPr>
          <w:rFonts w:ascii="Times New Roman" w:hAnsi="Times New Roman" w:cs="Times New Roman"/>
          <w:sz w:val="24"/>
          <w:szCs w:val="24"/>
          <w:lang w:val="en-GB"/>
        </w:rPr>
        <w:fldChar w:fldCharType="separate"/>
      </w:r>
      <w:r w:rsidRPr="00E74D64">
        <w:rPr>
          <w:rFonts w:ascii="Times New Roman" w:hAnsi="Times New Roman" w:cs="Times New Roman"/>
          <w:sz w:val="24"/>
          <w:lang w:val="en-GB"/>
        </w:rPr>
        <w:t>(Gates 1988; Tomlinson 1991; Walser 1995; Monson 1996)</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w:t>
      </w:r>
      <w:r>
        <w:rPr>
          <w:rStyle w:val="Eindnootmarkering"/>
          <w:rFonts w:ascii="Times New Roman" w:hAnsi="Times New Roman" w:cs="Times New Roman"/>
          <w:sz w:val="24"/>
          <w:szCs w:val="24"/>
          <w:lang w:val="en-GB"/>
        </w:rPr>
        <w:endnoteReference w:id="2"/>
      </w:r>
      <w:r>
        <w:rPr>
          <w:rFonts w:ascii="Times New Roman" w:hAnsi="Times New Roman" w:cs="Times New Roman"/>
          <w:sz w:val="24"/>
          <w:szCs w:val="24"/>
          <w:lang w:val="en-GB"/>
        </w:rPr>
        <w:t xml:space="preserve"> Arguably just as important for the development of the jazz repertoire has been the role of the Fake (and Real) Books that have been the subject of codification, clandestine exchange, debates over accuracy, and various legal disputes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{"citationID":"Y5XiBMg3","properties":{"formattedCitation":"(Kernfeld 2006; Faulkner and Becker 2009)","plainCitation":"(Kernfeld 2006; Faulkner and Becker 2009)","noteIndex":0},"citationItems":[{"id":333,"uris":["http://zotero.org/users/4953069/items/APG7TJ6Q"],"uri":["http://zotero.org/users/4953069/items/APG7TJ6Q"],"itemData":{"id":333,"type":"book","title":"The Story of Fake Books: Bootlegging Songs to Musicians","publisher":"Scarecrow Press","publisher-place":"Lanham","number-of-pages":"175","source":"Google Books","event-place":"Lanham","abstract":"Fake books—anthologies of songs notated in a musical shorthand—have been used by countless pop and jazz musicians in both professional and amateur settings for more than half a century. The Story of Fake Books: Bootlegging Songs to Musicians traces the entertaining and previously unknown account of the origins of pop song fake books, which evolved through the bootlegging of a now obscure musical subscription service, the Tune-Dex. The book follows the history of fake books through their increased popularity among musicians to their prosecution by the government and the music industry, resulting in America's first full-blown federal trial for criminal copyright infringement. Through accounts given by jazz musicians Steve Swallow and Pat Metheny, The Story of Fake Books also reveals the definitive history of the most popular fake book, one that has acquired a legendary status among jazz musicians: an anthology of jazz tunes called The Real Book. Drawing from information in FBI files, entertainment trade papers, and federal court records, author Barry Kernfeld presents pioneering research, which brings together aspects of pop music history and copyright law to disclose this predecessor of current-day battles over pop song piracy.","ISBN":"978-1-4617-0202-3","note":"Google-Books-ID: JjEaqP4ZFI4C","shortTitle":"The Story of Fake Books","language":"en","author":[{"family":"Kernfeld","given":"Barry"}],"issued":{"date-parts":[["2006",8,24]]}}},{"id":275,"uris":["http://zotero.org/users/4953069/items/MM82FZ6I"],"uri":["http://zotero.org/users/4953069/items/MM82FZ6I"],"itemData":{"id":275,"type":"book","title":"\"Do You Know...?\": The Jazz Repertoire in Action","publisher":"University of Chicago Press","number-of-pages":"228","source":"Google Books","abstract":"Every night, somewhere in the world, three or four musicians will climb on stage together. Whether the gig is at a jazz club, a bar, or a bar mitzvah, the performance never begins with a note, but with a question. The trumpet player might turn to the bassist and ask, “Do you know ‘Body and Soul’?”—and from there the subtle craft of playing the jazz repertoire is tested in front of a live audience. These ordinary musicians may never have played together—they may never have met—so how do they smoothly put on a show without getting booed offstage.  In “Do You Know . . . ?” Robert R. Faulkner and Howard S. Becker—both jazz musicians with decades of experience performing—present the view from the bandstand, revealing the array of skills necessary for working musicians to do their jobs. While learning songs from sheet music or by ear helps, the jobbing musician’s lexicon is dauntingly massive: hundreds of thousands of tunes from jazz classics and pop standards to more exotic fare. Since it is impossible for anyone to memorize all of these songs, Faulkner and Becker show that musicians collectively negotiate and improvise their way to a successful performance. Players must explore each others’ areas of expertise, develop an ability to fake their way through unfamiliar territory, and respond to the unpredictable demands of their audience—whether an unexpected gang of polka fanatics or a tipsy father of the bride with an obscure favorite song.  “Do You Know . . . ?” dishes out entertaining stories and sharp insights drawn from the authors’ own experiences and observations as well as interviews with a range of musicians. Faulkner and Becker’s vivid, detailed portrait of the musician at work holds valuable lessons for anyone who has to think on the spot or under a spotlight.","ISBN":"978-0-226-23922-4","note":"Google-Books-ID: uzwu7D4HM_oC","shortTitle":"\"Do You Know...?","language":"en","author":[{"family":"Faulkner","given":"Robert R."},{"family":"Becker","given":"Howard S."}],"issued":{"date-parts":[["2009"]]}}}],"schema":"https://github.com/citation-style-language/schema/raw/master/csl-citation.json"} </w:instrText>
      </w:r>
      <w:r>
        <w:rPr>
          <w:rFonts w:ascii="Times New Roman" w:hAnsi="Times New Roman" w:cs="Times New Roman"/>
          <w:sz w:val="24"/>
          <w:szCs w:val="24"/>
          <w:lang w:val="en-GB"/>
        </w:rPr>
        <w:fldChar w:fldCharType="separate"/>
      </w:r>
      <w:r w:rsidRPr="00512C95">
        <w:rPr>
          <w:rFonts w:ascii="Times New Roman" w:hAnsi="Times New Roman" w:cs="Times New Roman"/>
          <w:sz w:val="24"/>
          <w:lang w:val="en-GB"/>
        </w:rPr>
        <w:t>(Kernfeld 2006; Faulkner and Becker 2009)</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Another way in which the material culture of jazz has been addressed is through the lens of visual studies, where particularly jazz and film, but also jazz photography and the design of record sleeves have been important areas of investigation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{"citationID":"EGMCz2L4","properties":{"formattedCitation":"(Gabbard 1995b, 1996; Heile, Elsdon, and Doctor 2016)","plainCitation":"(Gabbard 1995b, 1996; Heile, Elsdon, and Doctor 2016)","noteIndex":0},"citationItems":[{"id":332,"uris":["http://zotero.org/users/4953069/items/RVD8I78C"],"uri":["http://zotero.org/users/4953069/items/RVD8I78C"],"itemData":{"id":332,"type":"book","title":"Representing Jazz","publisher":"Duke University Press","publisher-place":"Durham","number-of-pages":"332","source":"Google Books","event-place":"Durham","abstract":"Traditional jazz studies have tended to see jazz in purely musical terms, as a series of changes in rhythm, tonality, and harmony, or as a parade of great players. But jazz has also entered the cultural mix through its significant impact on novelists, filmmakers, dancers, painters, biographers, and photographers. Representing Jazz explores the \"other\" history of jazz created by these artists, a history that tells us as much about the meaning of the music as do the many books that narrate the lives of musicians or describe their recordings. Krin Gabbard has gathered essays by distinguished writers from a variety of fields. They provide engaging analyses of films such as Round Midnight, Bird, Mo’ Better Blues, Cabin in the Sky, and Jammin’ the Blues; the writings of Eudora Welty and Dorothy Baker; the careers of the great lindy hoppers of the 1930s and 1940s; Mura Dehn’s extraordinary documentary on jazz dance; the jazz photography of William Claxton; painters of the New York School; the traditions of jazz autobiography; and the art of \"vocalese.\" The contributors to this volume assess the influence of extramusical sources on our knowledge of jazz and suggest that the living contexts of the music must be considered if a more sophisticated jazz scholarship is ever to evolve. Transcending the familiar patterns of jazz history and criticism, Representing Jazz looks at how the music actually has been heard and felt at different levels of American culture. With its companion anthology, Jazz Among the Discourses, this volume will enrich and transform the literature of jazz studies. Its provocative essays will interest both aficionados and potential jazz fans.Contributors. Karen Backstein, Leland H. Chambers, Robert P. Crease, Krin Gabbard, Frederick Garber, Barry K. Grant, Mona Hadler, Christopher Harlos, Michael Jarrett, Adam Knee, Arthur Knight, James Naremore","ISBN":"978-0-8223-1594-0","note":"Google-Books-ID: yT56t7hriTEC","language":"en","author":[{"family":"Gabbard","given":"Krin"}],"issued":{"date-parts":[["1995"]]}}},{"id":331,"uris":["http://zotero.org/users/4953069/items/25FP6XCT"],"uri":["http://zotero.org/users/4953069/items/25FP6XCT"],"itemData":{"id":331,"type":"book","title":"Jammin' at the Margins: Jazz and the American Cinema","publisher":"University of Chicago Press","publisher-place":"Chicago","number-of-pages":"372","source":"Google Books","event-place":"Chicago","abstract":"American cinema has long been fascinated by jazz and jazz musicians. Yet most jazz films aren't really about jazz. Rather, as Krin Gabbard shows, they create images of racial and sexual identity, many of which have become inseparable from popular notions of the music itself. In Jammin' at the Margins, Gabbard scrutinizes these films, exploring the fundamental obsessions that American culture has brought to jazz in the cinema.  Gabbard's close look at jazz film biographies, from The Jazz Singer to Bird, reveals Hollywood's reluctance to acknowledge black subjectivity. Black and even white jazz artists have become vehicles for familiar Hollywood conceptions of race, gender, and sexuality. Even Scorsese's New York, New York and Spike Lee's Mo' Better Blues have failed to disentangle themselves from entrenched stereotypes and conventions.  Gabbard also examines Hollywood's confrontation with jazz as an elite art form, and the role of the jazz trumpet as a crucial signifier of masculinity. Finally, he considers the acting careers of Louis Armstrong, Nat King Cole, and Hoagy Carmichael; Duke Ellington's extraordinary work in films from 1929 until the late 1960s; and the forgotten career of Kay Kyser, star of nine Hollywood films and leader of a popular swing band.  This insightful look at the marriage of jazz and film is a major contribution to film, jazz, and cultural studies.","ISBN":"978-0-226-27789-9","note":"Google-Books-ID: cupP20LnKBAC","shortTitle":"Jammin' at the Margins","language":"en","author":[{"family":"Gabbard","given":"Krin"}],"issued":{"date-parts":[["1996"]]}}},{"id":330,"uris":["http://zotero.org/users/4953069/items/7VAQUIUI"],"uri":["http://zotero.org/users/4953069/items/7VAQUIUI"],"itemData":{"id":330,"type":"book","title":"Watching Jazz: Encounters with Jazz Performance on Screen","publisher":"Oxford University Press","publisher-place":"Oxford","number-of-pages":"313","source":"Google Books","event-place":"Oxford","abstract":"Watching Jazz: Encounters with Jazz Performance on Screen is the first systematic study of jazz on screen media. Where earlier studies have focused almost entirely on the role and portrayal of jazz in Hollywood film, the present book engages with a plethora of technologies and media from early film and soundies through television to recent developments in digital technologies and online media. Likewise, the authors discuss jazz in the widest sense, ranging from Duke Ellington and Jimmy Dorsey through the likes of Dizzy Gillespie, Art Blakey, Oscar Peterson, Miles Davis, John Coltrane and Charles Mingus to Pat Metheny. Much of this rich and fascinating material has never been studied in depth before, and what emerges most clearly are the manifold connections between the music and the media on which it was and is being recorded. Its long association with film and television has left its trace in jazz, just as online and social media are subtly shaping it now. Vice versa, visual media have always benefited from focusing on music and this significantly affected their development. The book follows these interrelations, showing how jazz was presented and represented on screen and what this tells us about the music, the people who made it and their audiences. The result is a new approach to jazz and the media, which will be required reading for students of both fields.","ISBN":"978-0-19-934767-4","note":"Google-Books-ID: 5hw9DAAAQBAJ","shortTitle":"Watching Jazz","language":"en","author":[{"family":"Heile","given":"Bj?rn"},{"family":"Elsdon","given":"Peter"},{"family":"Doctor","given":"Jenny"}],"issued":{"date-parts":[["2016",5,31]]}}}],"schema":"https://github.com/citation-style-language/schema/raw/master/csl-citation.json"} </w:instrText>
      </w:r>
      <w:r>
        <w:rPr>
          <w:rFonts w:ascii="Times New Roman" w:hAnsi="Times New Roman" w:cs="Times New Roman"/>
          <w:sz w:val="24"/>
          <w:szCs w:val="24"/>
          <w:lang w:val="en-GB"/>
        </w:rPr>
        <w:fldChar w:fldCharType="separate"/>
      </w:r>
      <w:r w:rsidR="00E9600C" w:rsidRPr="002C7484">
        <w:rPr>
          <w:rFonts w:ascii="Times New Roman" w:hAnsi="Times New Roman" w:cs="Times New Roman"/>
          <w:sz w:val="24"/>
          <w:lang w:val="en-GB"/>
        </w:rPr>
        <w:t>(</w:t>
      </w:r>
      <w:proofErr w:type="spellStart"/>
      <w:r w:rsidR="00E9600C" w:rsidRPr="002C7484">
        <w:rPr>
          <w:rFonts w:ascii="Times New Roman" w:hAnsi="Times New Roman" w:cs="Times New Roman"/>
          <w:sz w:val="24"/>
          <w:lang w:val="en-GB"/>
        </w:rPr>
        <w:t>Gabbard</w:t>
      </w:r>
      <w:proofErr w:type="spellEnd"/>
      <w:r w:rsidR="00E9600C" w:rsidRPr="002C7484">
        <w:rPr>
          <w:rFonts w:ascii="Times New Roman" w:hAnsi="Times New Roman" w:cs="Times New Roman"/>
          <w:sz w:val="24"/>
          <w:lang w:val="en-GB"/>
        </w:rPr>
        <w:t xml:space="preserve"> 1995b, 1996; </w:t>
      </w:r>
      <w:proofErr w:type="spellStart"/>
      <w:r w:rsidR="00E9600C" w:rsidRPr="002C7484">
        <w:rPr>
          <w:rFonts w:ascii="Times New Roman" w:hAnsi="Times New Roman" w:cs="Times New Roman"/>
          <w:sz w:val="24"/>
          <w:lang w:val="en-GB"/>
        </w:rPr>
        <w:t>Heile</w:t>
      </w:r>
      <w:proofErr w:type="spellEnd"/>
      <w:r w:rsidR="00E9600C" w:rsidRPr="002C7484">
        <w:rPr>
          <w:rFonts w:ascii="Times New Roman" w:hAnsi="Times New Roman" w:cs="Times New Roman"/>
          <w:sz w:val="24"/>
          <w:lang w:val="en-GB"/>
        </w:rPr>
        <w:t xml:space="preserve">, </w:t>
      </w:r>
      <w:proofErr w:type="spellStart"/>
      <w:r w:rsidR="00E9600C" w:rsidRPr="002C7484">
        <w:rPr>
          <w:rFonts w:ascii="Times New Roman" w:hAnsi="Times New Roman" w:cs="Times New Roman"/>
          <w:sz w:val="24"/>
          <w:lang w:val="en-GB"/>
        </w:rPr>
        <w:t>Elsdon</w:t>
      </w:r>
      <w:proofErr w:type="spellEnd"/>
      <w:r w:rsidR="00E9600C" w:rsidRPr="002C7484">
        <w:rPr>
          <w:rFonts w:ascii="Times New Roman" w:hAnsi="Times New Roman" w:cs="Times New Roman"/>
          <w:sz w:val="24"/>
          <w:lang w:val="en-GB"/>
        </w:rPr>
        <w:t>, and Doctor 2016)</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w:t>
      </w:r>
    </w:p>
    <w:p w14:paraId="0FE510FF" w14:textId="6244213C" w:rsidR="00996481" w:rsidRDefault="00996481" w:rsidP="00DB3F96">
      <w:pPr>
        <w:spacing w:after="0" w:line="36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 xml:space="preserve">From a new materialist perspective, these objects are not just representations or reflections of jazz, contributing to a discourse around jazz while never permeating it, but integral elements of the jazz assemblage. Jed </w:t>
      </w:r>
      <w:proofErr w:type="spellStart"/>
      <w:r>
        <w:rPr>
          <w:rFonts w:ascii="Times New Roman" w:hAnsi="Times New Roman" w:cs="Times New Roman"/>
          <w:sz w:val="24"/>
          <w:szCs w:val="24"/>
          <w:lang w:val="en-GB"/>
        </w:rPr>
        <w:t>Rasula</w:t>
      </w:r>
      <w:proofErr w:type="spellEnd"/>
      <w:r>
        <w:rPr>
          <w:rFonts w:ascii="Times New Roman" w:hAnsi="Times New Roman" w:cs="Times New Roman"/>
          <w:sz w:val="24"/>
          <w:szCs w:val="24"/>
          <w:lang w:val="en-GB"/>
        </w:rPr>
        <w:t xml:space="preserve">, in a classic paper on the “seductive menace” of jazz recordings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{"citationID":"84Fpxg4d","properties":{"formattedCitation":"(Rasula 1995)","plainCitation":"(Rasula 1995)","dontUpdate":true,"noteIndex":0},"citationItems":[{"id":156,"uris":["http://zotero.org/users/4953069/items/FHIZXTXB"],"uri":["http://zotero.org/users/4953069/items/FHIZXTXB"],"itemData":{"id":156,"type":"chapter","title":"The Media of Memory: The Seductive Menace of Records in Jazz History","container-title":"Jazz Among the Discourses","publisher":"Duke University Press","publisher-place":"Durham","page":"134-162","event-place":"Durham","author":[{"family":"Rasula","given":"Jed"}],"editor":[{"family":"Gabbard","given":"Krin"}],"issued":{"date-parts":[["1995"]]}}}],"schema":"https://github.com/citation-style-language/schema/raw/master/csl-citation.json"} </w:instrText>
      </w:r>
      <w:r>
        <w:rPr>
          <w:rFonts w:ascii="Times New Roman" w:hAnsi="Times New Roman" w:cs="Times New Roman"/>
          <w:sz w:val="24"/>
          <w:szCs w:val="24"/>
          <w:lang w:val="en-GB"/>
        </w:rPr>
        <w:fldChar w:fldCharType="separate"/>
      </w:r>
      <w:r>
        <w:rPr>
          <w:rFonts w:ascii="Times New Roman" w:hAnsi="Times New Roman" w:cs="Times New Roman"/>
          <w:sz w:val="24"/>
          <w:lang w:val="en-GB"/>
        </w:rPr>
        <w:t>(</w:t>
      </w:r>
      <w:r w:rsidRPr="00512C95">
        <w:rPr>
          <w:rFonts w:ascii="Times New Roman" w:hAnsi="Times New Roman" w:cs="Times New Roman"/>
          <w:sz w:val="24"/>
          <w:lang w:val="en-GB"/>
        </w:rPr>
        <w:t>1995)</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argues that recordings, because of technological limitations, are unreliable sources to serve as “primary evidence” of actual performing </w:t>
      </w:r>
      <w:r>
        <w:rPr>
          <w:rFonts w:ascii="Times New Roman" w:hAnsi="Times New Roman" w:cs="Times New Roman"/>
          <w:sz w:val="24"/>
          <w:szCs w:val="24"/>
          <w:lang w:val="en-GB"/>
        </w:rPr>
        <w:lastRenderedPageBreak/>
        <w:t>practices, especially in early jazz. As such, recordings constitute myths of an authentic “living reality” of which they can only be inauthentic and partial representations. As a medium of inscription, recordings constitute their own history of jazz in comparison with which the historian’s account can only be “a surrogate act masquerading as authority.” (135) Jazz thus comes to be characterized by a nostalgia for presence: “Jazz has been a constant testimony to things that will never be known, people that will forever go unheard, words that will remain unsaid.” (152)</w:t>
      </w:r>
    </w:p>
    <w:p w14:paraId="30D9CCDA" w14:textId="30E0424C" w:rsidR="00996481" w:rsidRDefault="00996481" w:rsidP="00501E89">
      <w:pPr>
        <w:spacing w:after="0" w:line="360" w:lineRule="auto"/>
        <w:ind w:firstLine="709"/>
        <w:rPr>
          <w:rFonts w:ascii="Times New Roman" w:hAnsi="Times New Roman" w:cs="Times New Roman"/>
          <w:sz w:val="24"/>
          <w:szCs w:val="24"/>
          <w:lang w:val="en-GB"/>
        </w:rPr>
      </w:pPr>
      <w:proofErr w:type="spellStart"/>
      <w:r>
        <w:rPr>
          <w:rFonts w:ascii="Times New Roman" w:hAnsi="Times New Roman" w:cs="Times New Roman"/>
          <w:sz w:val="24"/>
          <w:szCs w:val="24"/>
          <w:lang w:val="en-GB"/>
        </w:rPr>
        <w:t>Rasula</w:t>
      </w:r>
      <w:proofErr w:type="spellEnd"/>
      <w:r>
        <w:rPr>
          <w:rFonts w:ascii="Times New Roman" w:hAnsi="Times New Roman" w:cs="Times New Roman"/>
          <w:sz w:val="24"/>
          <w:szCs w:val="24"/>
          <w:lang w:val="en-GB"/>
        </w:rPr>
        <w:t xml:space="preserve"> certainly identifies an important part of jazz aesthetics, and it is striking how many jazz lovers still primarily approach recordings as representations of performances rather than works in their own right—which is how most people today usually listen to recordings. Indeed, John </w:t>
      </w:r>
      <w:proofErr w:type="spellStart"/>
      <w:r>
        <w:rPr>
          <w:rFonts w:ascii="Times New Roman" w:hAnsi="Times New Roman" w:cs="Times New Roman"/>
          <w:sz w:val="24"/>
          <w:szCs w:val="24"/>
          <w:lang w:val="en-GB"/>
        </w:rPr>
        <w:t>Gennari</w:t>
      </w:r>
      <w:proofErr w:type="spellEnd"/>
      <w:r>
        <w:rPr>
          <w:rFonts w:ascii="Times New Roman" w:hAnsi="Times New Roman" w:cs="Times New Roman"/>
          <w:sz w:val="24"/>
          <w:szCs w:val="24"/>
          <w:lang w:val="en-GB"/>
        </w:rPr>
        <w:t xml:space="preserve"> calls it “the most fundamental and enduring article of faith in jazz” that “its truth is located in its live performance aesthetic, its </w:t>
      </w:r>
      <w:proofErr w:type="spellStart"/>
      <w:r>
        <w:rPr>
          <w:rFonts w:ascii="Times New Roman" w:hAnsi="Times New Roman" w:cs="Times New Roman"/>
          <w:sz w:val="24"/>
          <w:szCs w:val="24"/>
          <w:lang w:val="en-GB"/>
        </w:rPr>
        <w:t>multitextual</w:t>
      </w:r>
      <w:proofErr w:type="spellEnd"/>
      <w:r>
        <w:rPr>
          <w:rFonts w:ascii="Times New Roman" w:hAnsi="Times New Roman" w:cs="Times New Roman"/>
          <w:sz w:val="24"/>
          <w:szCs w:val="24"/>
          <w:lang w:val="en-GB"/>
        </w:rPr>
        <w:t xml:space="preserve">, non-recordable qualities of emotional expressiveness and response.”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{"citationID":"V9HuvR1G","properties":{"formattedCitation":"(Gennari 1991)","plainCitation":"(Gennari 1991)","dontUpdate":true,"noteIndex":0},"citationItems":[{"id":374,"uris":["http://zotero.org/users/4953069/items/FC226B6U"],"uri":["http://zotero.org/users/4953069/items/FC226B6U"],"itemData":{"id":374,"type":"article-journal","title":"Jazz Criticism: Its Development and Ideologies","container-title":"Black American Literature Forum","page":"449-523","volume":"25","issue":"3","source":"JSTOR","DOI":"10.2307/3041811","ISSN":"0148-6179","shortTitle":"Jazz Criticism","author":[{"family":"Gennari","given":"John"}],"issued":{"date-parts":[["1991"]]}}}],"schema":"https://github.com/citation-style-language/schema/raw/master/csl-citation.json"} </w:instrText>
      </w:r>
      <w:r>
        <w:rPr>
          <w:rFonts w:ascii="Times New Roman" w:hAnsi="Times New Roman" w:cs="Times New Roman"/>
          <w:sz w:val="24"/>
          <w:szCs w:val="24"/>
          <w:lang w:val="en-GB"/>
        </w:rPr>
        <w:fldChar w:fldCharType="separate"/>
      </w:r>
      <w:r w:rsidRPr="006219AF">
        <w:rPr>
          <w:rFonts w:ascii="Times New Roman" w:hAnsi="Times New Roman" w:cs="Times New Roman"/>
          <w:sz w:val="24"/>
          <w:lang w:val="en-GB"/>
        </w:rPr>
        <w:t>(Gennari 1991: 459)</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However, from this perspective, the “real” jazz is always somewhere else, always just out of reach. Instead, to paraphrase </w:t>
      </w:r>
      <w:proofErr w:type="spellStart"/>
      <w:r>
        <w:rPr>
          <w:rFonts w:ascii="Times New Roman" w:hAnsi="Times New Roman" w:cs="Times New Roman"/>
          <w:sz w:val="24"/>
          <w:szCs w:val="24"/>
          <w:lang w:val="en-GB"/>
        </w:rPr>
        <w:t>Piekut</w:t>
      </w:r>
      <w:proofErr w:type="spellEnd"/>
      <w:r>
        <w:rPr>
          <w:rFonts w:ascii="Times New Roman" w:hAnsi="Times New Roman" w:cs="Times New Roman"/>
          <w:sz w:val="24"/>
          <w:szCs w:val="24"/>
          <w:lang w:val="en-GB"/>
        </w:rPr>
        <w:t xml:space="preserve">, I would argue that jazz is </w:t>
      </w:r>
      <w:r>
        <w:rPr>
          <w:rFonts w:ascii="Times New Roman" w:hAnsi="Times New Roman" w:cs="Times New Roman"/>
          <w:i/>
          <w:sz w:val="24"/>
          <w:szCs w:val="24"/>
          <w:lang w:val="en-GB"/>
        </w:rPr>
        <w:t>exactly</w:t>
      </w:r>
      <w:r>
        <w:rPr>
          <w:rFonts w:ascii="Times New Roman" w:hAnsi="Times New Roman" w:cs="Times New Roman"/>
          <w:sz w:val="24"/>
          <w:szCs w:val="24"/>
          <w:lang w:val="en-GB"/>
        </w:rPr>
        <w:t xml:space="preserve"> what scholars and recordings have construed it to be, just not for the reasons </w:t>
      </w:r>
      <w:proofErr w:type="spellStart"/>
      <w:r>
        <w:rPr>
          <w:rFonts w:ascii="Times New Roman" w:hAnsi="Times New Roman" w:cs="Times New Roman"/>
          <w:sz w:val="24"/>
          <w:szCs w:val="24"/>
          <w:lang w:val="en-GB"/>
        </w:rPr>
        <w:t>Rasula</w:t>
      </w:r>
      <w:proofErr w:type="spellEnd"/>
      <w:r>
        <w:rPr>
          <w:rFonts w:ascii="Times New Roman" w:hAnsi="Times New Roman" w:cs="Times New Roman"/>
          <w:sz w:val="24"/>
          <w:szCs w:val="24"/>
          <w:lang w:val="en-GB"/>
        </w:rPr>
        <w:t xml:space="preserve"> gives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{"citationID":"UYfkTGfH","properties":{"formattedCitation":"(Piekut 2011)","plainCitation":"(Piekut 2011)","dontUpdate":true,"noteIndex":0},"citationItems":[{"id":258,"uris":["http://zotero.org/users/4953069/items/S8MIJNCI"],"uri":["http://zotero.org/users/4953069/items/S8MIJNCI"],"itemData":{"id":258,"type":"book","title":"Experimentalism Otherwise: The New York Avant-Garde and Its Limits","publisher":"University of California Press","publisher-place":"Berkeley","number-of-pages":"297","source":"Google Books","event-place":"Berkeley","abstract":"In Experimental Otherwise, Benjamin Piekut takes the reader into the heart of what we mean by \"experimental\" in avant-garde music. Focusing on one place and time—New York City, 1964—Piekut examines five disparate events: the New York Philharmonic’s disastrous performance of John Cage’s Atlas Eclipticalis; Henry Flynt’s demonstrations against the downtown avant-garde; Charlotte Moorman’s Avant Garde Festival; the founding of the Jazz Composers Guild; and the emergence of Iggy Pop. Drawing together a colorful array of personalities, Piekut argues that each of these examples points to a failure and marks a limit or boundary of canonical experimentalism. What emerges from these marginal moments is an accurate picture of the avant-garde, not as a style or genre, but as a network defined by disagreements, struggles, and exclusions.","ISBN":"978-0-520-94842-6","note":"Google-Books-ID: r9kooAjAxJYC","shortTitle":"Experimentalism Otherwise","language":"en","author":[{"family":"Piekut","given":"Benjamin"}],"issued":{"date-parts":[["2011"]]}}}],"schema":"https://github.com/citation-style-language/schema/raw/master/csl-citation.json"} </w:instrText>
      </w:r>
      <w:r>
        <w:rPr>
          <w:rFonts w:ascii="Times New Roman" w:hAnsi="Times New Roman" w:cs="Times New Roman"/>
          <w:sz w:val="24"/>
          <w:szCs w:val="24"/>
          <w:lang w:val="en-GB"/>
        </w:rPr>
        <w:fldChar w:fldCharType="separate"/>
      </w:r>
      <w:r w:rsidRPr="00512C95">
        <w:rPr>
          <w:rFonts w:ascii="Times New Roman" w:hAnsi="Times New Roman" w:cs="Times New Roman"/>
          <w:sz w:val="24"/>
          <w:lang w:val="en-GB"/>
        </w:rPr>
        <w:t>(Piekut 2011</w:t>
      </w:r>
      <w:r>
        <w:rPr>
          <w:rFonts w:ascii="Times New Roman" w:hAnsi="Times New Roman" w:cs="Times New Roman"/>
          <w:sz w:val="24"/>
          <w:lang w:val="en-GB"/>
        </w:rPr>
        <w:t>: 18</w:t>
      </w:r>
      <w:r w:rsidRPr="00512C95">
        <w:rPr>
          <w:rFonts w:ascii="Times New Roman" w:hAnsi="Times New Roman" w:cs="Times New Roman"/>
          <w:sz w:val="24"/>
          <w:lang w:val="en-GB"/>
        </w:rPr>
        <w:t>)</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Much of the jazz literature continues to focus on this logic of rift and rupture, the “</w:t>
      </w:r>
      <w:proofErr w:type="spellStart"/>
      <w:r>
        <w:rPr>
          <w:rFonts w:ascii="Times New Roman" w:hAnsi="Times New Roman" w:cs="Times New Roman"/>
          <w:sz w:val="24"/>
          <w:szCs w:val="24"/>
          <w:lang w:val="en-GB"/>
        </w:rPr>
        <w:t>schizophonic</w:t>
      </w:r>
      <w:proofErr w:type="spellEnd"/>
      <w:r>
        <w:rPr>
          <w:rFonts w:ascii="Times New Roman" w:hAnsi="Times New Roman" w:cs="Times New Roman"/>
          <w:sz w:val="24"/>
          <w:szCs w:val="24"/>
          <w:lang w:val="en-GB"/>
        </w:rPr>
        <w:t xml:space="preserve">” condition of separation of sound from its source, while popular music studies has long moved to investigate what </w:t>
      </w:r>
      <w:proofErr w:type="spellStart"/>
      <w:r>
        <w:rPr>
          <w:rFonts w:ascii="Times New Roman" w:hAnsi="Times New Roman" w:cs="Times New Roman"/>
          <w:sz w:val="24"/>
          <w:szCs w:val="24"/>
          <w:lang w:val="en-GB"/>
        </w:rPr>
        <w:t>Piekut</w:t>
      </w:r>
      <w:proofErr w:type="spellEnd"/>
      <w:r>
        <w:rPr>
          <w:rFonts w:ascii="Times New Roman" w:hAnsi="Times New Roman" w:cs="Times New Roman"/>
          <w:sz w:val="24"/>
          <w:szCs w:val="24"/>
          <w:lang w:val="en-GB"/>
        </w:rPr>
        <w:t xml:space="preserve"> and Jason </w:t>
      </w:r>
      <w:proofErr w:type="spellStart"/>
      <w:r>
        <w:rPr>
          <w:rFonts w:ascii="Times New Roman" w:hAnsi="Times New Roman" w:cs="Times New Roman"/>
          <w:sz w:val="24"/>
          <w:szCs w:val="24"/>
          <w:lang w:val="en-GB"/>
        </w:rPr>
        <w:t>Stanyek</w:t>
      </w:r>
      <w:proofErr w:type="spellEnd"/>
      <w:r>
        <w:rPr>
          <w:rFonts w:ascii="Times New Roman" w:hAnsi="Times New Roman" w:cs="Times New Roman"/>
          <w:sz w:val="24"/>
          <w:szCs w:val="24"/>
          <w:lang w:val="en-GB"/>
        </w:rPr>
        <w:t xml:space="preserve"> call the “</w:t>
      </w:r>
      <w:proofErr w:type="spellStart"/>
      <w:r>
        <w:rPr>
          <w:rFonts w:ascii="Times New Roman" w:hAnsi="Times New Roman" w:cs="Times New Roman"/>
          <w:sz w:val="24"/>
          <w:szCs w:val="24"/>
          <w:lang w:val="en-GB"/>
        </w:rPr>
        <w:t>rhizophonic</w:t>
      </w:r>
      <w:proofErr w:type="spellEnd"/>
      <w:r>
        <w:rPr>
          <w:rFonts w:ascii="Times New Roman" w:hAnsi="Times New Roman" w:cs="Times New Roman"/>
          <w:sz w:val="24"/>
          <w:szCs w:val="24"/>
          <w:lang w:val="en-GB"/>
        </w:rPr>
        <w:t xml:space="preserve">” structures emerging from the “fundamentally fragmented yet proliferative condition of sound reproduction and recording, where sounds and bodies are constantly dislocated, relocated, and co-located in temporary aural configurations.”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{"citationID":"tSx1xZfU","properties":{"formattedCitation":"(Stanyek and Piekut 2010)","plainCitation":"(Stanyek and Piekut 2010)","dontUpdate":true,"noteIndex":0},"citationItems":[{"id":646,"uris":["http://zotero.org/users/4953069/items/HFF3AXJH"],"uri":["http://zotero.org/users/4953069/items/HFF3AXJH"],"itemData":{"id":646,"type":"article-journal","title":"Deadness: Technologies of the Intermundane","container-title":"TDR: The Drama Review","page":"14-38","volume":"54","issue":"1","source":"Project MUSE","abstract":"Posthumous duets—performances involving a dead singer and a living one—have become ubiquitous in popular music. As the case of Natalie and Nat “King” Cole’s “Unforgettable” makes clear, all sound recording harnesses the productive capacities of both living and dead, patterned through specific forms of co-laboring, or “deadness.”","ISSN":"1531-4715","shortTitle":"Deadness","author":[{"family":"Stanyek","given":"Jason"},{"family":"Piekut","given":"Benjamin"}],"issued":{"date-parts":[["2010"]]}}}],"schema":"https://github.com/citation-style-language/schema/raw/master/csl-citation.json"} </w:instrText>
      </w:r>
      <w:r>
        <w:rPr>
          <w:rFonts w:ascii="Times New Roman" w:hAnsi="Times New Roman" w:cs="Times New Roman"/>
          <w:sz w:val="24"/>
          <w:szCs w:val="24"/>
          <w:lang w:val="en-GB"/>
        </w:rPr>
        <w:fldChar w:fldCharType="separate"/>
      </w:r>
      <w:r w:rsidRPr="00512C95">
        <w:rPr>
          <w:rFonts w:ascii="Times New Roman" w:hAnsi="Times New Roman" w:cs="Times New Roman"/>
          <w:sz w:val="24"/>
          <w:lang w:val="en-GB"/>
        </w:rPr>
        <w:t>(Stanyek and Piekut 2010: 19)</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w:t>
      </w:r>
    </w:p>
    <w:p w14:paraId="528393EB" w14:textId="63B16987" w:rsidR="00996481" w:rsidRDefault="00996481" w:rsidP="00A65B01">
      <w:pPr>
        <w:spacing w:after="0" w:line="36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 xml:space="preserve">In fact, following anthropologist Alfred </w:t>
      </w:r>
      <w:proofErr w:type="spellStart"/>
      <w:r>
        <w:rPr>
          <w:rFonts w:ascii="Times New Roman" w:hAnsi="Times New Roman" w:cs="Times New Roman"/>
          <w:sz w:val="24"/>
          <w:szCs w:val="24"/>
          <w:lang w:val="en-GB"/>
        </w:rPr>
        <w:t>Gell</w:t>
      </w:r>
      <w:proofErr w:type="spellEnd"/>
      <w:r>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{"citationID":"qlkvIAHA","properties":{"formattedCitation":"(Gell 1992; Gell 1996; Gell 1998)","plainCitation":"(Gell 1992; Gell 1996; Gell 1998)","dontUpdate":true,"noteIndex":0},"citationItems":[{"id":326,"uris":["http://zotero.org/users/4953069/items/ZW86TWQN"],"uri":["http://zotero.org/users/4953069/items/ZW86TWQN"],"itemData":{"id":326,"type":"chapter","title":"The Technology of Enchantment and the Enchantment of Technology","container-title":"Anthropology, Art, and Aesthetics","publisher":"Clarendon Press","publisher-place":"Oxford","page":"40-63","event-place":"Oxford","author":[{"family":"Gell","given":"Alfred"}],"editor":[{"family":"Coote","given":"Jeremy"},{"family":"Shelton","given":"Anthony"}],"issued":{"date-parts":[["1992"]]}}},{"id":327,"uris":["http://zotero.org/users/4953069/items/G6SA2BHG"],"uri":["http://zotero.org/users/4953069/items/G6SA2BHG"],"itemData":{"id":327,"type":"article-journal","title":"Vogel's Net: Traps as Artworks and Artworks as Traps","container-title":"Journal of Material Culture","page":"15-38","volume":"1","issue":"1","source":"SAGE Journals","abstract":"This essay explores the basis of the distinction commonly made between works of art or art objects, and 'mere' artefacts, which are useful but not aes thetically interesting or beautiful. It is argued that if the art object is identi fiable as such in the light of the fact that it has an interpretation, as Danto claims, then many artefacts could be exhibited as art objects. The essay shows that animal traps could very well be exhibited as art, because they tend to embody complex ideas and intentions to do with the relationship between men and animals, and because they provide a model of the hunter himself and his idea of the world of the prey animal. It is concluded that an aesthetic definition of the art object is consequently unsatisfactory.","DOI":"10.1177/135918359600100102","ISSN":"1359-1835","shortTitle":"Vogel's Net","journalAbbreviation":"Journal of Material Culture","language":"en","author":[{"family":"Gell","given":"Alfred"}],"issued":{"date-parts":[["1996",3,1]]}}},{"id":328,"uris":["http://zotero.org/users/4953069/items/U5BC9HP9"],"uri":["http://zotero.org/users/4953069/items/U5BC9HP9"],"itemData":{"id":328,"type":"book","title":"Art and Agency: An Anthropological Theory","publisher":"Clarendon Press","number-of-pages":"297","source":"Google Books","abstract":"Alfred Gell puts forward a new anthropological theory of visual art, seen as a form of instrumental action: the making of things as a means of influencing the thoughts and actions of others. He argues that existing anthropological and aesthetic theories take an overwhelmingly passive point of view, and questions the criteria that accord art status only to a certain class of objects and not to others. The anthropology of art is here reformulated as the anthropology of a category of action: Gell shows how art objects embody complex intentionalities and mediate social agency. He explores the psychology of patterns and perceptions, art and personhood, the control of knowledge, and the interpretation of meaning, drawing upon a diversity of artistic traditions--European, Indian, Polynesian, Melanesian, and Australian. Art and Agency was completed just before Alfred Gell's death at the age of 51 in January 1997. It embodies the intellectual bravura, lively wit, vigour, and erudition for which he was admired, and will stand as an enduring testament to one of the most gifted anthropologists of his generation.","ISBN":"978-0-19-828014-9","note":"Google-Books-ID: 9YU3AwAAQBAJ","shortTitle":"Art and Agency","language":"en","author":[{"family":"Gell","given":"Alfred"}],"issued":{"date-parts":[["1998"]]}}}],"schema":"https://github.com/citation-style-language/schema/raw/master/csl-citation.json"} </w:instrText>
      </w:r>
      <w:r>
        <w:rPr>
          <w:rFonts w:ascii="Times New Roman" w:hAnsi="Times New Roman" w:cs="Times New Roman"/>
          <w:sz w:val="24"/>
          <w:szCs w:val="24"/>
          <w:lang w:val="en-GB"/>
        </w:rPr>
        <w:fldChar w:fldCharType="separate"/>
      </w:r>
      <w:r>
        <w:rPr>
          <w:rFonts w:ascii="Times New Roman" w:hAnsi="Times New Roman" w:cs="Times New Roman"/>
          <w:sz w:val="24"/>
          <w:lang w:val="en-GB"/>
        </w:rPr>
        <w:t>(Gell 1992,</w:t>
      </w:r>
      <w:r w:rsidRPr="00512C95">
        <w:rPr>
          <w:rFonts w:ascii="Times New Roman" w:hAnsi="Times New Roman" w:cs="Times New Roman"/>
          <w:sz w:val="24"/>
          <w:lang w:val="en-GB"/>
        </w:rPr>
        <w:t xml:space="preserve"> 1996</w:t>
      </w:r>
      <w:r>
        <w:rPr>
          <w:rFonts w:ascii="Times New Roman" w:hAnsi="Times New Roman" w:cs="Times New Roman"/>
          <w:sz w:val="24"/>
          <w:lang w:val="en-GB"/>
        </w:rPr>
        <w:t>,</w:t>
      </w:r>
      <w:r w:rsidRPr="00512C95">
        <w:rPr>
          <w:rFonts w:ascii="Times New Roman" w:hAnsi="Times New Roman" w:cs="Times New Roman"/>
          <w:sz w:val="24"/>
          <w:lang w:val="en-GB"/>
        </w:rPr>
        <w:t xml:space="preserve"> 1998)</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we might say that the way technology intervenes in the “indexical” relations of cause and effect, thus trapping, suspending, redirecting, and translating actions and intentions, is essentially what makes art captivating.</w:t>
      </w:r>
      <w:r>
        <w:rPr>
          <w:rStyle w:val="Eindnootmarkering"/>
          <w:rFonts w:ascii="Times New Roman" w:hAnsi="Times New Roman" w:cs="Times New Roman"/>
          <w:sz w:val="24"/>
          <w:szCs w:val="24"/>
          <w:lang w:val="en-GB"/>
        </w:rPr>
        <w:endnoteReference w:id="3"/>
      </w:r>
      <w:r>
        <w:rPr>
          <w:rFonts w:ascii="Times New Roman" w:hAnsi="Times New Roman" w:cs="Times New Roman"/>
          <w:sz w:val="24"/>
          <w:szCs w:val="24"/>
          <w:lang w:val="en-GB"/>
        </w:rPr>
        <w:t xml:space="preserve"> Born, commenting on </w:t>
      </w:r>
      <w:proofErr w:type="spellStart"/>
      <w:r>
        <w:rPr>
          <w:rFonts w:ascii="Times New Roman" w:hAnsi="Times New Roman" w:cs="Times New Roman"/>
          <w:sz w:val="24"/>
          <w:szCs w:val="24"/>
          <w:lang w:val="en-GB"/>
        </w:rPr>
        <w:t>Gell</w:t>
      </w:r>
      <w:proofErr w:type="spellEnd"/>
      <w:r>
        <w:rPr>
          <w:rFonts w:ascii="Times New Roman" w:hAnsi="Times New Roman" w:cs="Times New Roman"/>
          <w:sz w:val="24"/>
          <w:szCs w:val="24"/>
          <w:lang w:val="en-GB"/>
        </w:rPr>
        <w:t xml:space="preserve">, writes that “the objects that result from creative agency condense or embody social relations, and […] they do so by spinning forms of connectedness across time and space.”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{"citationID":"tyKHwPNO","properties":{"formattedCitation":"(Born 2005)","plainCitation":"(Born 2005)","dontUpdate":true,"noteIndex":0},"citationItems":[{"id":301,"uris":["http://zotero.org/users/4953069/items/M4ZN8UHA"],"uri":["http://zotero.org/users/4953069/items/M4ZN8UHA"],"itemData":{"id":301,"type":"article-journal","title":"On Musical Mediation: Ontology, Technology and Creativity","container-title":"Twentieth-Century Music","page":"7–36","volume":"2","issue":"01","source":"Cambridge Journals Online","abstract":"This article develops a theoretical analysis of music and mediation, building on the work of Theodor Adorno, Tia DeNora and Antoine Hennion. It begins by suggesting that Lydia Goehr’s account of the work concept requires such a perspective. Drawing on Alfred Gell’s anthropology of art, the article outlines an approach to mediation that incorporates understandings of music’s social, technological and temporal dimensions. It suggests that music’s mediations have taken a number of historical forms, which cohere into assemblages, and that we should be alert to shifts in the dominant forms of musical assemblage. In the latter part of the article, these tools are used to conceptualize changing forms of musical creativity that emerged over the twentieth century. A comparison is made between the work concept and jazz and improvised electronic musics. Three contemporary digital music experiments are discussed in detail, demonstrating the concepts of the provisional work and of social, distributed and relayed creativity. Throughout, key motifs are mediation, creativity, and the negotiation of difference.","DOI":"10.1017/S147857220500023X","ISSN":"1478-5730","shortTitle":"On Musical Mediation","author":[{"family":"Born","given":"Georgina"}],"issued":{"date-parts":[["2005",3]]}}}],"schema":"https://github.com/citation-style-language/schema/raw/master/csl-citation.json"} </w:instrText>
      </w:r>
      <w:r>
        <w:rPr>
          <w:rFonts w:ascii="Times New Roman" w:hAnsi="Times New Roman" w:cs="Times New Roman"/>
          <w:sz w:val="24"/>
          <w:szCs w:val="24"/>
          <w:lang w:val="en-GB"/>
        </w:rPr>
        <w:fldChar w:fldCharType="separate"/>
      </w:r>
      <w:r w:rsidRPr="000716B0">
        <w:rPr>
          <w:rFonts w:ascii="Times New Roman" w:hAnsi="Times New Roman" w:cs="Times New Roman"/>
          <w:sz w:val="24"/>
          <w:lang w:val="en-GB"/>
        </w:rPr>
        <w:t>(Born 2005</w:t>
      </w:r>
      <w:r>
        <w:rPr>
          <w:rFonts w:ascii="Times New Roman" w:hAnsi="Times New Roman" w:cs="Times New Roman"/>
          <w:sz w:val="24"/>
          <w:lang w:val="en-GB"/>
        </w:rPr>
        <w:t>: 16</w:t>
      </w:r>
      <w:r w:rsidRPr="000716B0">
        <w:rPr>
          <w:rFonts w:ascii="Times New Roman" w:hAnsi="Times New Roman" w:cs="Times New Roman"/>
          <w:sz w:val="24"/>
          <w:lang w:val="en-GB"/>
        </w:rPr>
        <w:t>)</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Born uses </w:t>
      </w:r>
      <w:proofErr w:type="spellStart"/>
      <w:r>
        <w:rPr>
          <w:rFonts w:ascii="Times New Roman" w:hAnsi="Times New Roman" w:cs="Times New Roman"/>
          <w:sz w:val="24"/>
          <w:szCs w:val="24"/>
          <w:lang w:val="en-GB"/>
        </w:rPr>
        <w:t>Gell’s</w:t>
      </w:r>
      <w:proofErr w:type="spellEnd"/>
      <w:r>
        <w:rPr>
          <w:rFonts w:ascii="Times New Roman" w:hAnsi="Times New Roman" w:cs="Times New Roman"/>
          <w:sz w:val="24"/>
          <w:szCs w:val="24"/>
          <w:lang w:val="en-GB"/>
        </w:rPr>
        <w:t xml:space="preserve"> ideas to highlight the “lateral and processual” nature of jazz, where a recording of one performance might influence the style of someone else’s performance, the recording of which in turn influences others, meaning there is “no split between ideal musical object and mere instantiation, no hierarchy between composer and Creator and performer as interpreter of the Word.” (27) However, the real force of </w:t>
      </w:r>
      <w:proofErr w:type="spellStart"/>
      <w:r>
        <w:rPr>
          <w:rFonts w:ascii="Times New Roman" w:hAnsi="Times New Roman" w:cs="Times New Roman"/>
          <w:sz w:val="24"/>
          <w:szCs w:val="24"/>
          <w:lang w:val="en-GB"/>
        </w:rPr>
        <w:t>Gell’s</w:t>
      </w:r>
      <w:proofErr w:type="spellEnd"/>
      <w:r>
        <w:rPr>
          <w:rFonts w:ascii="Times New Roman" w:hAnsi="Times New Roman" w:cs="Times New Roman"/>
          <w:sz w:val="24"/>
          <w:szCs w:val="24"/>
          <w:lang w:val="en-GB"/>
        </w:rPr>
        <w:t xml:space="preserve"> approach is that it draws attention to how such arrangements may change, and what such changes reveal about the composition of social and musical </w:t>
      </w:r>
      <w:r>
        <w:rPr>
          <w:rFonts w:ascii="Times New Roman" w:hAnsi="Times New Roman" w:cs="Times New Roman"/>
          <w:sz w:val="24"/>
          <w:szCs w:val="24"/>
          <w:lang w:val="en-GB"/>
        </w:rPr>
        <w:lastRenderedPageBreak/>
        <w:t>relationships—and fundamentally, conceptions of agency—in a particular musical culture. As Born writes,</w:t>
      </w:r>
      <w:r w:rsidRPr="0054136C">
        <w:rPr>
          <w:rFonts w:ascii="Times New Roman" w:hAnsi="Times New Roman" w:cs="Times New Roman"/>
          <w:sz w:val="24"/>
          <w:szCs w:val="24"/>
          <w:lang w:val="en-GB"/>
        </w:rPr>
        <w:t xml:space="preserve"> “to draw out the full theoretical interest of [</w:t>
      </w:r>
      <w:proofErr w:type="spellStart"/>
      <w:r w:rsidRPr="0054136C">
        <w:rPr>
          <w:rFonts w:ascii="Times New Roman" w:hAnsi="Times New Roman" w:cs="Times New Roman"/>
          <w:sz w:val="24"/>
          <w:szCs w:val="24"/>
          <w:lang w:val="en-GB"/>
        </w:rPr>
        <w:t>Gell’s</w:t>
      </w:r>
      <w:proofErr w:type="spellEnd"/>
      <w:r w:rsidRPr="0054136C">
        <w:rPr>
          <w:rFonts w:ascii="Times New Roman" w:hAnsi="Times New Roman" w:cs="Times New Roman"/>
          <w:sz w:val="24"/>
          <w:szCs w:val="24"/>
          <w:lang w:val="en-GB"/>
        </w:rPr>
        <w:t xml:space="preserve">] insight, it is imperative to see how this process [of indexical mediation] varies, how it can be systematized or negated”. </w:t>
      </w:r>
      <w:r w:rsidRPr="0054136C">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{"citationID":"NcbdwDjc","properties":{"formattedCitation":"(Born 2005)","plainCitation":"(Born 2005)","dontUpdate":true,"noteIndex":0},"citationItems":[{"id":301,"uris":["http://zotero.org/users/4953069/items/M4ZN8UHA"],"uri":["http://zotero.org/users/4953069/items/M4ZN8UHA"],"itemData":{"id":301,"type":"article-journal","title":"On Musical Mediation: Ontology, Technology and Creativity","container-title":"Twentieth-Century Music","page":"7–36","volume":"2","issue":"01","source":"Cambridge Journals Online","abstract":"This article develops a theoretical analysis of music and mediation, building on the work of Theodor Adorno, Tia DeNora and Antoine Hennion. It begins by suggesting that Lydia Goehr’s account of the work concept requires such a perspective. Drawing on Alfred Gell’s anthropology of art, the article outlines an approach to mediation that incorporates understandings of music’s social, technological and temporal dimensions. It suggests that music’s mediations have taken a number of historical forms, which cohere into assemblages, and that we should be alert to shifts in the dominant forms of musical assemblage. In the latter part of the article, these tools are used to conceptualize changing forms of musical creativity that emerged over the twentieth century. A comparison is made between the work concept and jazz and improvised electronic musics. Three contemporary digital music experiments are discussed in detail, demonstrating the concepts of the provisional work and of social, distributed and relayed creativity. Throughout, key motifs are mediation, creativity, and the negotiation of difference.","DOI":"10.1017/S147857220500023X","ISSN":"1478-5730","shortTitle":"On Musical Mediation","author":[{"family":"Born","given":"Georgina"}],"issued":{"date-parts":[["2005",3]]}}}],"schema":"https://github.com/citation-style-language/schema/raw/master/csl-citation.json"} </w:instrText>
      </w:r>
      <w:r w:rsidRPr="0054136C">
        <w:rPr>
          <w:rFonts w:ascii="Times New Roman" w:hAnsi="Times New Roman" w:cs="Times New Roman"/>
          <w:sz w:val="24"/>
          <w:szCs w:val="24"/>
          <w:lang w:val="en-GB"/>
        </w:rPr>
        <w:fldChar w:fldCharType="separate"/>
      </w:r>
      <w:r w:rsidRPr="0054136C">
        <w:rPr>
          <w:rFonts w:ascii="Times New Roman" w:hAnsi="Times New Roman" w:cs="Times New Roman"/>
          <w:sz w:val="24"/>
          <w:szCs w:val="24"/>
          <w:lang w:val="en-GB"/>
        </w:rPr>
        <w:t>(Born 2005: 25)</w:t>
      </w:r>
      <w:r w:rsidRPr="0054136C">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Such an approach could also avoid the technological determinism inherent in </w:t>
      </w:r>
      <w:proofErr w:type="spellStart"/>
      <w:r>
        <w:rPr>
          <w:rFonts w:ascii="Times New Roman" w:hAnsi="Times New Roman" w:cs="Times New Roman"/>
          <w:sz w:val="24"/>
          <w:szCs w:val="24"/>
          <w:lang w:val="en-GB"/>
        </w:rPr>
        <w:t>Rasula’s</w:t>
      </w:r>
      <w:proofErr w:type="spellEnd"/>
      <w:r>
        <w:rPr>
          <w:rFonts w:ascii="Times New Roman" w:hAnsi="Times New Roman" w:cs="Times New Roman"/>
          <w:sz w:val="24"/>
          <w:szCs w:val="24"/>
          <w:lang w:val="en-GB"/>
        </w:rPr>
        <w:t xml:space="preserve"> argument; he does not take into account the diversity of recording and playback technologies, nor the particular contexts in which they are used, what Jonathan Sterne calls the “fields of combined cultural, social, and physical activity—what other authors have called </w:t>
      </w:r>
      <w:r>
        <w:rPr>
          <w:rFonts w:ascii="Times New Roman" w:hAnsi="Times New Roman" w:cs="Times New Roman"/>
          <w:i/>
          <w:sz w:val="24"/>
          <w:szCs w:val="24"/>
          <w:lang w:val="en-GB"/>
        </w:rPr>
        <w:t xml:space="preserve">networks </w:t>
      </w:r>
      <w:r>
        <w:rPr>
          <w:rFonts w:ascii="Times New Roman" w:hAnsi="Times New Roman" w:cs="Times New Roman"/>
          <w:sz w:val="24"/>
          <w:szCs w:val="24"/>
          <w:lang w:val="en-GB"/>
        </w:rPr>
        <w:t xml:space="preserve">or </w:t>
      </w:r>
      <w:r>
        <w:rPr>
          <w:rFonts w:ascii="Times New Roman" w:hAnsi="Times New Roman" w:cs="Times New Roman"/>
          <w:i/>
          <w:sz w:val="24"/>
          <w:szCs w:val="24"/>
          <w:lang w:val="en-GB"/>
        </w:rPr>
        <w:t>assemblages</w:t>
      </w:r>
      <w:r>
        <w:rPr>
          <w:rFonts w:ascii="Times New Roman" w:hAnsi="Times New Roman" w:cs="Times New Roman"/>
          <w:sz w:val="24"/>
          <w:szCs w:val="24"/>
          <w:lang w:val="en-GB"/>
        </w:rPr>
        <w:t xml:space="preserve">—from which technologies emerge and of which they are part.”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{"citationID":"n71CYpS7","properties":{"formattedCitation":"(Sterne 2003; Solis 2004; Tackley 2010)","plainCitation":"(Sterne 2003; Solis 2004; Tackley 2010)","dontUpdate":true,"noteIndex":0},"citationItems":[{"id":329,"uris":["http://zotero.org/users/4953069/items/64G455WP"],"uri":["http://zotero.org/users/4953069/items/64G455WP"],"itemData":{"id":329,"type":"book","title":"The Audible Past: Cultural Origins of Sound Reproduction","publisher":"Duke University Press","publisher-place":"Durham","number-of-pages":"476","source":"Google Books","event-place":"Durham","abstract":"The Audible Past explores the cultural origins of sound reproduction. It describes a distinctive sound culture that gave birth to the sound recording and the transmission devices so ubiquitous in modern life. With an ear for the unexpected, scholar and musician Jonathan Sterne uses the technological and cultural precursors of telephony, phonography, and radio as an entry point into a history of sound in its own right. Sterne studies the constantly shifting boundary between phenomena organized as \"sound\" and \"not sound.\" In The Audible Past, this history crisscrosses the liminal regions between bodies and machines, originals and copies, nature and culture, and life and death. Blending cultural studies and the history of communication technology, Sterne follows modern sound technologies back through a historical labyrinth. Along the way, he encounters capitalists and inventors, musicians and philosophers, embalmers and grave robbers, doctors and patients, deaf children and their teachers, professionals and hobbyists, folklorists and tribal singers. The Audible Past tracks the connections between the history of sound and the defining features of modernity: from developments in medicine, physics, and philosophy to the tumultuous shifts of industrial capitalism, colonialism, urbanization, modern technology, and the rise of a new middle class.A provocative history of sound, The Audible Past challenges theoretical commonplaces such as the philosophical privilege of the speaking subject, the visual bias in theories of modernity, and static descriptions of nature. It will interest those in cultural studies, media and communication studies, the new musicology, and the history of technology.","ISBN":"978-0-8223-3013-4","note":"Google-Books-ID: xeh0Fhe9Y9wC","shortTitle":"The Audible Past","language":"en","author":[{"family":"Sterne","given":"Jonathan"}],"issued":{"date-parts":[["2003"]]}}},{"id":116,"uris":["http://zotero.org/users/4953069/items/4BDWIJRM"],"uri":["http://zotero.org/users/4953069/items/4BDWIJRM"],"itemData":{"id":116,"type":"article-journal","title":"\"A Unique Chunk of Jazz Reality\": Authorship, Musical Work Concepts, and Thelonious Monk's Live Recordings from the Five Spot, 1958","container-title":"Ethnomusicology","page":"315-347","volume":"48","issue":"3","source":"JSTOR","ISSN":"0014-1836","shortTitle":"A Unique Chunk of Jazz Reality","author":[{"family":"Solis","given":"Gabriel"}],"issued":{"date-parts":[["2004"]]}}},{"id":114,"uris":["http://zotero.org/users/4953069/items/948NZ5A3"],"uri":["http://zotero.org/users/4953069/items/948NZ5A3"],"itemData":{"id":114,"type":"chapter","title":"Jazz recordings as social texts","container-title":"Recorded Music: Performance, Culture and Technology","publisher":"Cambridge University Press","publisher-place":"Cambridge","page":"167-186","source":"Google Books","event-place":"Cambridge","abstract":"Research in the area of recorded music is becoming increasingly diverse. Contributions from a variety of fields, including music performance, composition and production, cultural studies and philosophy, are drawn together here, for the contrasting perspectives they bring to a range of music genres. Discourses in jazz, ethnomusicology and popular music - whose histories and practices have evolved principally from recordings - are presented alongside those of Western classical music, where analysis of recordings is a relatively recent development. Different methodologies have evolved in each of these subdisciplines where recordings have been contextualised variously as tools, texts, or processes, reflective of social practices. This book promotes the sharing of such differences of approach. Attitudes of performers are considered alongside developments in technology, changing listening practices, and social contexts, to explore the ways in which recordings influence the study of music performance and the nature of musical experience.","ISBN":"978-0-521-86309-4","note":"Google-Books-ID: 7kRgHQAACAAJ","language":"en","editor":[{"family":"Bayley","given":"Amanda"}],"author":[{"family":"Tackley","given":"Catherine"}],"issued":{"date-parts":[["2010",1,21]]}}}],"schema":"https://github.com/citation-style-language/schema/raw/master/csl-citation.json"} </w:instrText>
      </w:r>
      <w:r>
        <w:rPr>
          <w:rFonts w:ascii="Times New Roman" w:hAnsi="Times New Roman" w:cs="Times New Roman"/>
          <w:sz w:val="24"/>
          <w:szCs w:val="24"/>
          <w:lang w:val="en-GB"/>
        </w:rPr>
        <w:fldChar w:fldCharType="separate"/>
      </w:r>
      <w:r w:rsidR="009B4924" w:rsidRPr="009B4924">
        <w:rPr>
          <w:rFonts w:ascii="Times New Roman" w:hAnsi="Times New Roman" w:cs="Times New Roman"/>
          <w:sz w:val="24"/>
          <w:lang w:val="en-GB"/>
        </w:rPr>
        <w:t>(Sterne 2003</w:t>
      </w:r>
      <w:r w:rsidR="009B4924">
        <w:rPr>
          <w:rFonts w:ascii="Times New Roman" w:hAnsi="Times New Roman" w:cs="Times New Roman"/>
          <w:sz w:val="24"/>
          <w:lang w:val="en-GB"/>
        </w:rPr>
        <w:t>, 8</w:t>
      </w:r>
      <w:r w:rsidR="009B4924" w:rsidRPr="009B4924">
        <w:rPr>
          <w:rFonts w:ascii="Times New Roman" w:hAnsi="Times New Roman" w:cs="Times New Roman"/>
          <w:sz w:val="24"/>
          <w:lang w:val="en-GB"/>
        </w:rPr>
        <w:t xml:space="preserve">; </w:t>
      </w:r>
      <w:r w:rsidR="009B4924">
        <w:rPr>
          <w:rFonts w:ascii="Times New Roman" w:hAnsi="Times New Roman" w:cs="Times New Roman"/>
          <w:sz w:val="24"/>
          <w:lang w:val="en-GB"/>
        </w:rPr>
        <w:t xml:space="preserve">see also </w:t>
      </w:r>
      <w:r w:rsidR="009B4924" w:rsidRPr="009B4924">
        <w:rPr>
          <w:rFonts w:ascii="Times New Roman" w:hAnsi="Times New Roman" w:cs="Times New Roman"/>
          <w:sz w:val="24"/>
          <w:lang w:val="en-GB"/>
        </w:rPr>
        <w:t>Solis 2004; Tackley 2010</w:t>
      </w:r>
      <w:r w:rsidR="009B4924">
        <w:rPr>
          <w:rFonts w:ascii="Times New Roman" w:hAnsi="Times New Roman" w:cs="Times New Roman"/>
          <w:sz w:val="24"/>
          <w:lang w:val="en-GB"/>
        </w:rPr>
        <w:t xml:space="preserve"> for similar responses to Rasula</w:t>
      </w:r>
      <w:r w:rsidR="009B4924" w:rsidRPr="009B4924">
        <w:rPr>
          <w:rFonts w:ascii="Times New Roman" w:hAnsi="Times New Roman" w:cs="Times New Roman"/>
          <w:sz w:val="24"/>
          <w:lang w:val="en-GB"/>
        </w:rPr>
        <w:t>)</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It is through their entanglement in such networks that the essences and boundaries of objects are determined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{"citationID":"jURSQwLP","properties":{"formattedCitation":"(Miller 1987; Haraway 1988; Henare, Holbraad, and Wastell 2007)","plainCitation":"(Miller 1987; Haraway 1988; Henare, Holbraad, and Wastell 2007)","noteIndex":0},"citationItems":[{"id":366,"uris":["http://zotero.org/users/4953069/items/CX8SFMDI"],"uri":["http://zotero.org/users/4953069/items/CX8SFMDI"],"itemData":{"id":366,"type":"book","title":"Material Culture and Mass Consumption","publisher":"Basil Blackwell","publisher-place":"Oxford","event-place":"Oxford","author":[{"family":"Miller","given":"Daniel"}],"issued":{"date-parts":[["1987"]]}}},{"id":379,"uris":["http://zotero.org/users/4953069/items/ZZV5PHK7"],"uri":["http://zotero.org/users/4953069/items/ZZV5PHK7"],"itemData":{"id":379,"type":"article-journal","title":"Situated Knowledges: The Science Question in Feminism and the Privilege of Partial Perspective","container-title":"Feminist Studies","page":"575-599","volume":"14","issue":"3","author":[{"family":"Haraway","given":"Donna"}],"issued":{"date-parts":[["1988"]]}}},{"id":163,"uris":["http://zotero.org/users/4953069/items/Z2QPKJZM"],"uri":["http://zotero.org/users/4953069/items/Z2QPKJZM"],"itemData":{"id":163,"type":"book","title":"Thinking Through Things: Theorising Artefacts Ethnographically","publisher":"Routledge","publisher-place":"London","number-of-pages":"248","source":"Google Books","event-place":"London","abstract":"Drawing upon the work of some of the most influential theorists in the field, Thinking Through Things demonstrates the quiet revolution growing in anthropology and its related disciplines, shifting its philosophical foundations. The first text to offer a direct and provocative challenge to disciplinary fragmentation - arguing for the futility of segregating the study of artefacts and society - this collection expands on the concerns about the place of objects and materiality in analytical strategies, and the obligation of ethnographers to question their assumptions and approaches.  The team of leading contributors put forward a positive programme for future research in this highly original and invaluable guide to recent developments in mainstream anthropological theory.","ISBN":"978-1-135-39272-7","note":"Google-Books-ID: xlKPAgAAQBAJ","shortTitle":"Thinking Through Things","language":"en","editor":[{"family":"Henare","given":"Amiria"},{"family":"Holbraad","given":"Martin"},{"family":"Wastell","given":"Sari"}],"issued":{"date-parts":[["2007",1,24]]}}}],"schema":"https://github.com/citation-style-language/schema/raw/master/csl-citation.json"} </w:instrText>
      </w:r>
      <w:r>
        <w:rPr>
          <w:rFonts w:ascii="Times New Roman" w:hAnsi="Times New Roman" w:cs="Times New Roman"/>
          <w:sz w:val="24"/>
          <w:szCs w:val="24"/>
          <w:lang w:val="en-GB"/>
        </w:rPr>
        <w:fldChar w:fldCharType="separate"/>
      </w:r>
      <w:r w:rsidRPr="008C3EA5">
        <w:rPr>
          <w:rFonts w:ascii="Times New Roman" w:hAnsi="Times New Roman" w:cs="Times New Roman"/>
          <w:sz w:val="24"/>
          <w:lang w:val="en-GB"/>
        </w:rPr>
        <w:t>(Miller 1987; Haraway 1988; Henare, Holbraad, and Wastell 2007)</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w:t>
      </w:r>
    </w:p>
    <w:p w14:paraId="49E49BE8" w14:textId="33533A45" w:rsidR="00996481" w:rsidRDefault="00996481" w:rsidP="00C57577">
      <w:pPr>
        <w:spacing w:after="0" w:line="36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 xml:space="preserve">By way of illustration, consider the album </w:t>
      </w:r>
      <w:r>
        <w:rPr>
          <w:rFonts w:ascii="Times New Roman" w:hAnsi="Times New Roman" w:cs="Times New Roman"/>
          <w:i/>
          <w:sz w:val="24"/>
          <w:szCs w:val="24"/>
          <w:lang w:val="en-GB"/>
        </w:rPr>
        <w:t>Blue</w:t>
      </w:r>
      <w:r>
        <w:rPr>
          <w:rFonts w:ascii="Times New Roman" w:hAnsi="Times New Roman" w:cs="Times New Roman"/>
          <w:sz w:val="24"/>
          <w:szCs w:val="24"/>
          <w:lang w:val="en-GB"/>
        </w:rPr>
        <w:t xml:space="preserve"> by New York-based quartet Mostly Other People Do The Killing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{"citationID":"Bi13ltqo","properties":{"formattedCitation":"(Mostly Other People Do The Killing 2014)","plainCitation":"(Mostly Other People Do The Killing 2014)","dontUpdate":true,"noteIndex":0},"citationItems":[{"id":322,"uris":["http://zotero.org/users/4953069/items/XIN79CNV"],"uri":["http://zotero.org/users/4953069/items/XIN79CNV"],"itemData":{"id":322,"type":"song","title":"Blue","publisher":"Hot Cup Records","author":[{"family":"Mostly Other People Do The Killing","given":""}],"issued":{"date-parts":[["2014"]]}}}],"schema":"https://github.com/citation-style-language/schema/raw/master/csl-citation.json"} </w:instrText>
      </w:r>
      <w:r>
        <w:rPr>
          <w:rFonts w:ascii="Times New Roman" w:hAnsi="Times New Roman" w:cs="Times New Roman"/>
          <w:sz w:val="24"/>
          <w:szCs w:val="24"/>
          <w:lang w:val="en-GB"/>
        </w:rPr>
        <w:fldChar w:fldCharType="separate"/>
      </w:r>
      <w:r>
        <w:rPr>
          <w:rFonts w:ascii="Times New Roman" w:hAnsi="Times New Roman" w:cs="Times New Roman"/>
          <w:sz w:val="24"/>
          <w:lang w:val="en-GB"/>
        </w:rPr>
        <w:t>(</w:t>
      </w:r>
      <w:r w:rsidRPr="000716B0">
        <w:rPr>
          <w:rFonts w:ascii="Times New Roman" w:hAnsi="Times New Roman" w:cs="Times New Roman"/>
          <w:sz w:val="24"/>
          <w:lang w:val="en-GB"/>
        </w:rPr>
        <w:t>2014)</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w:t>
      </w:r>
      <w:r>
        <w:rPr>
          <w:rFonts w:ascii="Times New Roman" w:hAnsi="Times New Roman" w:cs="Times New Roman"/>
          <w:i/>
          <w:sz w:val="24"/>
          <w:szCs w:val="24"/>
          <w:lang w:val="en-GB"/>
        </w:rPr>
        <w:t>Blue</w:t>
      </w:r>
      <w:r>
        <w:rPr>
          <w:rFonts w:ascii="Times New Roman" w:hAnsi="Times New Roman" w:cs="Times New Roman"/>
          <w:sz w:val="24"/>
          <w:szCs w:val="24"/>
          <w:lang w:val="en-GB"/>
        </w:rPr>
        <w:t xml:space="preserve"> is an exact, note-for-note replication of Miles Davis’ </w:t>
      </w:r>
      <w:r>
        <w:rPr>
          <w:rFonts w:ascii="Times New Roman" w:hAnsi="Times New Roman" w:cs="Times New Roman"/>
          <w:i/>
          <w:sz w:val="24"/>
          <w:szCs w:val="24"/>
          <w:lang w:val="en-GB"/>
        </w:rPr>
        <w:t xml:space="preserve">Kind of Blue </w:t>
      </w:r>
      <w:r>
        <w:rPr>
          <w:rFonts w:ascii="Times New Roman" w:hAnsi="Times New Roman" w:cs="Times New Roman"/>
          <w:i/>
          <w:sz w:val="24"/>
          <w:szCs w:val="24"/>
          <w:lang w:val="en-GB"/>
        </w:rPr>
        <w:fldChar w:fldCharType="begin"/>
      </w:r>
      <w:r w:rsidR="00E9600C">
        <w:rPr>
          <w:rFonts w:ascii="Times New Roman" w:hAnsi="Times New Roman" w:cs="Times New Roman"/>
          <w:i/>
          <w:sz w:val="24"/>
          <w:szCs w:val="24"/>
          <w:lang w:val="en-GB"/>
        </w:rPr>
        <w:instrText xml:space="preserve"> ADDIN ZOTERO_ITEM CSL_CITATION {"citationID":"ENEVUz8c","properties":{"formattedCitation":"(Davis 1959)","plainCitation":"(Davis 1959)","dontUpdate":true,"noteIndex":0},"citationItems":[{"id":788,"uris":["http://zotero.org/users/4953069/items/VMPWXCAS"],"uri":["http://zotero.org/users/4953069/items/VMPWXCAS"],"itemData":{"id":788,"type":"song","title":"Kind of Blue","publisher":"Columbia Records","medium":"LP","author":[{"family":"Davis","given":"Miles"}],"issued":{"date-parts":[["1959"]]}}}],"schema":"https://github.com/citation-style-language/schema/raw/master/csl-citation.json"} </w:instrText>
      </w:r>
      <w:r>
        <w:rPr>
          <w:rFonts w:ascii="Times New Roman" w:hAnsi="Times New Roman" w:cs="Times New Roman"/>
          <w:i/>
          <w:sz w:val="24"/>
          <w:szCs w:val="24"/>
          <w:lang w:val="en-GB"/>
        </w:rPr>
        <w:fldChar w:fldCharType="separate"/>
      </w:r>
      <w:r>
        <w:rPr>
          <w:rFonts w:ascii="Times New Roman" w:hAnsi="Times New Roman" w:cs="Times New Roman"/>
          <w:sz w:val="24"/>
          <w:lang w:val="en-GB"/>
        </w:rPr>
        <w:t>(</w:t>
      </w:r>
      <w:r w:rsidRPr="000716B0">
        <w:rPr>
          <w:rFonts w:ascii="Times New Roman" w:hAnsi="Times New Roman" w:cs="Times New Roman"/>
          <w:sz w:val="24"/>
          <w:lang w:val="en-GB"/>
        </w:rPr>
        <w:t>1959)</w:t>
      </w:r>
      <w:r>
        <w:rPr>
          <w:rFonts w:ascii="Times New Roman" w:hAnsi="Times New Roman" w:cs="Times New Roman"/>
          <w:i/>
          <w:sz w:val="24"/>
          <w:szCs w:val="24"/>
          <w:lang w:val="en-GB"/>
        </w:rPr>
        <w:fldChar w:fldCharType="end"/>
      </w:r>
      <w:r>
        <w:rPr>
          <w:rFonts w:ascii="Times New Roman" w:hAnsi="Times New Roman" w:cs="Times New Roman"/>
          <w:sz w:val="24"/>
          <w:szCs w:val="24"/>
          <w:lang w:val="en-GB"/>
        </w:rPr>
        <w:t xml:space="preserve">, to the extent that the difference is only really audible in small details of timing and timbre when one listens very closely. The album intentionally plays with the kinds of indexical relations described by </w:t>
      </w:r>
      <w:proofErr w:type="spellStart"/>
      <w:r>
        <w:rPr>
          <w:rFonts w:ascii="Times New Roman" w:hAnsi="Times New Roman" w:cs="Times New Roman"/>
          <w:sz w:val="24"/>
          <w:szCs w:val="24"/>
          <w:lang w:val="en-GB"/>
        </w:rPr>
        <w:t>Gell</w:t>
      </w:r>
      <w:proofErr w:type="spellEnd"/>
      <w:r>
        <w:rPr>
          <w:rFonts w:ascii="Times New Roman" w:hAnsi="Times New Roman" w:cs="Times New Roman"/>
          <w:sz w:val="24"/>
          <w:szCs w:val="24"/>
          <w:lang w:val="en-GB"/>
        </w:rPr>
        <w:t xml:space="preserve">. </w:t>
      </w:r>
      <w:r>
        <w:rPr>
          <w:rFonts w:ascii="Times New Roman" w:hAnsi="Times New Roman" w:cs="Times New Roman"/>
          <w:i/>
          <w:sz w:val="24"/>
          <w:szCs w:val="24"/>
          <w:lang w:val="en-GB"/>
        </w:rPr>
        <w:t>Kind of Blue</w:t>
      </w:r>
      <w:r>
        <w:rPr>
          <w:rFonts w:ascii="Times New Roman" w:hAnsi="Times New Roman" w:cs="Times New Roman"/>
          <w:sz w:val="24"/>
          <w:szCs w:val="24"/>
          <w:lang w:val="en-GB"/>
        </w:rPr>
        <w:t xml:space="preserve"> owes much of its attraction to the way it appears to “capture” a pure moment of musical interaction, seemingly belying </w:t>
      </w:r>
      <w:proofErr w:type="spellStart"/>
      <w:r>
        <w:rPr>
          <w:rFonts w:ascii="Times New Roman" w:hAnsi="Times New Roman" w:cs="Times New Roman"/>
          <w:sz w:val="24"/>
          <w:szCs w:val="24"/>
          <w:lang w:val="en-GB"/>
        </w:rPr>
        <w:t>Rasula’s</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schizophonic</w:t>
      </w:r>
      <w:proofErr w:type="spellEnd"/>
      <w:r>
        <w:rPr>
          <w:rFonts w:ascii="Times New Roman" w:hAnsi="Times New Roman" w:cs="Times New Roman"/>
          <w:sz w:val="24"/>
          <w:szCs w:val="24"/>
          <w:lang w:val="en-GB"/>
        </w:rPr>
        <w:t xml:space="preserve"> angst. Of course, this informal and immediate effect is, paradoxically, achieved precisely because of the technological know-how of producer </w:t>
      </w:r>
      <w:proofErr w:type="spellStart"/>
      <w:r>
        <w:rPr>
          <w:rFonts w:ascii="Times New Roman" w:hAnsi="Times New Roman" w:cs="Times New Roman"/>
          <w:sz w:val="24"/>
          <w:szCs w:val="24"/>
          <w:lang w:val="en-GB"/>
        </w:rPr>
        <w:t>Teo</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Macero</w:t>
      </w:r>
      <w:proofErr w:type="spellEnd"/>
      <w:r>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{"citationID":"xJHRBx0T","properties":{"formattedCitation":"(Kahn 2000)","plainCitation":"(Kahn 2000)","noteIndex":0},"citationItems":[{"id":324,"uris":["http://zotero.org/users/4953069/items/KZEGPVKN"],"uri":["http://zotero.org/users/4953069/items/KZEGPVKN"],"itemData":{"id":324,"type":"book","title":"Kind of Blue: The Making of the Miles Davis Masterpiece","publisher":"Da Capo Press","publisher-place":"New York","number-of-pages":"228","source":"Google Books","event-place":"New York","abstract":"This critically and commercially acclaimed tribute to the most popular jazz album of all time is now available in paperback. With transcriptions of the unedited session tapes; in-depth interviews with musicians; freshly discovered Columbia Records files; never-before-seen photographs; and a foreword by the last surviving member of the band, drummer Jimmy Cobb, Kind of Blue is a vital piece of music history—and will be essential for fans and scholars for years to come.","ISBN":"978-0-306-81067-1","note":"Google-Books-ID: 6QArFwi9buUC","language":"en","author":[{"family":"Kahn","given":"Ashley"}],"issued":{"date-parts":[["2000"]]}}}],"schema":"https://github.com/citation-style-language/schema/raw/master/csl-citation.json"} </w:instrText>
      </w:r>
      <w:r>
        <w:rPr>
          <w:rFonts w:ascii="Times New Roman" w:hAnsi="Times New Roman" w:cs="Times New Roman"/>
          <w:sz w:val="24"/>
          <w:szCs w:val="24"/>
          <w:lang w:val="en-GB"/>
        </w:rPr>
        <w:fldChar w:fldCharType="separate"/>
      </w:r>
      <w:r w:rsidRPr="000716B0">
        <w:rPr>
          <w:rFonts w:ascii="Times New Roman" w:hAnsi="Times New Roman" w:cs="Times New Roman"/>
          <w:sz w:val="24"/>
          <w:lang w:val="en-GB"/>
        </w:rPr>
        <w:t>(Kahn 2000)</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a knowledge partly developed by Rudy Van </w:t>
      </w:r>
      <w:proofErr w:type="spellStart"/>
      <w:r>
        <w:rPr>
          <w:rFonts w:ascii="Times New Roman" w:hAnsi="Times New Roman" w:cs="Times New Roman"/>
          <w:sz w:val="24"/>
          <w:szCs w:val="24"/>
          <w:lang w:val="en-GB"/>
        </w:rPr>
        <w:t>Gelder</w:t>
      </w:r>
      <w:proofErr w:type="spellEnd"/>
      <w:r>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{"citationID":"7dkVcbtx","properties":{"formattedCitation":"(Skea 2001)","plainCitation":"(Skea 2001)","noteIndex":0},"citationItems":[{"id":325,"uris":["http://zotero.org/users/4953069/items/3HBDZUZR"],"uri":["http://zotero.org/users/4953069/items/3HBDZUZR"],"itemData":{"id":325,"type":"article-journal","title":"Rudy van Gelder in Hackensack: Defining the Jazz Sound in the 1950s","container-title":"Current Musicology","page":"54-76","volume":"71-73","author":[{"family":"Skea","given":"Dan"}],"issued":{"date-parts":[["2001"]]}}}],"schema":"https://github.com/citation-style-language/schema/raw/master/csl-citation.json"} </w:instrText>
      </w:r>
      <w:r>
        <w:rPr>
          <w:rFonts w:ascii="Times New Roman" w:hAnsi="Times New Roman" w:cs="Times New Roman"/>
          <w:sz w:val="24"/>
          <w:szCs w:val="24"/>
          <w:lang w:val="en-GB"/>
        </w:rPr>
        <w:fldChar w:fldCharType="separate"/>
      </w:r>
      <w:r w:rsidRPr="000716B0">
        <w:rPr>
          <w:rFonts w:ascii="Times New Roman" w:hAnsi="Times New Roman" w:cs="Times New Roman"/>
          <w:sz w:val="24"/>
          <w:lang w:val="en-GB"/>
        </w:rPr>
        <w:t>(Skea 2001)</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who experimented with principles of sound engineering in recording the more extensive and unpredictable improvisations that musicians were increasingly recording thanks to the possibilities of the LP record. </w:t>
      </w:r>
      <w:r>
        <w:rPr>
          <w:rFonts w:ascii="Times New Roman" w:hAnsi="Times New Roman" w:cs="Times New Roman"/>
          <w:i/>
          <w:sz w:val="24"/>
          <w:szCs w:val="24"/>
          <w:lang w:val="en-GB"/>
        </w:rPr>
        <w:t>Blue</w:t>
      </w:r>
      <w:r>
        <w:rPr>
          <w:rFonts w:ascii="Times New Roman" w:hAnsi="Times New Roman" w:cs="Times New Roman"/>
          <w:sz w:val="24"/>
          <w:szCs w:val="24"/>
          <w:lang w:val="en-GB"/>
        </w:rPr>
        <w:t xml:space="preserve"> indexes not only </w:t>
      </w:r>
      <w:r>
        <w:rPr>
          <w:rFonts w:ascii="Times New Roman" w:hAnsi="Times New Roman" w:cs="Times New Roman"/>
          <w:i/>
          <w:sz w:val="24"/>
          <w:szCs w:val="24"/>
          <w:lang w:val="en-GB"/>
        </w:rPr>
        <w:t>Kind of Blue</w:t>
      </w:r>
      <w:r>
        <w:rPr>
          <w:rFonts w:ascii="Times New Roman" w:hAnsi="Times New Roman" w:cs="Times New Roman"/>
          <w:sz w:val="24"/>
          <w:szCs w:val="24"/>
          <w:lang w:val="en-GB"/>
        </w:rPr>
        <w:t xml:space="preserve"> and its iconic status, and the meticulous transcription and rehearsal of the musicians as well as the overdubbing techniques of the producers, but also broader cultural constructs such as the classicizing tendencies in contemporary jazz culture (including the demand to play transcriptions on one’s conservatory recital, which is how the group came up with the idea). Paradoxically it simultaneously indexes the currency of poststructuralist ideas in jazz culture that emerged with the intellectualization of the jazz climate—the liner notes feature Jorge Luis Borges’ short story about the fictional author Pierre Menard who replicated Cervantes’ </w:t>
      </w:r>
      <w:r>
        <w:rPr>
          <w:rFonts w:ascii="Times New Roman" w:hAnsi="Times New Roman" w:cs="Times New Roman"/>
          <w:i/>
          <w:sz w:val="24"/>
          <w:szCs w:val="24"/>
          <w:lang w:val="en-GB"/>
        </w:rPr>
        <w:t>Don Quixote</w:t>
      </w:r>
      <w:r>
        <w:rPr>
          <w:rFonts w:ascii="Times New Roman" w:hAnsi="Times New Roman" w:cs="Times New Roman"/>
          <w:sz w:val="24"/>
          <w:szCs w:val="24"/>
          <w:lang w:val="en-GB"/>
        </w:rPr>
        <w:t xml:space="preserve"> word-for-word thus creating an entirely different novel.</w:t>
      </w:r>
    </w:p>
    <w:p w14:paraId="47A2A271" w14:textId="6A8094DB" w:rsidR="00996481" w:rsidRDefault="00996481" w:rsidP="00DA6816">
      <w:pPr>
        <w:spacing w:after="0" w:line="36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 xml:space="preserve">Obviously, the album created some controversy; the Estate of Miles Davis issued a statement from Vince Wilburn Jr., Davis’ nephew, that it did not support the project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{"citationID":"mgGCHCjk","properties":{"formattedCitation":"(Miles Davis Estate 2014)","plainCitation":"(Miles Davis Estate 2014)","noteIndex":0},"citationItems":[{"id":154,"uris":["http://zotero.org/users/4953069/items/3UE3W775"],"uri":["http://zotero.org/users/4953069/items/3UE3W775"],"itemData":{"id":154,"type":"webpage","title":"Miles Davis Estate Official Statement | Miles Davis","container-title":"Miles Davis","URL":"http://www.milesdavis.com/news/miles-davis-estate-official-statement/","author":[{"family":"Miles Davis Estate","given":""}],"issued":{"date-parts":[["2014",10,16]]},"accessed":{"date-parts":[["2017",2,4]]}}}],"schema":"https://github.com/citation-style-language/schema/raw/master/csl-citation.json"} </w:instrText>
      </w:r>
      <w:r>
        <w:rPr>
          <w:rFonts w:ascii="Times New Roman" w:hAnsi="Times New Roman" w:cs="Times New Roman"/>
          <w:sz w:val="24"/>
          <w:szCs w:val="24"/>
          <w:lang w:val="en-GB"/>
        </w:rPr>
        <w:fldChar w:fldCharType="separate"/>
      </w:r>
      <w:r w:rsidRPr="000716B0">
        <w:rPr>
          <w:rFonts w:ascii="Times New Roman" w:hAnsi="Times New Roman" w:cs="Times New Roman"/>
          <w:sz w:val="24"/>
          <w:lang w:val="en-GB"/>
        </w:rPr>
        <w:t>(Miles Davis Estate 2014)</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Wilburn Jr. himself expressed himself more vividly on his Facebook </w:t>
      </w:r>
      <w:r>
        <w:rPr>
          <w:rFonts w:ascii="Times New Roman" w:hAnsi="Times New Roman" w:cs="Times New Roman"/>
          <w:sz w:val="24"/>
          <w:szCs w:val="24"/>
          <w:lang w:val="en-GB"/>
        </w:rPr>
        <w:lastRenderedPageBreak/>
        <w:t>page: “</w:t>
      </w:r>
      <w:r w:rsidRPr="0030287C">
        <w:rPr>
          <w:rStyle w:val="58cl"/>
          <w:rFonts w:ascii="Times New Roman" w:hAnsi="Times New Roman" w:cs="Times New Roman"/>
          <w:sz w:val="24"/>
          <w:szCs w:val="24"/>
          <w:lang w:val="en-GB"/>
        </w:rPr>
        <w:t>#</w:t>
      </w:r>
      <w:r w:rsidRPr="0030287C">
        <w:rPr>
          <w:rStyle w:val="58cm"/>
          <w:rFonts w:ascii="Times New Roman" w:hAnsi="Times New Roman" w:cs="Times New Roman"/>
          <w:sz w:val="24"/>
          <w:szCs w:val="24"/>
          <w:lang w:val="en-GB"/>
        </w:rPr>
        <w:t>BULLSHIT</w:t>
      </w:r>
      <w:r w:rsidRPr="0030287C">
        <w:rPr>
          <w:rFonts w:ascii="Times New Roman" w:hAnsi="Times New Roman" w:cs="Times New Roman"/>
          <w:sz w:val="24"/>
          <w:szCs w:val="24"/>
          <w:lang w:val="en-GB"/>
        </w:rPr>
        <w:t>….Yes I Said It!!!!!!!!!!!!!!! stay original Motherfuckers FUCK THIS……Pro-tools … auto-tune now this BULLSHIT ….Jimmy Cobb should kick Your ass……..</w:t>
      </w:r>
      <w:r>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{"citationID":"YBI3L23F","properties":{"formattedCitation":"(Wilburn Jr. 2014)","plainCitation":"(Wilburn Jr. 2014)","noteIndex":0},"citationItems":[{"id":323,"uris":["http://zotero.org/users/4953069/items/Q7EXNEIV"],"uri":["http://zotero.org/users/4953069/items/Q7EXNEIV"],"itemData":{"id":323,"type":"post","title":"Facebook post","URL":"https://www.facebook.com/permalink.php?story_fbid=818935024824160&amp;id=100001230099055","author":[{"family":"Wilburn Jr.","given":"Vince"}],"issued":{"date-parts":[["2014",10,14]]},"accessed":{"date-parts":[["2017",3,2]]}}}],"schema":"https://github.com/citation-style-language/schema/raw/master/csl-citation.json"} </w:instrText>
      </w:r>
      <w:r>
        <w:rPr>
          <w:rFonts w:ascii="Times New Roman" w:hAnsi="Times New Roman" w:cs="Times New Roman"/>
          <w:sz w:val="24"/>
          <w:szCs w:val="24"/>
          <w:lang w:val="en-GB"/>
        </w:rPr>
        <w:fldChar w:fldCharType="separate"/>
      </w:r>
      <w:r w:rsidRPr="000716B0">
        <w:rPr>
          <w:rFonts w:ascii="Times New Roman" w:hAnsi="Times New Roman" w:cs="Times New Roman"/>
          <w:sz w:val="24"/>
          <w:lang w:val="en-GB"/>
        </w:rPr>
        <w:t>(Wilburn Jr. 2014)</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Wilburn Jr.’s comments, in comparing </w:t>
      </w:r>
      <w:r>
        <w:rPr>
          <w:rFonts w:ascii="Times New Roman" w:hAnsi="Times New Roman" w:cs="Times New Roman"/>
          <w:i/>
          <w:sz w:val="24"/>
          <w:szCs w:val="24"/>
          <w:lang w:val="en-GB"/>
        </w:rPr>
        <w:t>Blue</w:t>
      </w:r>
      <w:r>
        <w:rPr>
          <w:rFonts w:ascii="Times New Roman" w:hAnsi="Times New Roman" w:cs="Times New Roman"/>
          <w:sz w:val="24"/>
          <w:szCs w:val="24"/>
          <w:lang w:val="en-GB"/>
        </w:rPr>
        <w:t xml:space="preserve"> to the use of Pro-tools and auto-tune, two forms of technology that supposedly stand in the way of “true artistry” and authenticity, highlight how notions of agency are central to the appreciation of jazz. In fact, bassist Matthew Elliott of MOPDTK says of the album that “the sound is clearly jazz, but because of the process that went into it, it magically becomes ‘not jazz’.”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{"citationID":"VMDsbYYi","properties":{"formattedCitation":"(Elliott 2014)","plainCitation":"(Elliott 2014)","noteIndex":0},"citationItems":[{"id":321,"uris":["http://zotero.org/users/4953069/items/IVTW8SME"],"uri":["http://zotero.org/users/4953069/items/IVTW8SME"],"itemData":{"id":321,"type":"webpage","title":"Kind of, Kind of Blue: A Conversation with Mostly Other People Do the Killing","container-title":"PopMatters","abstract":"Mostly Other People Do the Killing have taken on an ambitious task: recreate Miles Davis' landmark Kind of Blue note for note. Except, as bassist Moppa Elliott notes, note-for-note might just be impossible.","URL":"http://www.popmatters.com/feature/185662-kind-of-kind-of-blue-a-conversation-with-mostly-other-people-do-the-/","shortTitle":"Kind of, Kind of Blue","author":[{"family":"Elliott","given":"Greg"}],"issued":{"date-parts":[["2014",9,15]]},"accessed":{"date-parts":[["2017",2,3]]}}}],"schema":"https://github.com/citation-style-language/schema/raw/master/csl-citation.json"} </w:instrText>
      </w:r>
      <w:r>
        <w:rPr>
          <w:rFonts w:ascii="Times New Roman" w:hAnsi="Times New Roman" w:cs="Times New Roman"/>
          <w:sz w:val="24"/>
          <w:szCs w:val="24"/>
          <w:lang w:val="en-GB"/>
        </w:rPr>
        <w:fldChar w:fldCharType="separate"/>
      </w:r>
      <w:r w:rsidRPr="000716B0">
        <w:rPr>
          <w:rFonts w:ascii="Times New Roman" w:hAnsi="Times New Roman" w:cs="Times New Roman"/>
          <w:sz w:val="24"/>
          <w:lang w:val="en-GB"/>
        </w:rPr>
        <w:t>(Elliott 2014)</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He goes on to compare the album to the work of Wynton Marsalis—consider for instance his </w:t>
      </w:r>
      <w:r>
        <w:rPr>
          <w:rFonts w:ascii="Times New Roman" w:hAnsi="Times New Roman" w:cs="Times New Roman"/>
          <w:i/>
          <w:sz w:val="24"/>
          <w:szCs w:val="24"/>
          <w:lang w:val="en-GB"/>
        </w:rPr>
        <w:t>Mr. Jelly Lord</w:t>
      </w:r>
      <w:r>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{"citationID":"AT1IXoWO","properties":{"formattedCitation":"(Marsalis 1999)","plainCitation":"(Marsalis 1999)","dontUpdate":true,"noteIndex":0},"citationItems":[{"id":785,"uris":["http://zotero.org/users/4953069/items/RK9TNDWF"],"uri":["http://zotero.org/users/4953069/items/RK9TNDWF"],"itemData":{"id":785,"type":"song","title":"Mr. Jelly Lord - Standard Time Vol. 6","publisher":"Columbia Records","medium":"CD","author":[{"family":"Marsalis","given":"Wynton"}],"issued":{"date-parts":[["1999"]]}}}],"schema":"https://github.com/citation-style-language/schema/raw/master/csl-citation.json"} </w:instrText>
      </w:r>
      <w:r>
        <w:rPr>
          <w:rFonts w:ascii="Times New Roman" w:hAnsi="Times New Roman" w:cs="Times New Roman"/>
          <w:sz w:val="24"/>
          <w:szCs w:val="24"/>
          <w:lang w:val="en-GB"/>
        </w:rPr>
        <w:fldChar w:fldCharType="separate"/>
      </w:r>
      <w:r>
        <w:rPr>
          <w:rFonts w:ascii="Times New Roman" w:hAnsi="Times New Roman" w:cs="Times New Roman"/>
          <w:sz w:val="24"/>
          <w:lang w:val="en-GB"/>
        </w:rPr>
        <w:t>(</w:t>
      </w:r>
      <w:r w:rsidRPr="000716B0">
        <w:rPr>
          <w:rFonts w:ascii="Times New Roman" w:hAnsi="Times New Roman" w:cs="Times New Roman"/>
          <w:sz w:val="24"/>
          <w:lang w:val="en-GB"/>
        </w:rPr>
        <w:t>1999)</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which features not only very accurate renditions of pieces previously recorded by Jelly Roll Morton, but even a recording of “Tom Cat Blues” made on a phonograph cylinder, making it sonically indistinguishable from early jazz. The differences in reception are striking: both Wynton Marsalis and MOPDTK are criticized for being unoriginal, but where Marsalis is praised for paying tribute to the jazz greats, MOPDTK is praised for its iconoclastic, postmodernist gesture.</w:t>
      </w:r>
      <w:r w:rsidRPr="00DA6816">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These differences may not only have to do with the different public images of Marsalis and MOPDTK (in which the politics of race undoubtedly plays a role), but also because of the indexical quality of the reproduced recordings; we tend to perceive the recordings of Morton as incomplete renditions of a mythical past, while </w:t>
      </w:r>
      <w:r>
        <w:rPr>
          <w:rFonts w:ascii="Times New Roman" w:hAnsi="Times New Roman" w:cs="Times New Roman"/>
          <w:i/>
          <w:sz w:val="24"/>
          <w:szCs w:val="24"/>
          <w:lang w:val="en-GB"/>
        </w:rPr>
        <w:t>Kind of Blue</w:t>
      </w:r>
      <w:r>
        <w:rPr>
          <w:rFonts w:ascii="Times New Roman" w:hAnsi="Times New Roman" w:cs="Times New Roman"/>
          <w:sz w:val="24"/>
          <w:szCs w:val="24"/>
          <w:lang w:val="en-GB"/>
        </w:rPr>
        <w:t xml:space="preserve"> is perceived as an accurate document of a spontaneous and authentic performance.</w:t>
      </w:r>
      <w:r>
        <w:rPr>
          <w:rStyle w:val="Eindnootmarkering"/>
          <w:rFonts w:ascii="Times New Roman" w:hAnsi="Times New Roman" w:cs="Times New Roman"/>
          <w:sz w:val="24"/>
          <w:szCs w:val="24"/>
          <w:lang w:val="en-GB"/>
        </w:rPr>
        <w:endnoteReference w:id="4"/>
      </w:r>
      <w:r>
        <w:rPr>
          <w:rFonts w:ascii="Times New Roman" w:hAnsi="Times New Roman" w:cs="Times New Roman"/>
          <w:sz w:val="24"/>
          <w:szCs w:val="24"/>
          <w:lang w:val="en-GB"/>
        </w:rPr>
        <w:t xml:space="preserve"> More than a form of “signifying” on a shared history, </w:t>
      </w:r>
      <w:r>
        <w:rPr>
          <w:rFonts w:ascii="Times New Roman" w:hAnsi="Times New Roman" w:cs="Times New Roman"/>
          <w:i/>
          <w:sz w:val="24"/>
          <w:szCs w:val="24"/>
          <w:lang w:val="en-GB"/>
        </w:rPr>
        <w:t>Blue</w:t>
      </w:r>
      <w:r>
        <w:rPr>
          <w:rFonts w:ascii="Times New Roman" w:hAnsi="Times New Roman" w:cs="Times New Roman"/>
          <w:sz w:val="24"/>
          <w:szCs w:val="24"/>
          <w:lang w:val="en-GB"/>
        </w:rPr>
        <w:t xml:space="preserve"> brings into play not just notions of iteration and authorship, but the way in which the genre of jazz implies particular configurations of agency, technology, and creativity that can be brought into focus using </w:t>
      </w:r>
      <w:proofErr w:type="spellStart"/>
      <w:r>
        <w:rPr>
          <w:rFonts w:ascii="Times New Roman" w:hAnsi="Times New Roman" w:cs="Times New Roman"/>
          <w:sz w:val="24"/>
          <w:szCs w:val="24"/>
          <w:lang w:val="en-GB"/>
        </w:rPr>
        <w:t>Gell’s</w:t>
      </w:r>
      <w:proofErr w:type="spellEnd"/>
      <w:r>
        <w:rPr>
          <w:rFonts w:ascii="Times New Roman" w:hAnsi="Times New Roman" w:cs="Times New Roman"/>
          <w:sz w:val="24"/>
          <w:szCs w:val="24"/>
          <w:lang w:val="en-GB"/>
        </w:rPr>
        <w:t xml:space="preserve"> model of </w:t>
      </w:r>
      <w:proofErr w:type="spellStart"/>
      <w:r>
        <w:rPr>
          <w:rFonts w:ascii="Times New Roman" w:hAnsi="Times New Roman" w:cs="Times New Roman"/>
          <w:sz w:val="24"/>
          <w:szCs w:val="24"/>
          <w:lang w:val="en-GB"/>
        </w:rPr>
        <w:t>indexicality</w:t>
      </w:r>
      <w:proofErr w:type="spellEnd"/>
      <w:r>
        <w:rPr>
          <w:rFonts w:ascii="Times New Roman" w:hAnsi="Times New Roman" w:cs="Times New Roman"/>
          <w:sz w:val="24"/>
          <w:szCs w:val="24"/>
          <w:lang w:val="en-GB"/>
        </w:rPr>
        <w:t>.</w:t>
      </w:r>
    </w:p>
    <w:p w14:paraId="4311EC39" w14:textId="24E73704" w:rsidR="00996481" w:rsidRDefault="00996481" w:rsidP="00971965">
      <w:pPr>
        <w:spacing w:after="0" w:line="36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 xml:space="preserve">Because of the way the notion of the assemblage blurs the distinction between production and consumption, it suggests we might also ask how listeners, not just musicians, have mediated and assembled the genre of jazz. A significant part of these “acts of assemblage”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{"citationID":"goSZU016","properties":{"formattedCitation":"(Drott 2013)","plainCitation":"(Drott 2013)","noteIndex":0},"citationItems":[{"id":312,"uris":["http://zotero.org/users/4953069/items/6529J56Q"],"uri":["http://zotero.org/users/4953069/items/6529J56Q"],"itemData":{"id":312,"type":"article-journal","title":"The End(s) of Genre","container-title":"Journal of Music Theory","page":"1-45","volume":"57","issue":"1","source":"jmt.dukejournals.org","DOI":"10.1215/00222909-2017097","ISSN":"0022-2909,","journalAbbreviation":"Journal of Music Theory","language":"en","author":[{"family":"Drott","given":"Eric"}],"issued":{"date-parts":[["2013",3,20]]}}}],"schema":"https://github.com/citation-style-language/schema/raw/master/csl-citation.json"} </w:instrText>
      </w:r>
      <w:r>
        <w:rPr>
          <w:rFonts w:ascii="Times New Roman" w:hAnsi="Times New Roman" w:cs="Times New Roman"/>
          <w:sz w:val="24"/>
          <w:szCs w:val="24"/>
          <w:lang w:val="en-GB"/>
        </w:rPr>
        <w:fldChar w:fldCharType="separate"/>
      </w:r>
      <w:r w:rsidRPr="000A204E">
        <w:rPr>
          <w:rFonts w:ascii="Times New Roman" w:hAnsi="Times New Roman" w:cs="Times New Roman"/>
          <w:sz w:val="24"/>
          <w:lang w:val="en-GB"/>
        </w:rPr>
        <w:t>(Drott 2013)</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was performed, quite literally, by collectors of recordings since the 1920s. Jazz is, perhaps more than any other twentieth-century music, a real collector’s music, as listeners collect not only recordings, but also photographs, films, paintings, sculptures and other memorabilia.</w:t>
      </w:r>
      <w:r>
        <w:rPr>
          <w:rStyle w:val="Eindnootmarkering"/>
          <w:rFonts w:ascii="Times New Roman" w:hAnsi="Times New Roman" w:cs="Times New Roman"/>
          <w:sz w:val="24"/>
          <w:szCs w:val="24"/>
          <w:lang w:val="en-GB"/>
        </w:rPr>
        <w:endnoteReference w:id="5"/>
      </w:r>
      <w:r>
        <w:rPr>
          <w:rFonts w:ascii="Times New Roman" w:hAnsi="Times New Roman" w:cs="Times New Roman"/>
          <w:sz w:val="24"/>
          <w:szCs w:val="24"/>
          <w:lang w:val="en-GB"/>
        </w:rPr>
        <w:t xml:space="preserve"> Early collectors aimed to salvage recordings that were frequently of low quality and were becoming unplayable because of heavy use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{"citationID":"zRooWngv","properties":{"formattedCitation":"(Cummings 2010)","plainCitation":"(Cummings 2010)","dontUpdate":true,"noteIndex":0},"citationItems":[{"id":317,"uris":["http://zotero.org/users/4953069/items/P3NGFWD2"],"uri":["http://zotero.org/users/4953069/items/P3NGFWD2"],"itemData":{"id":317,"type":"chapter","title":"Collectors, Bootleggers, and the Value of Jazz, 1930-1952","container-title":"Sound in the age of mechanical reproduction","publisher":"University of Pennsylvania Press","publisher-place":"Philadelphia","page":"95-114","source":"aleph.library.uu.nl Library Catalog","event-place":"Philadelphia","ISBN":"978-0-8122-0686-9","call-number":"306.4/8420904 |2 22","editor":[{"family":"Strasser","given":"Susan"},{"family":"Suisman","given":"David"}],"author":[{"family":"Cummings","given":"Alex"}],"issued":{"date-parts":[["2010"]]}}}],"schema":"https://github.com/citation-style-language/schema/raw/master/csl-citation.json"} </w:instrText>
      </w:r>
      <w:r>
        <w:rPr>
          <w:rFonts w:ascii="Times New Roman" w:hAnsi="Times New Roman" w:cs="Times New Roman"/>
          <w:sz w:val="24"/>
          <w:szCs w:val="24"/>
          <w:lang w:val="en-GB"/>
        </w:rPr>
        <w:fldChar w:fldCharType="separate"/>
      </w:r>
      <w:r w:rsidRPr="000A204E">
        <w:rPr>
          <w:rFonts w:ascii="Times New Roman" w:hAnsi="Times New Roman" w:cs="Times New Roman"/>
          <w:sz w:val="24"/>
          <w:lang w:val="en-GB"/>
        </w:rPr>
        <w:t>(Cummings 2010</w:t>
      </w:r>
      <w:r>
        <w:rPr>
          <w:rFonts w:ascii="Times New Roman" w:hAnsi="Times New Roman" w:cs="Times New Roman"/>
          <w:sz w:val="24"/>
          <w:lang w:val="en-GB"/>
        </w:rPr>
        <w:t>: 95</w:t>
      </w:r>
      <w:r w:rsidRPr="000A204E">
        <w:rPr>
          <w:rFonts w:ascii="Times New Roman" w:hAnsi="Times New Roman" w:cs="Times New Roman"/>
          <w:sz w:val="24"/>
          <w:lang w:val="en-GB"/>
        </w:rPr>
        <w:t>)</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These communities of collectors constructed an ideal of connoisseurship around jazz recordings, where each collector had their own specialism (99). This culture of connoisseurship, together with the emerging jazz criticism in the newly founded periodicals (partly aimed at these collectors) did much for the gradual social acceptance for jazz as an art form. They did not </w:t>
      </w:r>
      <w:r>
        <w:rPr>
          <w:rFonts w:ascii="Times New Roman" w:hAnsi="Times New Roman" w:cs="Times New Roman"/>
          <w:sz w:val="24"/>
          <w:szCs w:val="24"/>
          <w:lang w:val="en-GB"/>
        </w:rPr>
        <w:lastRenderedPageBreak/>
        <w:t xml:space="preserve">only instigate the practice of reproduction, because of which many of these recordings remain available today, but because of their aim for completeness also initiated the practice of jazz discography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{"citationID":"aHcmvg3F","properties":{"formattedCitation":"(Epperson 2013)","plainCitation":"(Epperson 2013)","noteIndex":0},"citationItems":[{"id":316,"uris":["http://zotero.org/users/4953069/items/FP5SM578"],"uri":["http://zotero.org/users/4953069/items/FP5SM578"],"itemData":{"id":316,"type":"book","title":"More Important Than the Music: A History of Jazz Discography","publisher":"University of Chicago Press","number-of-pages":"301","source":"Google Books","abstract":"Today, jazz is considered high art, America’s national music, and the catalog of its recordings—its discography—is often taken for granted. But behind jazz discography is a fraught and highly colorful history of research, fanaticism, and the intense desire to know who played what, where, and when. This history gets its first full-length treatment in Bruce D. Epperson’s More Important Than the Music. Following the dedicated few who sought to keep jazz’s legacy organized, Epperson tells a fascinating story of archival pursuit in the face of negligence and deception, a tale that saw curses and threats regularly employed, with fisticuffs and lawsuits only slightly rarer.  Epperson examines the documentation of recorded jazz from its casual origins as a novelty in the 1920s and ’30s, through the overwhelming deluge of 12-inch vinyl records in the middle of the twentieth century, to the use of computers by today’s discographers. Though he focuses much of his attention on comprehensive discographies, he also examines the development of a variety of related listings, such as buyer’s guides and library catalogs, and he closes with a look toward discography’s future. From the little black book to the full-featured online database, More Important Than the Music offers a history not just of jazz discography but of the profoundly human desire to preserve history itself.","ISBN":"978-0-226-06767-4","note":"Google-Books-ID: gWNJAAAAQBAJ","shortTitle":"More Important Than the Music","language":"en","author":[{"family":"Epperson","given":"Bruce D."}],"issued":{"date-parts":[["2013",10,1]]}}}],"schema":"https://github.com/citation-style-language/schema/raw/master/csl-citation.json"} </w:instrText>
      </w:r>
      <w:r>
        <w:rPr>
          <w:rFonts w:ascii="Times New Roman" w:hAnsi="Times New Roman" w:cs="Times New Roman"/>
          <w:sz w:val="24"/>
          <w:szCs w:val="24"/>
          <w:lang w:val="en-GB"/>
        </w:rPr>
        <w:fldChar w:fldCharType="separate"/>
      </w:r>
      <w:r w:rsidRPr="006219AF">
        <w:rPr>
          <w:rFonts w:ascii="Times New Roman" w:hAnsi="Times New Roman" w:cs="Times New Roman"/>
          <w:sz w:val="24"/>
          <w:lang w:val="en-GB"/>
        </w:rPr>
        <w:t>(Epperson 2013)</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These collections and discographies constitute the material history of many jazz archives, which suggests that to only see these discographers and their canons as the perpetrators of ideology is a rather limited perspective. Rather, their efforts and obsessions emerge as a significant part of jazz history in their own right. As Ken Prouty writes: “moves towards canon, and reactions against them, are part of the history of jazz itself.”</w:t>
      </w:r>
      <w:r>
        <w:rPr>
          <w:rStyle w:val="Eindnootmarkering"/>
          <w:rFonts w:ascii="Times New Roman" w:hAnsi="Times New Roman" w:cs="Times New Roman"/>
          <w:sz w:val="24"/>
          <w:szCs w:val="24"/>
          <w:lang w:val="en-GB"/>
        </w:rPr>
        <w:endnoteReference w:id="6"/>
      </w:r>
      <w:r>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{"citationID":"yg6IOQKf","properties":{"formattedCitation":"(Prouty 2012)","plainCitation":"(Prouty 2012)","dontUpdate":true,"noteIndex":0},"citationItems":[{"id":200,"uris":["http://zotero.org/users/4953069/items/8H9MSUTV"],"uri":["http://zotero.org/users/4953069/items/8H9MSUTV"],"itemData":{"id":200,"type":"book","title":"Knowing jazz: community, pedagogy, and canon in the information age","collection-title":"American made music series","publisher":"University Press of Mississippi","publisher-place":"Jackson","number-of-pages":"1","source":"aleph.library.uu.nl Library Catalog","event-place":"Jackson","abstract":"Ken Prouty argues that knowledge of jazz, or more to the point, claims to knowledge of jazz, are the prime movers in forming jazz's identity, its canon, and its community. Every jazz artist, critic, or fan understands jazz differently, based on each individual's unique experiences and insights. Through playing, listening, reading, and talking about jazz, both as a form of musical expression and as a marker of identity, each aficionado develops a personalized relationship to the larger jazz world. Through the increasingly important role of media, listeners also engage in the formation of different communities that not only transcend traditional boundaries of geography, but increasingly exist only in the virtual world. The relationships of \"jazz people\" within and between these communities is at the center of Knowing Jazz . Some groups, such as those in academia, reflect a clash of sensibilities between historical traditions. Others, particularly online communities, represent new and exciting avenues for everyday fans, whose involvement in jazz has often been ignored. Other communities seek to define themselves as expressions of national or global sensibility, pointing to the ever-changing nature of jazz's identity as an American art form in an international setting. What all these communities share, however, is an intimate, visceral link to the music and the artists who make it, brought to life through the medium of recording. Informed by an interdisciplinary approach and approaching the topic from a number of perspectives, Knowing Jazz charts a philosophical course in which many disparate perspectives and varied opinions on jazz can find common ground","ISBN":"978-1-61703-164-9","call-number":"781.65 |2 23","shortTitle":"Knowing jazz","author":[{"family":"Prouty","given":"Ken"}],"issued":{"date-parts":[["2012"]]}}}],"schema":"https://github.com/citation-style-language/schema/raw/master/csl-citation.json"} </w:instrText>
      </w:r>
      <w:r>
        <w:rPr>
          <w:rFonts w:ascii="Times New Roman" w:hAnsi="Times New Roman" w:cs="Times New Roman"/>
          <w:sz w:val="24"/>
          <w:szCs w:val="24"/>
          <w:lang w:val="en-GB"/>
        </w:rPr>
        <w:fldChar w:fldCharType="separate"/>
      </w:r>
      <w:r w:rsidRPr="00EB6393">
        <w:rPr>
          <w:rFonts w:ascii="Times New Roman" w:hAnsi="Times New Roman" w:cs="Times New Roman"/>
          <w:sz w:val="24"/>
          <w:lang w:val="en-GB"/>
        </w:rPr>
        <w:t>(Prouty 2012</w:t>
      </w:r>
      <w:r>
        <w:rPr>
          <w:rFonts w:ascii="Times New Roman" w:hAnsi="Times New Roman" w:cs="Times New Roman"/>
          <w:sz w:val="24"/>
          <w:lang w:val="en-GB"/>
        </w:rPr>
        <w:t>: 6</w:t>
      </w:r>
      <w:r w:rsidRPr="00EB6393">
        <w:rPr>
          <w:rFonts w:ascii="Times New Roman" w:hAnsi="Times New Roman" w:cs="Times New Roman"/>
          <w:sz w:val="24"/>
          <w:lang w:val="en-GB"/>
        </w:rPr>
        <w:t>)</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This does not necessarily mitigate these practices; Alex Cummings describes how white collectors would go into poor black neighbourhoods to buy records for prices far below their actual worth, making palpable the forms of appropriation that are inevitably part of the history of the jazz canon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{"citationID":"1R9tGq1U","properties":{"formattedCitation":"(Cummings 2010)","plainCitation":"(Cummings 2010)","dontUpdate":true,"noteIndex":0},"citationItems":[{"id":317,"uris":["http://zotero.org/users/4953069/items/P3NGFWD2"],"uri":["http://zotero.org/users/4953069/items/P3NGFWD2"],"itemData":{"id":317,"type":"chapter","title":"Collectors, Bootleggers, and the Value of Jazz, 1930-1952","container-title":"Sound in the age of mechanical reproduction","publisher":"University of Pennsylvania Press","publisher-place":"Philadelphia","page":"95-114","source":"aleph.library.uu.nl Library Catalog","event-place":"Philadelphia","ISBN":"978-0-8122-0686-9","call-number":"306.4/8420904 |2 22","editor":[{"family":"Strasser","given":"Susan"},{"family":"Suisman","given":"David"}],"author":[{"family":"Cummings","given":"Alex"}],"issued":{"date-parts":[["2010"]]}}}],"schema":"https://github.com/citation-style-language/schema/raw/master/csl-citation.json"} </w:instrText>
      </w:r>
      <w:r>
        <w:rPr>
          <w:rFonts w:ascii="Times New Roman" w:hAnsi="Times New Roman" w:cs="Times New Roman"/>
          <w:sz w:val="24"/>
          <w:szCs w:val="24"/>
          <w:lang w:val="en-GB"/>
        </w:rPr>
        <w:fldChar w:fldCharType="separate"/>
      </w:r>
      <w:r w:rsidRPr="00EB6393">
        <w:rPr>
          <w:rFonts w:ascii="Times New Roman" w:hAnsi="Times New Roman" w:cs="Times New Roman"/>
          <w:sz w:val="24"/>
          <w:lang w:val="en-GB"/>
        </w:rPr>
        <w:t>(Cummings 2010</w:t>
      </w:r>
      <w:r>
        <w:rPr>
          <w:rFonts w:ascii="Times New Roman" w:hAnsi="Times New Roman" w:cs="Times New Roman"/>
          <w:sz w:val="24"/>
          <w:lang w:val="en-GB"/>
        </w:rPr>
        <w:t>: 97-98</w:t>
      </w:r>
      <w:r w:rsidRPr="00EB6393">
        <w:rPr>
          <w:rFonts w:ascii="Times New Roman" w:hAnsi="Times New Roman" w:cs="Times New Roman"/>
          <w:sz w:val="24"/>
          <w:lang w:val="en-GB"/>
        </w:rPr>
        <w:t>)</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However, it does make these histories more concrete, and makes clear the contingencies and contradictions inherent in the formation of genre.</w:t>
      </w:r>
    </w:p>
    <w:p w14:paraId="0B898D74" w14:textId="05E219BA" w:rsidR="00996481" w:rsidRPr="00095AB4" w:rsidRDefault="00996481" w:rsidP="00884FBC">
      <w:pPr>
        <w:spacing w:after="0" w:line="36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 xml:space="preserve">Another example of the material history of jazz listening practices suggests that these may not necessarily revolve around connoisseurship and canon formation (or may configure these concepts in a different way). The fact that the early jazz collectors were all men might obscure the fact that the phonograph, from the late nineteenth century to the middle of the twentieth, was mostly used by women. While Sherrie Tucker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{"citationID":"KYDVD6hK","properties":{"formattedCitation":"(Tucker 2000)","plainCitation":"(Tucker 2000)","dontUpdate":true,"noteIndex":0},"citationItems":[{"id":199,"uris":["http://zotero.org/users/4953069/items/URB4PRUJ"],"uri":["http://zotero.org/users/4953069/items/URB4PRUJ"],"itemData":{"id":199,"type":"book","title":"Swing Shift: “All-Girl” Bands of the 1940s","publisher":"Duke University Press","publisher-place":"Durham","number-of-pages":"428","source":"Google Books","event-place":"Durham","abstract":"The forgotten history of the “all-girl” big bands of the World War II era takes center stage in Sherrie Tucker’s Swing Shift. American demand for swing skyrocketed with the onslaught of war as millions—isolated from loved ones—sought diversion, comfort, and social contact through music and dance. Although all-female jazz and dance bands had existed since the 1920s, now hundreds of such groups, both African American and white, barnstormed ballrooms, theaters, dance halls, military installations, and makeshift USO stages on the home front and abroad. Filled with firsthand accounts of more than a hundred women who performed during this era and complemented by thorough—and eye-opening—archival research, Swing Shift not only offers a history of this significant aspect of American society and culture but also examines how and why whole bands of dedicated and talented women musicians were dropped from—or never inducted into—our national memory. Tucker’s nuanced presentation reveals who these remarkable women were, where and when they began to play music, and how they navigated a sometimes wild and bumpy road—including their experiences with gas and rubber rationing, travel restrictions designed to prioritize transportation for military needs, and Jim Crow laws and other prejudices. She explains how the expanded opportunities brought by the war, along with sudden increased publicity, created the illusion that all female musicians—no matter how experienced or talented—were “Swing Shift Maisies,” 1940s slang for the substitutes for the “real” workers (or musicians) who were away in combat. Comparing the working conditions and public representations of women musicians with figures such as Rosie the Riveter, WACs, USO hostesses, pin-ups, and movie stars, Tucker chronicles the careers of such bands as the International Sweethearts of Rhythm, Phil Spitalny’s Hours of Charm, The Darlings of Rhythm, and the Sharon Rogers All-Girl Band.","ISBN":"978-0-8223-2817-9","note":"Google-Books-ID: qf2IURpwmuYC","shortTitle":"Swing Shift","language":"en","author":[{"family":"Tucker","given":"Sherrie"}],"issued":{"date-parts":[["2000"]]}}}],"schema":"https://github.com/citation-style-language/schema/raw/master/csl-citation.json"} </w:instrText>
      </w:r>
      <w:r>
        <w:rPr>
          <w:rFonts w:ascii="Times New Roman" w:hAnsi="Times New Roman" w:cs="Times New Roman"/>
          <w:sz w:val="24"/>
          <w:szCs w:val="24"/>
          <w:lang w:val="en-GB"/>
        </w:rPr>
        <w:fldChar w:fldCharType="separate"/>
      </w:r>
      <w:r>
        <w:rPr>
          <w:rFonts w:ascii="Times New Roman" w:hAnsi="Times New Roman" w:cs="Times New Roman"/>
          <w:sz w:val="24"/>
          <w:lang w:val="en-GB"/>
        </w:rPr>
        <w:t>(</w:t>
      </w:r>
      <w:r w:rsidRPr="007C5E7E">
        <w:rPr>
          <w:rFonts w:ascii="Times New Roman" w:hAnsi="Times New Roman" w:cs="Times New Roman"/>
          <w:sz w:val="24"/>
          <w:lang w:val="en-GB"/>
        </w:rPr>
        <w:t>2000)</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and Kristin McGee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{"citationID":"OAc1snzW","properties":{"formattedCitation":"(McGee 2009)","plainCitation":"(McGee 2009)","noteIndex":0},"citationItems":[{"id":198,"uris":["http://zotero.org/users/4953069/items/XB99DQMI"],"uri":["http://zotero.org/users/4953069/items/XB99DQMI"],"itemData":{"id":198,"type":"book","title":"Some Liked It Hot: Jazz Women in Film and Television, 1928–1959","publisher":"Wesleyan University Press","publisher-place":"Middletown","number-of-pages":"338","source":"Google Books","event-place":"Middletown","abstract":"Women have been involved with jazz since its inception, but all too often their achievements were not as well known as those of their male counterparts. Some Liked It Hot looks at all-girl bands and jazz women from the 1920s through the 1950s and how they fit into the nascent mass culture, particularly film and television, to uncover some of the historical motivations for excluding women from the now firmly established jazz canon. This well-illustrated book chronicles who appeared where and when in over 80 performances, captured in both popular Hollywood productions and in relatively unknown films and television shows.As McGee shows, these performances reflected complex racial attitudes emerging in American culture during the first half of the twentieth century. Her analysis illuminates the heavily mediated representational strategies that jazz women adopted, highlighting the role that race played in constituting public performances of various styles of jazz from “swing” to “hot” and “sweet.” The International Sweethearts of Rhythm, Hazel Scott, the Ingenues, Peggy Lee, and Paul Whiteman are just a few of the performers covered in the book, which also includes a detailed filmography.","ISBN":"978-0-8195-6967-7","shortTitle":"Some Liked It Hot","language":"en","author":[{"family":"McGee","given":"Kristin A."}],"issued":{"date-parts":[["2009"]]}}}],"schema":"https://github.com/citation-style-language/schema/raw/master/csl-citation.json"} </w:instrText>
      </w:r>
      <w:r>
        <w:rPr>
          <w:rFonts w:ascii="Times New Roman" w:hAnsi="Times New Roman" w:cs="Times New Roman"/>
          <w:sz w:val="24"/>
          <w:szCs w:val="24"/>
          <w:lang w:val="en-GB"/>
        </w:rPr>
        <w:fldChar w:fldCharType="separate"/>
      </w:r>
      <w:r w:rsidRPr="007C5E7E">
        <w:rPr>
          <w:rFonts w:ascii="Times New Roman" w:hAnsi="Times New Roman" w:cs="Times New Roman"/>
          <w:sz w:val="24"/>
          <w:lang w:val="en-GB"/>
        </w:rPr>
        <w:t>(McGee 2009)</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have highlighted the role of female musicians in the Swing era, they may also have played a vital role in the domestication of jazz and in its dissemination as a public form of entertainment.</w:t>
      </w:r>
      <w:r>
        <w:rPr>
          <w:rStyle w:val="Eindnootmarkering"/>
          <w:rFonts w:ascii="Times New Roman" w:hAnsi="Times New Roman" w:cs="Times New Roman"/>
          <w:sz w:val="24"/>
          <w:szCs w:val="24"/>
          <w:lang w:val="en-GB"/>
        </w:rPr>
        <w:endnoteReference w:id="7"/>
      </w:r>
      <w:r>
        <w:rPr>
          <w:rFonts w:ascii="Times New Roman" w:hAnsi="Times New Roman" w:cs="Times New Roman"/>
          <w:sz w:val="24"/>
          <w:szCs w:val="24"/>
          <w:lang w:val="en-GB"/>
        </w:rPr>
        <w:t xml:space="preserve"> As a product intended for domestic consumption, it entered into a social sphere in which women maintained the household, and music was an integral part of this domestic sphere (traditionally played on the piano, in relation to which the early phonograph was often advertised).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{"citationID":"NCo4DUwF","properties":{"formattedCitation":"(Kenney 2003; Barnett 2006; Gitelman 2006)","plainCitation":"(Kenney 2003; Barnett 2006; Gitelman 2006)","dontUpdate":true,"noteIndex":0},"citationItems":[{"id":201,"uris":["http://zotero.org/users/4953069/items/UG3IQN5M"],"uri":["http://zotero.org/users/4953069/items/UG3IQN5M"],"itemData":{"id":201,"type":"book","title":"Recorded Music in American Life: the Phonograph and Popular Memory, 1890-1945","publisher":"Oxford University Press","publisher-place":"New York","number-of-pages":"1","source":"aleph.library.uu.nl Library Catalog","event-place":"New York","abstract":"Kenney examines the interplay between recorded music and the key social, political, and economic forces in America during the era of the phonograph's rise and decline as the dominant medium of popular recorded sound: from the appearance of the first commercial recordings to the postwar years when the industry became more complex and less powerful","ISBN":"978-0-19-802604-4","call-number":"306.4840973 306.484","note":"OCLC: 476011450","shortTitle":"Recorded Music in American Life","author":[{"family":"Kenney","given":"William Howland"}],"issued":{"date-parts":[["2003"]]}}},{"id":195,"uris":["http://zotero.org/users/4953069/items/SCPZKMAH"],"uri":["http://zotero.org/users/4953069/items/SCPZKMAH"],"itemData":{"id":195,"type":"article-journal","title":"Furniture Music: The Phonograph as Furniture, 1900–1930","container-title":"Journal of Popular Music Studies","page":"301-324","volume":"18","issue":"3","source":"Wiley Online Library","DOI":"10.1111/j.1533-1598.2006.00096.x","ISSN":"1533-1598","shortTitle":"Furniture Music","language":"en","author":[{"family":"Barnett","given":"Kyle S."}],"issued":{"date-parts":[["2006",12,1]]}}},{"id":145,"uris":["http://zotero.org/users/4953069/items/IF3EBSRJ"],"uri":["http://zotero.org/users/4953069/items/IF3EBSRJ"],"itemData":{"id":145,"type":"book","title":"Always already new: media, history, and the data of culture","publisher":"MIT Press","publisher-place":"Cambridge, MA","number-of-pages":"205","source":"aleph.library.uu.nl Library Catalog","event-place":"Cambridge, MA","ISBN":"978-0-262-07271-7","call-number":"05.20 |2 bcl","shortTitle":"Always already new","language":"eng","author":[{"family":"Gitelman","given":"Lisa"}],"issued":{"date-parts":[["2006"]]}}}],"schema":"https://github.com/citation-style-language/schema/raw/master/csl-citation.json"} </w:instrText>
      </w:r>
      <w:r>
        <w:rPr>
          <w:rFonts w:ascii="Times New Roman" w:hAnsi="Times New Roman" w:cs="Times New Roman"/>
          <w:sz w:val="24"/>
          <w:szCs w:val="24"/>
          <w:lang w:val="en-GB"/>
        </w:rPr>
        <w:fldChar w:fldCharType="separate"/>
      </w:r>
      <w:r w:rsidRPr="007C5E7E">
        <w:rPr>
          <w:rFonts w:ascii="Times New Roman" w:hAnsi="Times New Roman" w:cs="Times New Roman"/>
          <w:sz w:val="24"/>
          <w:lang w:val="en-GB"/>
        </w:rPr>
        <w:t>(Kenney 2003</w:t>
      </w:r>
      <w:r>
        <w:rPr>
          <w:rFonts w:ascii="Times New Roman" w:hAnsi="Times New Roman" w:cs="Times New Roman"/>
          <w:sz w:val="24"/>
          <w:lang w:val="en-GB"/>
        </w:rPr>
        <w:t>: 88-108</w:t>
      </w:r>
      <w:r w:rsidRPr="007C5E7E">
        <w:rPr>
          <w:rFonts w:ascii="Times New Roman" w:hAnsi="Times New Roman" w:cs="Times New Roman"/>
          <w:sz w:val="24"/>
          <w:lang w:val="en-GB"/>
        </w:rPr>
        <w:t>; Barnett 2006; Gitelman 2006</w:t>
      </w:r>
      <w:r>
        <w:rPr>
          <w:rFonts w:ascii="Times New Roman" w:hAnsi="Times New Roman" w:cs="Times New Roman"/>
          <w:sz w:val="24"/>
          <w:lang w:val="en-GB"/>
        </w:rPr>
        <w:t>: 59-86</w:t>
      </w:r>
      <w:r w:rsidRPr="007C5E7E">
        <w:rPr>
          <w:rFonts w:ascii="Times New Roman" w:hAnsi="Times New Roman" w:cs="Times New Roman"/>
          <w:sz w:val="24"/>
          <w:lang w:val="en-GB"/>
        </w:rPr>
        <w:t>)</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During World War I, women gained more employment, also in the music industry, and they played an important role not just in the consumption of recordings, but also in their manufacturing and distribution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{"citationID":"CdkHC6HC","properties":{"formattedCitation":"(Kenney 2003)","plainCitation":"(Kenney 2003)","dontUpdate":true,"noteIndex":0},"citationItems":[{"id":201,"uris":["http://zotero.org/users/4953069/items/UG3IQN5M"],"uri":["http://zotero.org/users/4953069/items/UG3IQN5M"],"itemData":{"id":201,"type":"book","title":"Recorded Music in American Life: the Phonograph and Popular Memory, 1890-1945","publisher":"Oxford University Press","publisher-place":"New York","number-of-pages":"1","source":"aleph.library.uu.nl Library Catalog","event-place":"New York","abstract":"Kenney examines the interplay between recorded music and the key social, political, and economic forces in America during the era of the phonograph's rise and decline as the dominant medium of popular recorded sound: from the appearance of the first commercial recordings to the postwar years when the industry became more complex and less powerful","ISBN":"978-0-19-802604-4","call-number":"306.4840973 306.484","note":"OCLC: 476011450","shortTitle":"Recorded Music in American Life","author":[{"family":"Kenney","given":"William Howland"}],"issued":{"date-parts":[["2003"]]}}}],"schema":"https://github.com/citation-style-language/schema/raw/master/csl-citation.json"} </w:instrText>
      </w:r>
      <w:r>
        <w:rPr>
          <w:rFonts w:ascii="Times New Roman" w:hAnsi="Times New Roman" w:cs="Times New Roman"/>
          <w:sz w:val="24"/>
          <w:szCs w:val="24"/>
          <w:lang w:val="en-GB"/>
        </w:rPr>
        <w:fldChar w:fldCharType="separate"/>
      </w:r>
      <w:r w:rsidRPr="007C5E7E">
        <w:rPr>
          <w:rFonts w:ascii="Times New Roman" w:hAnsi="Times New Roman" w:cs="Times New Roman"/>
          <w:sz w:val="24"/>
          <w:lang w:val="en-GB"/>
        </w:rPr>
        <w:t>(Kenney 2003</w:t>
      </w:r>
      <w:r>
        <w:rPr>
          <w:rFonts w:ascii="Times New Roman" w:hAnsi="Times New Roman" w:cs="Times New Roman"/>
          <w:sz w:val="24"/>
          <w:lang w:val="en-GB"/>
        </w:rPr>
        <w:t>: 97</w:t>
      </w:r>
      <w:r w:rsidRPr="007C5E7E">
        <w:rPr>
          <w:rFonts w:ascii="Times New Roman" w:hAnsi="Times New Roman" w:cs="Times New Roman"/>
          <w:sz w:val="24"/>
          <w:lang w:val="en-GB"/>
        </w:rPr>
        <w:t>)</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After the war, as the cities were increasingly inhabited by working women, and with the emergence of recorded jazz and other dance music, these women played an important role in the upcoming “social dance craze” that was not only taking place in dance parlours, but was also brought into the home (101-2). With the development of loudspeakers and jukeboxes, the phonograph also offered new modes of public consumption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{"citationID":"vruWldrp","properties":{"formattedCitation":"(Stowe 1996; Devine 2013)","plainCitation":"(Stowe 1996; Devine 2013)","dontUpdate":true,"noteIndex":0},"citationItems":[{"id":152,"uris":["http://zotero.org/users/4953069/items/BJW9C67Z"],"uri":["http://zotero.org/users/4953069/items/BJW9C67Z"],"itemData":{"id":152,"type":"book","title":"Swing Changes: Big-band Jazz in New Deal America","publisher":"Harvard University Press","publisher-place":"Cambridge, MA","number-of-pages":"340","source":"Google Books","event-place":"Cambridge, MA","abstract":"\"Although its musical roots extended back to the 1920s, swing seemed to many to come out of nowhere in 1935, inspiring a welter of conflicting descriptions and explanations. Stowe explores this history to suggest why the music of Goodman and Ellington caught so many unawares, and why it fired so many - and so many different - imaginations when it emerged in full force. He links the music to the politics of the time, to prevailing ideas about race relations, and to the complex culture industry that was evolving in the 1930s. At its commercial apex in the early 1940s, swing was readily adapted to World War II, and Stowe reveals how the music served the cause as a symbol of national unity, even as this service worked to undermine the utopian values swing expressed. He follows the failure of swing to keep its unlikely cultural coalition together and describes the subsequent attempts of bebop to pick up where the big band left off.","ISBN":"978-0-674-85826-8","note":"Google-Books-ID: W3QYRtA13o8C","shortTitle":"Swing Changes","language":"en","author":[{"family":"Stowe","given":"David W."}],"issued":{"date-parts":[["1996",9,30]]}}},{"id":196,"uris":["http://zotero.org/users/4953069/items/8EKPKRFG"],"uri":["http://zotero.org/users/4953069/items/8EKPKRFG"],"itemData":{"id":196,"type":"article-journal","title":"A mysterious music in the air: cultural origins of the loudspeaker","container-title":"Popular Music History","page":"5-28","volume":"8","issue":"1","ISSN":"1743-1646","shortTitle":"A mysterious music in the air","journalAbbreviation":"pomh","author":[{"family":"Devine","given":"Kyle"}],"issued":{"date-parts":[["2013"]]}}}],"schema":"https://github.com/citation-style-language/schema/raw/master/csl-citation.json"} </w:instrText>
      </w:r>
      <w:r>
        <w:rPr>
          <w:rFonts w:ascii="Times New Roman" w:hAnsi="Times New Roman" w:cs="Times New Roman"/>
          <w:sz w:val="24"/>
          <w:szCs w:val="24"/>
          <w:lang w:val="en-GB"/>
        </w:rPr>
        <w:fldChar w:fldCharType="separate"/>
      </w:r>
      <w:r w:rsidRPr="007C5E7E">
        <w:rPr>
          <w:rFonts w:ascii="Times New Roman" w:hAnsi="Times New Roman" w:cs="Times New Roman"/>
          <w:sz w:val="24"/>
          <w:lang w:val="en-GB"/>
        </w:rPr>
        <w:t>(Stowe 1996</w:t>
      </w:r>
      <w:r>
        <w:rPr>
          <w:rFonts w:ascii="Times New Roman" w:hAnsi="Times New Roman" w:cs="Times New Roman"/>
          <w:sz w:val="24"/>
          <w:lang w:val="en-GB"/>
        </w:rPr>
        <w:t>: 107-121</w:t>
      </w:r>
      <w:r w:rsidRPr="007C5E7E">
        <w:rPr>
          <w:rFonts w:ascii="Times New Roman" w:hAnsi="Times New Roman" w:cs="Times New Roman"/>
          <w:sz w:val="24"/>
          <w:lang w:val="en-GB"/>
        </w:rPr>
        <w:t>; Devine 2013)</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These developments have usually been described in jazz scholarship in terms of commercialization and the appropriation of African-American music. Although this is undoubtedly correct, these histories of listening </w:t>
      </w:r>
      <w:r>
        <w:rPr>
          <w:rFonts w:ascii="Times New Roman" w:hAnsi="Times New Roman" w:cs="Times New Roman"/>
          <w:sz w:val="24"/>
          <w:szCs w:val="24"/>
          <w:lang w:val="en-GB"/>
        </w:rPr>
        <w:lastRenderedPageBreak/>
        <w:t xml:space="preserve">suggest that, as Sterne writes, the history of phonography (and thus part of the history of jazz) is “at least as much about the changing home and working lives of the middle class as it is about corporate planning and experimentation.”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{"citationID":"AYSNSf9O","properties":{"formattedCitation":"(Sterne 2003)","plainCitation":"(Sterne 2003)","dontUpdate":true,"noteIndex":0},"citationItems":[{"id":329,"uris":["http://zotero.org/users/4953069/items/64G455WP"],"uri":["http://zotero.org/users/4953069/items/64G455WP"],"itemData":{"id":329,"type":"book","title":"The Audible Past: Cultural Origins of Sound Reproduction","publisher":"Duke University Press","publisher-place":"Durham","number-of-pages":"476","source":"Google Books","event-place":"Durham","abstract":"The Audible Past explores the cultural origins of sound reproduction. It describes a distinctive sound culture that gave birth to the sound recording and the transmission devices so ubiquitous in modern life. With an ear for the unexpected, scholar and musician Jonathan Sterne uses the technological and cultural precursors of telephony, phonography, and radio as an entry point into a history of sound in its own right. Sterne studies the constantly shifting boundary between phenomena organized as \"sound\" and \"not sound.\" In The Audible Past, this history crisscrosses the liminal regions between bodies and machines, originals and copies, nature and culture, and life and death. Blending cultural studies and the history of communication technology, Sterne follows modern sound technologies back through a historical labyrinth. Along the way, he encounters capitalists and inventors, musicians and philosophers, embalmers and grave robbers, doctors and patients, deaf children and their teachers, professionals and hobbyists, folklorists and tribal singers. The Audible Past tracks the connections between the history of sound and the defining features of modernity: from developments in medicine, physics, and philosophy to the tumultuous shifts of industrial capitalism, colonialism, urbanization, modern technology, and the rise of a new middle class.A provocative history of sound, The Audible Past challenges theoretical commonplaces such as the philosophical privilege of the speaking subject, the visual bias in theories of modernity, and static descriptions of nature. It will interest those in cultural studies, media and communication studies, the new musicology, and the history of technology.","ISBN":"978-0-8223-3013-4","note":"Google-Books-ID: xeh0Fhe9Y9wC","shortTitle":"The Audible Past","language":"en","author":[{"family":"Sterne","given":"Jonathan"}],"issued":{"date-parts":[["2003"]]}}}],"schema":"https://github.com/citation-style-language/schema/raw/master/csl-citation.json"} </w:instrText>
      </w:r>
      <w:r>
        <w:rPr>
          <w:rFonts w:ascii="Times New Roman" w:hAnsi="Times New Roman" w:cs="Times New Roman"/>
          <w:sz w:val="24"/>
          <w:szCs w:val="24"/>
          <w:lang w:val="en-GB"/>
        </w:rPr>
        <w:fldChar w:fldCharType="separate"/>
      </w:r>
      <w:r w:rsidRPr="007C5E7E">
        <w:rPr>
          <w:rFonts w:ascii="Times New Roman" w:hAnsi="Times New Roman" w:cs="Times New Roman"/>
          <w:sz w:val="24"/>
          <w:lang w:val="en-GB"/>
        </w:rPr>
        <w:t>(Sterne 2003</w:t>
      </w:r>
      <w:r>
        <w:rPr>
          <w:rFonts w:ascii="Times New Roman" w:hAnsi="Times New Roman" w:cs="Times New Roman"/>
          <w:sz w:val="24"/>
          <w:lang w:val="en-GB"/>
        </w:rPr>
        <w:t>: 197</w:t>
      </w:r>
      <w:r w:rsidRPr="007C5E7E">
        <w:rPr>
          <w:rFonts w:ascii="Times New Roman" w:hAnsi="Times New Roman" w:cs="Times New Roman"/>
          <w:sz w:val="24"/>
          <w:lang w:val="en-GB"/>
        </w:rPr>
        <w:t>)</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w:t>
      </w:r>
    </w:p>
    <w:p w14:paraId="0873BA98" w14:textId="52172EF5" w:rsidR="00996481" w:rsidRDefault="00996481" w:rsidP="00884FBC">
      <w:pPr>
        <w:spacing w:after="0" w:line="36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 xml:space="preserve">Other technological and material developments lead to other cultural practices of listening: Tom </w:t>
      </w:r>
      <w:proofErr w:type="spellStart"/>
      <w:r>
        <w:rPr>
          <w:rFonts w:ascii="Times New Roman" w:hAnsi="Times New Roman" w:cs="Times New Roman"/>
          <w:sz w:val="24"/>
          <w:szCs w:val="24"/>
          <w:lang w:val="en-GB"/>
        </w:rPr>
        <w:t>Perchard</w:t>
      </w:r>
      <w:proofErr w:type="spellEnd"/>
      <w:r>
        <w:rPr>
          <w:rFonts w:ascii="Times New Roman" w:hAnsi="Times New Roman" w:cs="Times New Roman"/>
          <w:sz w:val="24"/>
          <w:szCs w:val="24"/>
          <w:lang w:val="en-GB"/>
        </w:rPr>
        <w:t xml:space="preserve"> has recently described the visual and sonic role of jazz records as part of the “sensorium” of modernist interior design, and various scholars have investigated how the world wide web has created new forms of jazz community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{"citationID":"d6NLYAcn","properties":{"formattedCitation":"(Perchard 2017)","plainCitation":"(Perchard 2017)","noteIndex":0},"citationItems":[{"id":192,"uris":["http://zotero.org/users/4953069/items/VACK3XJR"],"uri":["http://zotero.org/users/4953069/items/VACK3XJR"],"itemData":{"id":192,"type":"article-journal","title":"Mid-century Modern Jazz: Music and Design in the Postwar Home","container-title":"Popular Music","page":"55-74","volume":"36","issue":"1","source":"Cambridge Core","abstract":"AbstractThis article takes an imagined, transnational living room as its setting, examining jazz's place in representations of the ‘modern’ middle-class home across the post-war West, and exploring the domestic uses that listeners both casual and committed made of the music in recorded form. In magazines as apparently diverse as Ideal Home in the UK and Playboy in the US, a certain kind of jazz helped mark a new middlebrow connoisseurship in the 1950s and 60s. Yet rather than simply locating the style in a historical sociology of taste, this piece attempts to describe jazz's role in what was an emergent middle-class sensorium. The music's sonic characteristics were frequently called upon to complement the newly sleek visual and tactile experiences – of furniture, fabrics, plastics, the light and space of modern domestic architecture – then coming to define the aspirational bourgeois home; an international modern visual aesthetic was reflected back in jazz album cover art. But to describe experience or ambience represents a challenge to historical method. As much as history proper, then, it's through a kind of experimental criticism of both music and visual culture that this piece attempts to capture the textures and moods that jazz brought to the postwar home.","DOI":"10.1017/S0261143016000672","ISSN":"0261-1430, 1474-0095","shortTitle":"Mid-century Modern Jazz","author":[{"family":"Perchard","given":"Tom"}],"issued":{"date-parts":[["2017",1]]}}}],"schema":"https://github.com/citation-style-language/schema/raw/master/csl-citation.json"} </w:instrText>
      </w:r>
      <w:r>
        <w:rPr>
          <w:rFonts w:ascii="Times New Roman" w:hAnsi="Times New Roman" w:cs="Times New Roman"/>
          <w:sz w:val="24"/>
          <w:szCs w:val="24"/>
          <w:lang w:val="en-GB"/>
        </w:rPr>
        <w:fldChar w:fldCharType="separate"/>
      </w:r>
      <w:r w:rsidRPr="007C5E7E">
        <w:rPr>
          <w:rFonts w:ascii="Times New Roman" w:hAnsi="Times New Roman" w:cs="Times New Roman"/>
          <w:sz w:val="24"/>
          <w:lang w:val="en-GB"/>
        </w:rPr>
        <w:t>(Perchard 2017)</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Further investigations of the histories and practices of listening that have shaped the jazz assemblage may reveal further actors in jazz history that have heretofore been neglected, as well as the conceptions of agency that are itself part of jazz history, uncovering the discourses and practices because of which these agencies have not yet been articulated. Moreover, the descriptions of these histories would not just historicize the jazz canon and show its contingency, but also indicate new ways of describing its history.</w:t>
      </w:r>
    </w:p>
    <w:p w14:paraId="1DF9CCBF" w14:textId="77777777" w:rsidR="00996481" w:rsidRDefault="00996481" w:rsidP="00884FBC">
      <w:pPr>
        <w:spacing w:after="0" w:line="360" w:lineRule="auto"/>
        <w:ind w:firstLine="709"/>
        <w:rPr>
          <w:rFonts w:ascii="Times New Roman" w:hAnsi="Times New Roman" w:cs="Times New Roman"/>
          <w:b/>
          <w:sz w:val="24"/>
          <w:szCs w:val="24"/>
          <w:lang w:val="en-GB"/>
        </w:rPr>
      </w:pPr>
    </w:p>
    <w:p w14:paraId="3E4B2E80" w14:textId="77777777" w:rsidR="00996481" w:rsidRPr="0050638A" w:rsidRDefault="00996481" w:rsidP="001C0296">
      <w:pPr>
        <w:spacing w:after="0" w:line="360" w:lineRule="auto"/>
        <w:rPr>
          <w:rFonts w:ascii="Times New Roman" w:hAnsi="Times New Roman" w:cs="Times New Roman"/>
          <w:b/>
          <w:sz w:val="24"/>
          <w:szCs w:val="24"/>
          <w:lang w:val="en-GB"/>
        </w:rPr>
      </w:pPr>
      <w:r>
        <w:rPr>
          <w:rFonts w:ascii="Times New Roman" w:hAnsi="Times New Roman" w:cs="Times New Roman"/>
          <w:b/>
          <w:sz w:val="24"/>
          <w:szCs w:val="24"/>
          <w:lang w:val="en-GB"/>
        </w:rPr>
        <w:t>The Materiality of Making Music Together</w:t>
      </w:r>
    </w:p>
    <w:p w14:paraId="6543C215" w14:textId="77777777" w:rsidR="00996481" w:rsidRDefault="00996481" w:rsidP="001C0296">
      <w:pPr>
        <w:spacing w:after="0" w:line="360" w:lineRule="auto"/>
        <w:rPr>
          <w:rFonts w:ascii="Times New Roman" w:hAnsi="Times New Roman" w:cs="Times New Roman"/>
          <w:sz w:val="24"/>
          <w:szCs w:val="24"/>
          <w:lang w:val="en-GB"/>
        </w:rPr>
      </w:pPr>
    </w:p>
    <w:p w14:paraId="035286EF" w14:textId="165DCDA6" w:rsidR="00996481" w:rsidRPr="0048532D" w:rsidRDefault="00996481" w:rsidP="000B4D47">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In the previous section I suggested that technological mediation is not external to jazz as a musical and cultural practice, but an integral part of it.  This implies the need for a reconsideration of the role that instruments and other objects and technologies play in jazz performance and particularly improvisation. Given the central importance of performance, creativity, and musical interaction in jazz studies since the 1990s, it is surprising that the role of instruments has not been a sustained area of investigation. This is not to say that instruments have been neglected. Certainly not: Ingrid Monson’s (1996) influential account of musical interaction was predicated on highlighting the role of the rhythm section instead of maintaining an exclusive focus on the improvising soloist, and there have been various studies of particular musicians that explicitly discuss their playing style in terms of instrumental technique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{"citationID":"lOOJ1dlv","properties":{"formattedCitation":"(M. Tucker 1985; Givan 2003; Givan 2009; Lash 2011)","plainCitation":"(M. Tucker 1985; Givan 2003; Givan 2009; Lash 2011)","dontUpdate":true,"noteIndex":0},"citationItems":[{"id":186,"uris":["http://zotero.org/users/4953069/items/RJZ8CDF6"],"uri":["http://zotero.org/users/4953069/items/RJZ8CDF6"],"itemData":{"id":186,"type":"article-journal","title":"Count Basie and the piano that swings the band","container-title":"Popular Music","page":"45-79","volume":"5","source":"Cambridge Core","abstract":"In late 1932, after a run of hard luck on tour – jobs that evaporated, buses that broke down, and money that ran out – the Kansas City orchestra of Bennie Moten headed for Camden, New Jersey to record for Victor. The session produced ten sides, among them a piece bearing the leader's name: ‘Moten Swing’. Guitarist and trombonist Eddie Durham had come up with the arrangement in Philadelphia not long before, constructing a series of brass and reed riffs over the chord changes of Walter Donaldson's hit song of 1930, ‘You're Driving Me Crazy’. The opening of ‘Moten Swing’ featured the band's pianist, William ‘Bill’ Basie.","DOI":"10.1017/S0261143000001926","ISSN":"1474-0095, 0261-1430","author":[{"family":"Tucker","given":"Mark"}],"issued":{"date-parts":[["1985",1]]}}},{"id":188,"uris":["http://zotero.org/users/4953069/items/Z2TNWT8B"],"uri":["http://zotero.org/users/4953069/items/Z2TNWT8B"],"itemData":{"id":188,"type":"chapter","title":"Django Reinhardt's Left Hand","container-title":"Jazz Planet","publisher":"University Press of Mississippi","publisher-place":"Jackson","page":"19-40","source":"Google Books","event-place":"Jackson","abstract":"!-- Jazz is typically characterized as a uniquely American form of artistic expression, and narratives of its history are almost always set within the United States.  Yet, from its inception, this art form exploded beyond national borders, becoming one of the first modern examples of a global music sensation. Jazz Planet collects essays that concentrate for the first time on jazz created outside the United States.  What happened when this phenomenon met with indigenous musical practices? What debates on cultural integrity did this \"American\" styling provoke in far-flung places? Did jazz's insistence on individual innovation and its posture as a music of the disadvantaged generate shakeups in national identity, aesthetic values, and public morality? Through new and previously published essays, Jazz Planet recounts the music's fascinating journeys to Asia, Europe, Africa, and Latin America.  What emerges is a concept of jazz as a harbinger of current globalization, a process that has engendered both hope for a more enlightened and tranquil future and resistance to the anticipated loss of national identity and sovereignty.  Essays in this collection describe the seldom-acknowledged contributions non-Americans have made to the art and explore the social and ideological crises jazz initiated around the globe. Was the rise of jazz in global prominence, they ask, simply a result of its inherent charm? Was it a vehicle for colonialism, Cold War politics, and emerging American hegemony?  Jazz Planet provokes readers to question the nationalistic bias of most jazz scholarship, and to expand the pantheon of great jazz artists to include innovative musicians who blazed independent paths. E. Taylor Atkins is an associate professor of history at Northern Illinois University and is the author of Blue Nippon: Authenticating Jazz in Japan, awarded the John W. Hall Prize of the Association of Asian Studies in 2003 as the best book on Northeast Asia. His work has appeared in such periodicals as Japanese Studies and East-West Connections: Review of Asian Studies.","ISBN":"978-1-57806-609-4","note":"Google-Books-ID: wiQJmCxVICcC","language":"en","editor":[{"family":"Atkins","given":"E. Taylor"}],"author":[{"family":"Givan","given":"Benjamin"}],"issued":{"date-parts":[["2003",11,1]]}}},{"id":189,"uris":["http://zotero.org/users/4953069/items/JV223MW4"],"uri":["http://zotero.org/users/4953069/items/JV223MW4"],"itemData":{"id":189,"type":"article-journal","title":"Thelonious Monk's Pianism","container-title":"The Journal of Musicology","page":"404-442","volume":"26","issue":"3","source":"jm.ucpress.edu","abstract":"Skip to Next Section\nThe jazz pianist Thelonious Monk's highly idiosyncratic instrumental technique has long been a topic of controversy. Examination of competing views sheds light on the circumstances under which Monk's detractors have accused him of incompetence, whereas his devotees have generally argued either that he was proficient in a conventional sense or that his pianistic imperfections were irrelevant to his music's intellectual content.\nNew perspectives on Monk's pianism may be sought through the analysis of concert films that document his playing in close detail. The films indicate that sometimes Monk intentionally created technical hurdles for himself in order to imbue his playing with a degree of expressive tension.","DOI":"10.1525/jm.2009.26.3.404","ISSN":"0277-9269, 1533-8347","language":"en","author":[{"family":"Givan","given":"Benjamin"}],"issued":{"date-parts":[["2009",7,1]]}}},{"id":185,"uris":["http://zotero.org/users/4953069/items/I4UIQ285"],"uri":["http://zotero.org/users/4953069/items/I4UIQ285"],"itemData":{"id":185,"type":"article-journal","title":"Derek Bailey's Practice/Practise","container-title":"Perspectives of New Music","page":"143-171","volume":"49","issue":"1","source":"JSTOR","DOI":"10.7757/persnewmusi.49.1.0143","ISSN":"0031-6016","author":[{"family":"Lash","given":"Dominic"}],"issued":{"date-parts":[["2011"]]}}}],"schema":"https://github.com/citation-style-language/schema/raw/master/csl-citation.json"} </w:instrText>
      </w:r>
      <w:r>
        <w:rPr>
          <w:rFonts w:ascii="Times New Roman" w:hAnsi="Times New Roman" w:cs="Times New Roman"/>
          <w:sz w:val="24"/>
          <w:szCs w:val="24"/>
          <w:lang w:val="en-GB"/>
        </w:rPr>
        <w:fldChar w:fldCharType="separate"/>
      </w:r>
      <w:r w:rsidRPr="006219AF">
        <w:rPr>
          <w:rFonts w:ascii="Times New Roman" w:hAnsi="Times New Roman" w:cs="Times New Roman"/>
          <w:sz w:val="24"/>
          <w:lang w:val="en-GB"/>
        </w:rPr>
        <w:t>(M. Tucker 1985; Givan 2003, 2009; Lash 2011)</w:t>
      </w:r>
      <w:r>
        <w:rPr>
          <w:rFonts w:ascii="Times New Roman" w:hAnsi="Times New Roman" w:cs="Times New Roman"/>
          <w:sz w:val="24"/>
          <w:szCs w:val="24"/>
          <w:lang w:val="en-GB"/>
        </w:rPr>
        <w:fldChar w:fldCharType="end"/>
      </w:r>
      <w:r w:rsidRPr="006219AF">
        <w:rPr>
          <w:rFonts w:ascii="Times New Roman" w:hAnsi="Times New Roman" w:cs="Times New Roman"/>
          <w:sz w:val="24"/>
          <w:szCs w:val="24"/>
          <w:lang w:val="en-GB"/>
        </w:rPr>
        <w:t xml:space="preserve">. </w:t>
      </w:r>
      <w:r w:rsidRPr="002C02F0">
        <w:rPr>
          <w:rFonts w:ascii="Times New Roman" w:hAnsi="Times New Roman" w:cs="Times New Roman"/>
          <w:sz w:val="24"/>
          <w:szCs w:val="24"/>
          <w:lang w:val="en-GB"/>
        </w:rPr>
        <w:t xml:space="preserve">Taking a slightly different approach, </w:t>
      </w:r>
      <w:proofErr w:type="spellStart"/>
      <w:r w:rsidRPr="002C02F0">
        <w:rPr>
          <w:rFonts w:ascii="Times New Roman" w:hAnsi="Times New Roman" w:cs="Times New Roman"/>
          <w:sz w:val="24"/>
          <w:szCs w:val="24"/>
          <w:lang w:val="en-GB"/>
        </w:rPr>
        <w:t>Krin</w:t>
      </w:r>
      <w:proofErr w:type="spellEnd"/>
      <w:r w:rsidRPr="002C02F0">
        <w:rPr>
          <w:rFonts w:ascii="Times New Roman" w:hAnsi="Times New Roman" w:cs="Times New Roman"/>
          <w:sz w:val="24"/>
          <w:szCs w:val="24"/>
          <w:lang w:val="en-GB"/>
        </w:rPr>
        <w:t xml:space="preserve"> </w:t>
      </w:r>
      <w:proofErr w:type="spellStart"/>
      <w:r w:rsidRPr="002C02F0">
        <w:rPr>
          <w:rFonts w:ascii="Times New Roman" w:hAnsi="Times New Roman" w:cs="Times New Roman"/>
          <w:sz w:val="24"/>
          <w:szCs w:val="24"/>
          <w:lang w:val="en-GB"/>
        </w:rPr>
        <w:t>Gabbard’s</w:t>
      </w:r>
      <w:proofErr w:type="spellEnd"/>
      <w:r w:rsidRPr="002C02F0">
        <w:rPr>
          <w:rFonts w:ascii="Times New Roman" w:hAnsi="Times New Roman" w:cs="Times New Roman"/>
          <w:sz w:val="24"/>
          <w:szCs w:val="24"/>
          <w:lang w:val="en-GB"/>
        </w:rPr>
        <w:t xml:space="preserve"> early work on jazz and visual culture included an essay on the phallic con</w:t>
      </w:r>
      <w:r>
        <w:rPr>
          <w:rFonts w:ascii="Times New Roman" w:hAnsi="Times New Roman" w:cs="Times New Roman"/>
          <w:sz w:val="24"/>
          <w:szCs w:val="24"/>
          <w:lang w:val="en-GB"/>
        </w:rPr>
        <w:t xml:space="preserve">notations of the trumpet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{"citationID":"cacxD9UL","properties":{"formattedCitation":"(Gabbard 1992)","plainCitation":"(Gabbard 1992)","noteIndex":0},"citationItems":[{"id":151,"uris":["http://zotero.org/users/4953069/items/PQQINMPH"],"uri":["http://zotero.org/users/4953069/items/PQQINMPH"],"itemData":{"id":151,"type":"article-journal","title":"Signifyin(g) the Phallus: \"Mo' Better Blues\" and Representations of the Jazz Trumpet","container-title":"Cinema Journal","page":"43-62","volume":"32","issue":"1","source":"JSTOR","DOI":"10.2307/1225861","ISSN":"0009-7101","shortTitle":"Signifyin(g) the Phallus","author":[{"family":"Gabbard","given":"Krin"}],"issued":{"date-parts":[["1992"]]}}}],"schema":"https://github.com/citation-style-language/schema/raw/master/csl-citation.json"} </w:instrText>
      </w:r>
      <w:r>
        <w:rPr>
          <w:rFonts w:ascii="Times New Roman" w:hAnsi="Times New Roman" w:cs="Times New Roman"/>
          <w:sz w:val="24"/>
          <w:szCs w:val="24"/>
          <w:lang w:val="en-GB"/>
        </w:rPr>
        <w:fldChar w:fldCharType="separate"/>
      </w:r>
      <w:r w:rsidRPr="002C02F0">
        <w:rPr>
          <w:rFonts w:ascii="Times New Roman" w:hAnsi="Times New Roman" w:cs="Times New Roman"/>
          <w:sz w:val="24"/>
          <w:lang w:val="en-GB"/>
        </w:rPr>
        <w:t>(Gabbard 1992)</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However, many descriptions of jazz improvisation and expression—such as metaphors of conversation, telling a story, or the concept of signifying—have been cast in terms of “orality”, which has been very important for addressing the interactive and processual quality of jazz as opposed to the traditional text-based approaches of music scholarship, but which does seem to dismiss the role of instruments and other forms of media and technology as a peripheral consideration, as it </w:t>
      </w:r>
      <w:r>
        <w:rPr>
          <w:rFonts w:ascii="Times New Roman" w:hAnsi="Times New Roman" w:cs="Times New Roman"/>
          <w:sz w:val="24"/>
          <w:szCs w:val="24"/>
          <w:lang w:val="en-GB"/>
        </w:rPr>
        <w:lastRenderedPageBreak/>
        <w:t xml:space="preserve">portrays expression in jazz as immediate (or mediated only by discourse—on this point see also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{"citationID":"0MUoXFvd","properties":{"formattedCitation":"(K. E. Prouty 2006; Cook 2007)","plainCitation":"(K. E. Prouty 2006; Cook 2007)","dontUpdate":true,"noteIndex":0},"citationItems":[{"id":126,"uris":["http://zotero.org/users/4953069/items/BZTB3JMD"],"uri":["http://zotero.org/users/4953069/items/BZTB3JMD"],"itemData":{"id":126,"type":"article-journal","title":"Orality, Literacy, and Mediating Musical Experience: Rethinking Oral Tradition in the Learning of Jazz Improvisation","container-title":"Popular Music and Society","page":"317-334","volume":"29","issue":"3","source":"Taylor and Francis+NEJM","abstract":"In this essay, I critically examine the place of oral tradition in the narrative of jazz history, as well as how and why assumptions about its development persist in the music's discourse. Specifically, I argue that the continued identification with oral tradition imparts to the jazz community a unique identity vis‐à‐vis other forms of Western music, which are often described as “written” traditions. Through a critical re‐reading of historical and contemporary texts, as well as from interviews with jazz musicians, I illustrate how certain musicians and critics position jazz as a cultural and musical system that departs significantly from the practices of the Western art music tradition, chiefly in relation to the latter's employment of written scores. Such an oppositional discourse positions jazz not only as a distinct stylistic entity, but indeed as a unique music culture in relation to Western forms, invoking binary oppositions such as “African/European” or “black/white” in laying claim to cultural authenticity. Finally, I propose that neither “oral” nor “written” can adequately describe the complex processes that have given jazz its unique character in both performance and pedagogy, and that reflect its history of assimilating and transforming myriad musical and cultural practices.","DOI":"10.1080/03007760600670372","ISSN":"0300-7766","shortTitle":"Orality, Literacy, and Mediating Musical Experience","author":[{"family":"Prouty","given":"Ken"}],"issued":{"date-parts":[["2006",7,1]]}}},{"id":270,"uris":["http://zotero.org/users/4953069/items/3UKQHWXP"],"uri":["http://zotero.org/users/4953069/items/3UKQHWXP"],"itemData":{"id":270,"type":"chapter","title":"Making Music Together: or, Improvisation and its Others","container-title":"Music, Performance, Meaning: Selected Essays","publisher":"Ashgate","publisher-place":"Aldershot","page":"321-341","event-place":"Aldershot","author":[{"family":"Cook","given":"Nicholas"}],"issued":{"date-parts":[["2007"]]}}}],"schema":"https://github.com/citation-style-language/schema/raw/master/csl-citation.json"} </w:instrText>
      </w:r>
      <w:r>
        <w:rPr>
          <w:rFonts w:ascii="Times New Roman" w:hAnsi="Times New Roman" w:cs="Times New Roman"/>
          <w:sz w:val="24"/>
          <w:szCs w:val="24"/>
          <w:lang w:val="en-GB"/>
        </w:rPr>
        <w:fldChar w:fldCharType="separate"/>
      </w:r>
      <w:r w:rsidRPr="000B4D47">
        <w:rPr>
          <w:rFonts w:ascii="Times New Roman" w:hAnsi="Times New Roman" w:cs="Times New Roman"/>
          <w:sz w:val="24"/>
          <w:lang w:val="en-GB"/>
        </w:rPr>
        <w:t>Prouty 2006; Cook 2007)</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Lydia </w:t>
      </w:r>
      <w:proofErr w:type="spellStart"/>
      <w:r>
        <w:rPr>
          <w:rFonts w:ascii="Times New Roman" w:hAnsi="Times New Roman" w:cs="Times New Roman"/>
          <w:sz w:val="24"/>
          <w:szCs w:val="24"/>
          <w:lang w:val="en-GB"/>
        </w:rPr>
        <w:t>Goehr’s</w:t>
      </w:r>
      <w:proofErr w:type="spellEnd"/>
      <w:r>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{"citationID":"XhobGKiW","properties":{"formattedCitation":"(Goehr 2016)","plainCitation":"(Goehr 2016)","dontUpdate":true,"noteIndex":0},"citationItems":[{"id":246,"uris":["http://zotero.org/users/4953069/items/NEJNEVTJ"],"uri":["http://zotero.org/users/4953069/items/NEJNEVTJ"],"itemData":{"id":246,"type":"article-journal","title":"Improvising Impromptu, Or, What to Do with a Broken String","container-title":"The Oxford Handbook of Critical Improvisation Studies, Volume 1","source":"www.oxfordhandbooks.com","abstract":"This chapter draws on an agonistic background of Apollonian contest, judgment, and punishment to articulate a concept of improvisation impromptu. This concept is distinguished from the more familiar concept of improvisation extempore. The two concepts are drawn apart as a contribution to a critical theory that regards our lives, practices, and concepts as constantly contested. The argument interweaves ancient and contemporary philosophical discussions of improvisation (from Quintilian and Castiliogne to Schlegel, Nietzsche, Freud, Ryle, and Derrida) with discussions of the cutting contests of jazz and rap, with the cutting edge, Werktreue or perfectly compliant performances of classical musicians, and the deathly cutting down of Karaoke singers in the Philippines. Special attention is given to the 1940 film of the Harlem Renaissance Broken Strings.","URL":"http://www.oxfordhandbooks.com/view/10.1093/oxfordhb/9780195370935.001.0001/oxfordhb-9780195370935-e-010","author":[{"family":"Goehr","given":"Lydia"}],"editor":[{"family":"Lewis","given":"George E."},{"family":"Piekut","given":"Benjamin"}],"issued":{"date-parts":[["2016"]]},"accessed":{"date-parts":[["2016",12,29]]}}}],"schema":"https://github.com/citation-style-language/schema/raw/master/csl-citation.json"} </w:instrText>
      </w:r>
      <w:r>
        <w:rPr>
          <w:rFonts w:ascii="Times New Roman" w:hAnsi="Times New Roman" w:cs="Times New Roman"/>
          <w:sz w:val="24"/>
          <w:szCs w:val="24"/>
          <w:lang w:val="en-GB"/>
        </w:rPr>
        <w:fldChar w:fldCharType="separate"/>
      </w:r>
      <w:r>
        <w:rPr>
          <w:rFonts w:ascii="Times New Roman" w:hAnsi="Times New Roman" w:cs="Times New Roman"/>
          <w:sz w:val="24"/>
          <w:lang w:val="en-GB"/>
        </w:rPr>
        <w:t>(</w:t>
      </w:r>
      <w:r w:rsidRPr="002233E9">
        <w:rPr>
          <w:rFonts w:ascii="Times New Roman" w:hAnsi="Times New Roman" w:cs="Times New Roman"/>
          <w:sz w:val="24"/>
          <w:lang w:val="en-GB"/>
        </w:rPr>
        <w:t>2016)</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discussion of how to respond to a sudden broken string indicates how objects can subvert common assumptions about the nature of improvisation. Rather than an understanding of improvisation as intangible and immaterial, we might reconsider it in terms of what Claude Lévi-Strauss calls “bricolage”, a way of making do with whatever is at hand to achieve present needs (as opposed to the careful planning involved in “engineering”</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{"citationID":"ouJzj8oB","properties":{"formattedCitation":"{\\rtf (L\\uc0\\u233{}vi-strauss 1966)}","plainCitation":"(Lévi-strauss 1966)","dontUpdate":true,"noteIndex":0},"citationItems":[{"id":124,"uris":["http://zotero.org/users/4953069/items/TS69B6ZV"],"uri":["http://zotero.org/users/4953069/items/TS69B6ZV"],"itemData":{"id":124,"type":"book","title":"The Savage Mind","publisher":"University of Chicago Press","publisher-place":"Chicago","number-of-pages":"314","source":"Google Books","event-place":"Chicago","abstract":"\"Every word, like a sacred object, has its place. No précis is possible. This extraordinary book must be read.\"—Edmund Carpenter, New York Times Book Review  \"No outline is possible; I can only say that reading this book is a most exciting intellectual exercise in which dialectic, wit, and imagination combine to stimulate and provoke at every page.\"—Edmund Leach, Man  \"Lévi-Strauss's books are tough: very scholarly, very dense, very rapid in argument. But once you have mastered him, human history can never be the same, nor indeed can one's view of contemporary society. And his latest book, The Savage Mind, is his most comprehensive and certainly his most profound. Everyone interested in the history of ideas must read it; everyone interested in human institutions should read it.\"—J. H. Plumb, Saturday Review  \"A constantly stimulating, informative and suggestive intellectual challenge.\"—Geoffrey Gorer, The Observer, London","ISBN":"978-0-226-47484-7","note":"Google-Books-ID: JI6GVFbP9hAC","language":"en","author":[{"family":"Lévi-Strauss","given":"Claude"}],"issued":{"date-parts":[["1966"]]}}}],"schema":"https://github.com/citation-style-language/schema/raw/master/csl-citation.json"} </w:instrText>
      </w:r>
      <w:r>
        <w:rPr>
          <w:rFonts w:ascii="Times New Roman" w:hAnsi="Times New Roman" w:cs="Times New Roman"/>
          <w:sz w:val="24"/>
          <w:szCs w:val="24"/>
          <w:lang w:val="en-GB"/>
        </w:rPr>
        <w:fldChar w:fldCharType="separate"/>
      </w:r>
      <w:r>
        <w:rPr>
          <w:rFonts w:ascii="Times New Roman" w:hAnsi="Times New Roman" w:cs="Times New Roman"/>
          <w:sz w:val="24"/>
          <w:szCs w:val="24"/>
          <w:lang w:val="en-GB"/>
        </w:rPr>
        <w:t>, Lévi-S</w:t>
      </w:r>
      <w:r w:rsidRPr="0048532D">
        <w:rPr>
          <w:rFonts w:ascii="Times New Roman" w:hAnsi="Times New Roman" w:cs="Times New Roman"/>
          <w:sz w:val="24"/>
          <w:szCs w:val="24"/>
          <w:lang w:val="en-GB"/>
        </w:rPr>
        <w:t>trauss 1966)</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w:t>
      </w:r>
    </w:p>
    <w:p w14:paraId="575D4C1F" w14:textId="1CDD377F" w:rsidR="00996481" w:rsidRDefault="00996481" w:rsidP="001F6537">
      <w:pPr>
        <w:spacing w:after="0" w:line="36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 xml:space="preserve">The point made in the previous section, about the “multiple mediation” that forms the basis of music’s existence, applies here with equal force. Emily Dolan nicely captures the challenge to traditional understandings of music when she questions the notion that “music’s medium is sound”, comparing it to the statement that the medium of painting or cinema is light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{"citationID":"Q2WaOiFu","properties":{"formattedCitation":"(Dolan 2012)","plainCitation":"(Dolan 2012)","dontUpdate":true,"noteIndex":0},"citationItems":[{"id":551,"uris":["http://zotero.org/users/4953069/items/EFQDMMMK"],"uri":["http://zotero.org/users/4953069/items/EFQDMMMK"],"itemData":{"id":551,"type":"article-journal","title":"Toward a Musicology of Interfaces","container-title":"Keyboard Perspectives","page":"1-12","volume":"5","author":[{"family":"Dolan","given":"Emily"}],"issued":{"date-parts":[["2012"]]}}}],"schema":"https://github.com/citation-style-language/schema/raw/master/csl-citation.json"} </w:instrText>
      </w:r>
      <w:r>
        <w:rPr>
          <w:rFonts w:ascii="Times New Roman" w:hAnsi="Times New Roman" w:cs="Times New Roman"/>
          <w:sz w:val="24"/>
          <w:szCs w:val="24"/>
          <w:lang w:val="en-GB"/>
        </w:rPr>
        <w:fldChar w:fldCharType="separate"/>
      </w:r>
      <w:r w:rsidRPr="002C02F0">
        <w:rPr>
          <w:rFonts w:ascii="Times New Roman" w:hAnsi="Times New Roman" w:cs="Times New Roman"/>
          <w:sz w:val="24"/>
          <w:lang w:val="en-GB"/>
        </w:rPr>
        <w:t>(Dolan 2012</w:t>
      </w:r>
      <w:r>
        <w:rPr>
          <w:rFonts w:ascii="Times New Roman" w:hAnsi="Times New Roman" w:cs="Times New Roman"/>
          <w:sz w:val="24"/>
          <w:lang w:val="en-GB"/>
        </w:rPr>
        <w:t>: 2-3</w:t>
      </w:r>
      <w:r w:rsidRPr="002C02F0">
        <w:rPr>
          <w:rFonts w:ascii="Times New Roman" w:hAnsi="Times New Roman" w:cs="Times New Roman"/>
          <w:sz w:val="24"/>
          <w:lang w:val="en-GB"/>
        </w:rPr>
        <w:t>)</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Dolan is one of the proponents of a nascent “new organology”, which is developing ways in which music scholarship might take the role of instruments more seriously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{"citationID":"ckKpuNQw","properties":{"formattedCitation":"(Tresch and Dolan 2013)","plainCitation":"(Tresch and Dolan 2013)","noteIndex":0},"citationItems":[{"id":550,"uris":["http://zotero.org/users/4953069/items/DSRNGV8C"],"uri":["http://zotero.org/users/4953069/items/DSRNGV8C"],"itemData":{"id":550,"type":"article-journal","title":"Toward a New Organology: Instruments of Music and Science","container-title":"Osiris","page":"278-298","volume":"28","issue":"1","source":"JSTOR","abstract":"AbstractThe Renaissance genre of organological treatises inventoried the forms and functions of musical instruments. This article proposes an update and expansion of the organological tradition, examining the discourses and practices surrounding both musical and scientific instruments. Drawing on examples from many periods and genres, we aim to capture instruments’ diverse ways of life. To that end we propose and describe a comparative “ethics of instruments”: an analysis of instruments’ material configurations, social and institutional locations, degrees of freedom, and teleologies. This perspective makes it possible to trace the intersecting and at times divergent histories of science and music: their shared material practices, aesthetic commitments, and attitudes toward technology, as well as their impact on understandings of human agency and the order of nature.","DOI":"10.1086/671381","ISSN":"0369-7827","shortTitle":"Toward a New Organology","journalAbbreviation":"Osiris","author":[{"family":"Tresch","given":"John"},{"family":"Dolan","given":"Emily"}],"issued":{"date-parts":[["2013"]]}}}],"schema":"https://github.com/citation-style-language/schema/raw/master/csl-citation.json"} </w:instrText>
      </w:r>
      <w:r>
        <w:rPr>
          <w:rFonts w:ascii="Times New Roman" w:hAnsi="Times New Roman" w:cs="Times New Roman"/>
          <w:sz w:val="24"/>
          <w:szCs w:val="24"/>
          <w:lang w:val="en-GB"/>
        </w:rPr>
        <w:fldChar w:fldCharType="separate"/>
      </w:r>
      <w:r w:rsidRPr="00B60553">
        <w:rPr>
          <w:rFonts w:ascii="Times New Roman" w:hAnsi="Times New Roman" w:cs="Times New Roman"/>
          <w:sz w:val="24"/>
          <w:lang w:val="en-GB"/>
        </w:rPr>
        <w:t>(Tresch and Dolan 2013)</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There is of course a longer tradition of studying musical instruments from an ethnomusicological point of view, examining how they disseminate musical knowledge and traditions, and discipline musicians’ bodies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{"citationID":"Hu7klLP0","properties":{"formattedCitation":"(Merriam 1964; P. Berliner 1978; Baily 1995; Dawe 1996; Dawe 2001; Doubleday 1999; Qureshi 2000; Waksman 2001; Pinch and Trocco 2002)","plainCitation":"(Merriam 1964; P. Berliner 1978; Baily 1995; Dawe 1996; Dawe 2001; Doubleday 1999; Qureshi 2000; Waksman 2001; Pinch and Trocco 2002)","dontUpdate":true,"noteIndex":0},"citationItems":[{"id":184,"uris":["http://zotero.org/users/4953069/items/RS9HS7K5"],"uri":["http://zotero.org/users/4953069/items/RS9HS7K5"],"itemData":{"id":184,"type":"book","title":"The Anthropology of Music","publisher":"Northwestern University Press","publisher-place":"Evanston","number-of-pages":"380","source":"Google Books","event-place":"Evanston","abstract":"In this highly praised and seminal work, Alan Merriam demonstrates that music is a social behavior—one worthy and available to study through the methods of anthropology. In it, he convincingly argues that ethnomusicology, by definition, cannot separate the sound-analysis of music from its cultural context of people thinking, acting, and creating.  The study begins with a review of the various approaches in ethnomusicology. He then suggests a useful and simple research model: ideas about music lead to behavior related to music and this behavior results in musical sound. He explains many aspects and outcomes of this model, and the methods and techniques he suggests are useful to anyone doing field work. Further chapters provide a cross-cultural round-up of concepts about music, physical and verbal behavior related to music, the role of the musician, and the learning and composing of music.  The Anthropology of Music illuminates much of interest to musicologists but to social scientists in general as well.","ISBN":"978-0-8101-0607-9","note":"Google-Books-ID: 4bUAFf8CWosC","language":"en","author":[{"family":"Merriam","given":"Alan P."}],"issued":{"date-parts":[["1964",12,1]]}}},{"id":179,"uris":["http://zotero.org/users/4953069/items/T4CSMHB7"],"uri":["http://zotero.org/users/4953069/items/T4CSMHB7"],"itemData":{"id":179,"type":"book","title":"The Soul of Mbira: Music and Traditions of the Shona People of Zimbabwe","publisher":"University of Chicago Press","publisher-place":"Chicago","number-of-pages":"370","source":"Google Books","event-place":"Chicago","abstract":"This sensitive, scholarly portrayal of Shona musicians and the African Musical tradition is highly engaging and comprehensive in its range of data. Paul Berliner provides the complete cultural context for the music and an intimate, precise account of the meaning of the instrument and its music.  \"Paul Berliner's The Soul of Mbira is probably the best ethnography ever written about an African musical tradition. It is a complete classic . . . . I know of no other instrument with the range of the mbira, and the book is equal to the instrument.\"—John Chernoff  \"[The Soul of Mbira] illustrates the fact that Shona mbira music in its beauty, subtlety, and virtuosity demands the same kind of respect that we might hold for any other classical music.\"—David Reck, Parabola  \"The book is a model of ethnomusicological thinking and investigation and it suggests a specific way of approaching a complex socio-musical system.\"—John Baily, Popular Music  \"When next someone asks 'What is ethnomusicology?' or 'What do ethnomusicologists do?' I shall suggest this book. . . . This is a landmark in ethnomusicological literature. Berliner succeeds in conveying both the joy that goes with mbira playing and the mystic relationship between the player and his instrument. In short, this is humanized ethnomusicology.\"—K.A. Gourlay, Ethnomusicology","ISBN":"978-0-226-04379-1","note":"Google-Books-ID: ag_85hJI9aMC","shortTitle":"The Soul of Mbira","language":"en","author":[{"family":"Berliner","given":"Paul"}],"issued":{"date-parts":[["1978"]]}}},{"id":178,"uris":["http://zotero.org/users/4953069/items/APP2X4DE"],"uri":["http://zotero.org/users/4953069/items/APP2X4DE"],"itemData":{"id":178,"type":"article-journal","title":"Music and the Body","container-title":"The World of Music","page":"11-30","volume":"37","issue":"2","source":"JSTOR","abstract":"This paper describes a project conducted with John Blacking in 1973-74 on the inter-relationships between instrument morphology, human movement, and music structure for the 14 stringed Herati dutār, a new form of long-necked lute in western Afghanistan. The research combined Blacking's interest in the relationship between a musical instrument and the human body with Baily's training in human movement and sensori-motor coordination. The results showed how the structural and operational characteristics of the human sensori-motor system may become embedded in musical structures.","ISSN":"0043-8774","author":[{"family":"Baily","given":"John"}],"issued":{"date-parts":[["1995"]]}}},{"id":182,"uris":["http://zotero.org/users/4953069/items/6V9T6D6M"],"uri":["http://zotero.org/users/4953069/items/6V9T6D6M"],"itemData":{"id":182,"type":"article-journal","title":"The Engendered lyra: Music, Poetry and Manhood in Crete","container-title":"British Journal of Ethnomusicology","page":"93-112","volume":"5","source":"JSTOR","abstract":"The lyra-laouto ensemble is the most popular and enduring musical tradition in Crete. It is an almost exclusively male profession and pastime and as such embodies a complex synthesis of engendered values. Aspects of musical performance contradict the seemingly monolithic manhood ideals that inform it, revealing its role as a site of intense boundary negotiation.","ISSN":"0968-1221","shortTitle":"The Engendered lyra","author":[{"family":"Dawe","given":"Kevin"}],"issued":{"date-parts":[["1996"]]}}},{"id":183,"uris":["http://zotero.org/users/4953069/items/6IDU95KI"],"uri":["http://zotero.org/users/4953069/items/6IDU95KI"],"itemData":{"id":183,"type":"article-journal","title":"People, Objects, Meaning: Recent Work on the Study and Collection of Musical Instruments","container-title":"The Galpin Society Journal","page":"219-232","volume":"54","source":"JSTOR","DOI":"10.2307/842454","ISSN":"0072-0127","shortTitle":"People, Objects, Meaning","author":[{"family":"Dawe","given":"Kevin"}],"issued":{"date-parts":[["2001"]]}}},{"id":177,"uris":["http://zotero.org/users/4953069/items/WRXD5X9F"],"uri":["http://zotero.org/users/4953069/items/WRXD5X9F"],"itemData":{"id":177,"type":"article-journal","title":"The Frame Drum in the Middle East: Women, Musical Instruments and Power","container-title":"Ethnomusicology","page":"101-134","volume":"43","issue":"1","source":"JSTOR","DOI":"10.2307/852696","ISSN":"0014-1836","shortTitle":"The Frame Drum in the Middle East","author":[{"family":"Doubleday","given":"Veronica"}],"issued":{"date-parts":[["1999"]]}}},{"id":180,"uris":["http://zotero.org/users/4953069/items/8G3RICBP"],"uri":["http://zotero.org/users/4953069/items/8G3RICBP"],"itemData":{"id":180,"type":"article-journal","title":"How Does Music Mean? Embodied Memories and the Politics of Affect in the Indian \"sarangi\"","container-title":"American Ethnologist","page":"805-838","volume":"27","issue":"4","source":"JSTOR","abstract":"In this article, I bring the multidimensional sensory medium of music into the anthropological conversation on meaning and embodiment. Based on a study of the sarangi that is frankly experiential as well as broadly referenced (India, Pakistan, North America), I explore how an instrument can become an icon of intense affect and performance contexts privileged sites for enacting and contesting cultural memories in the face of hegemonic resignification across India's political transformation from feudal-colonial to urban-bourgeois dominance. [meaning, embodiment, affect, memory, performance, ethnography, ethnomusicology, India, Pakistan, sarangi, music, instrument, nautch]","ISSN":"0094-0496","shortTitle":"How Does Music Mean?","author":[{"family":"Qureshi","given":"Regula"}],"issued":{"date-parts":[["2000"]]}}},{"id":176,"uris":["http://zotero.org/users/4953069/items/C966U5M4"],"uri":["http://zotero.org/users/4953069/items/C966U5M4"],"itemData":{"id":176,"type":"book","title":"Instruments of Desire: The Electric Guitar and the Shaping of Musical Experience","publisher":"Harvard University Press","number-of-pages":"388","source":"Google Books","abstract":"Around 1930, a group of guitar designers in Southern California fitted instruments with an electromagnetic device called a pickup--and forever changed the face of popular music. Taken up by musicians as diverse as Les Paul, Muddy Waters, Jimi Hendrix, and the MC5, the electric guitar would become not just a conduit of electrifying new sounds but also a symbol of energy, innovation, and desire in the music of the day. Instruments of Desire is the first full account of the historical and cultural significance of the electric guitar, a wide-ranging exploration of how and why the instrument has had such broad musical and cultural impact.Instruments of Desire ranges across the history of the electric guitar by focusing on key performers who have shaped the use and meaning of the instrument: Charlie Christian, Les Paul, Chet Atkins, Muddy Waters, Chuck Berry, Jimi Hendrix, the MC5, and Led Zeppelin. The book traces two competing ideals for the sound of the instrument: one, focusing on tonal purity, has been favored by musicians seeking to integrate the electric guitar into the existing conventions of pop music; the other, centering on timbral distortion, has been used to challenge popular notions of \"acceptable\" and \"unacceptable\" noise. Instruments of Desire reveals how these different approaches to sound also entail different ideas about the place of the body in musical performance, the ways in which music articulates racialized and gendered identities, and the position of popular music in American social and political life.","ISBN":"978-0-674-00547-1","shortTitle":"Instruments of Desire","language":"en","author":[{"family":"Waksman","given":"Steve"}],"issued":{"date-parts":[["2001"]]}}},{"id":150,"uris":["http://zotero.org/users/4953069/items/ERBMX5RN"],"uri":["http://zotero.org/users/4953069/items/ERBMX5RN"],"itemData":{"id":150,"type":"book","title":"Analog Days: The invention and impact of the Moog Synthesizer","publisher":"Harvard University Press","publisher-place":"Cambridge, MA","event-place":"Cambridge, MA","author":[{"family":"Pinch","given":"Trevor"},{"family":"Trocco","given":"Frank"}],"issued":{"date-parts":[["2002"]]}}}],"schema":"https://github.com/citation-style-language/schema/raw/master/csl-citation.json"} </w:instrText>
      </w:r>
      <w:r>
        <w:rPr>
          <w:rFonts w:ascii="Times New Roman" w:hAnsi="Times New Roman" w:cs="Times New Roman"/>
          <w:sz w:val="24"/>
          <w:szCs w:val="24"/>
          <w:lang w:val="en-GB"/>
        </w:rPr>
        <w:fldChar w:fldCharType="separate"/>
      </w:r>
      <w:r>
        <w:rPr>
          <w:rFonts w:ascii="Times New Roman" w:hAnsi="Times New Roman" w:cs="Times New Roman"/>
          <w:sz w:val="24"/>
          <w:lang w:val="en-GB"/>
        </w:rPr>
        <w:t xml:space="preserve">(Merriam 1964; </w:t>
      </w:r>
      <w:r w:rsidRPr="002C02F0">
        <w:rPr>
          <w:rFonts w:ascii="Times New Roman" w:hAnsi="Times New Roman" w:cs="Times New Roman"/>
          <w:sz w:val="24"/>
          <w:lang w:val="en-GB"/>
        </w:rPr>
        <w:t>Berliner 19</w:t>
      </w:r>
      <w:r>
        <w:rPr>
          <w:rFonts w:ascii="Times New Roman" w:hAnsi="Times New Roman" w:cs="Times New Roman"/>
          <w:sz w:val="24"/>
          <w:lang w:val="en-GB"/>
        </w:rPr>
        <w:t xml:space="preserve">78; Baily 1995; Dawe 1996, </w:t>
      </w:r>
      <w:r w:rsidRPr="002C02F0">
        <w:rPr>
          <w:rFonts w:ascii="Times New Roman" w:hAnsi="Times New Roman" w:cs="Times New Roman"/>
          <w:sz w:val="24"/>
          <w:lang w:val="en-GB"/>
        </w:rPr>
        <w:t xml:space="preserve">2001; Doubleday 1999; Qureshi 2000; Waksman 2001; </w:t>
      </w:r>
      <w:r>
        <w:rPr>
          <w:rFonts w:ascii="Times New Roman" w:hAnsi="Times New Roman" w:cs="Times New Roman"/>
          <w:sz w:val="24"/>
          <w:lang w:val="en-GB"/>
        </w:rPr>
        <w:t xml:space="preserve">see also </w:t>
      </w:r>
      <w:r w:rsidRPr="002C02F0">
        <w:rPr>
          <w:rFonts w:ascii="Times New Roman" w:hAnsi="Times New Roman" w:cs="Times New Roman"/>
          <w:sz w:val="24"/>
          <w:lang w:val="en-GB"/>
        </w:rPr>
        <w:t>Pinch and Trocco 2002</w:t>
      </w:r>
      <w:r>
        <w:rPr>
          <w:rFonts w:ascii="Times New Roman" w:hAnsi="Times New Roman" w:cs="Times New Roman"/>
          <w:sz w:val="24"/>
          <w:lang w:val="en-GB"/>
        </w:rPr>
        <w:t xml:space="preserve"> for a perspective from technology studies</w:t>
      </w:r>
      <w:r w:rsidRPr="002C02F0">
        <w:rPr>
          <w:rFonts w:ascii="Times New Roman" w:hAnsi="Times New Roman" w:cs="Times New Roman"/>
          <w:sz w:val="24"/>
          <w:lang w:val="en-GB"/>
        </w:rPr>
        <w:t>)</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More recently, however, various scholars have more ambitiously suggested that the study of musical instruments might reconfigure our understanding of musical knowledge, analysis, performance, history, ethnography, and ontology more generally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{"citationID":"s8vPWOeX","properties":{"formattedCitation":"(Bates 2012; Roda 2014; Moseley 2016; Rehding 2016)","plainCitation":"(Bates 2012; Roda 2014; Moseley 2016; Rehding 2016)","noteIndex":0},"citationItems":[{"id":148,"uris":["http://zotero.org/users/4953069/items/QB9RJ83J"],"uri":["http://zotero.org/users/4953069/items/QB9RJ83J"],"itemData":{"id":148,"type":"article-journal","title":"The Social Life of Musical Instruments","container-title":"Ethnomusicology","page":"363-395","volume":"56","issue":"3","source":"JSTOR","DOI":"10.5406/ethnomusicology.56.3.0363","ISSN":"0014-1836","author":[{"family":"Bates","given":"Eliot"}],"issued":{"date-parts":[["2012"]]}}},{"id":291,"uris":["http://zotero.org/users/4953069/items/E455GZ2J"],"uri":["http://zotero.org/users/4953069/items/E455GZ2J"],"itemData":{"id":291,"type":"article-journal","title":"Tabla Tuning on the Workshop Stage: Toward a Materialist Musical Ethnography","container-title":"Ethnomusicology Forum","page":"360-382","volume":"23","issue":"3","source":"Taylor and Francis+NEJM","abstract":"Focusing on the climactic moment when a customer comes to the shop to collect his or her drum, this article describes the fine-tuning of tabla in great detail. In the process, the paper addresses the dexterous manual gestures and acts of diagnostic audition performed by tabla makers, relationships between players and makers, as well as the interconnection between material and interpersonal constraints that influence fine-tuning. This musical ethnography of tabla tuning is grounded in a methodology based on new materialist scholarship such as object-oriented ontology and actor network theory. It advocates for greater acknowledgement of the ways in which instruments influence musical practices as well as the musical contributions of instrument makers, and it demonstrates the practical application of materialist scholarship to the study of musical practices.","DOI":"10.1080/17411912.2014.919871","ISSN":"1741-1912","shortTitle":"Tabla Tuning on the Workshop Stage","author":[{"family":"Roda","given":"P. Allen"}],"issued":{"date-parts":[["2014",9,2]]}}},{"id":384,"uris":["http://zotero.org/users/4953069/items/FJ5BSE2S"],"uri":["http://zotero.org/users/4953069/items/FJ5BSE2S"],"itemData":{"id":384,"type":"book","title":"Keys to Play: Music as a Ludic Medium from Apollo to Nintendo","publisher":"University of California Press","publisher-place":"Berkeley","number-of-pages":"486","source":"Google Books","event-place":"Berkeley","abstract":"At publication date, a free ebook version of this title will be available through Luminos, University of California Press's open access publishing program for monographs. Visit www.luminosoa.org to learn more.  How do keyboards make music playable? Drawing on theories of media, systems, and cultural techniques, Keys to Play spans Greek myth and contemporary Japanese digital games to chart a genealogy of musical play and its animation via improvisation, performance, and recreation. As a paradigmatic digital interface, the keyboard forms a field of play on which the book's diverse objects of inquiry--from clavichords to PCs and eighteenth-century musical dice games to the latest rhythm-action titles--enter into analogical relations. Remapping the keyboard's topography by way of Mozart and Super Mario, who head an expansive cast of historical and virtual actors, Keys to Play invites readers to unlock ludic dimensions of music that are at once old and new.","ISBN":"978-0-520-29124-9","note":"Google-Books-ID: C1b_jwEACAAJ","shortTitle":"Keys to Play","language":"en","author":[{"family":"Moseley","given":"Roger"}],"issued":{"date-parts":[["2016"]]}}},{"id":175,"uris":["http://zotero.org/users/4953069/items/GAJXCS2P"],"uri":["http://zotero.org/users/4953069/items/GAJXCS2P"],"itemData":{"id":175,"type":"article-journal","title":"Instruments of Music Theory","container-title":"Music Theory Online","volume":"22","issue":"4","source":"mtosmt.org","URL":"http://mtosmt.org/issues/mto.16.22.4/mto.16.22.4.rehding.html","author":[{"family":"Rehding","given":"Alexander"}],"issued":{"date-parts":[["2016",12,1]]},"accessed":{"date-parts":[["2017",2,3]]}}}],"schema":"https://github.com/citation-style-language/schema/raw/master/csl-citation.json"} </w:instrText>
      </w:r>
      <w:r>
        <w:rPr>
          <w:rFonts w:ascii="Times New Roman" w:hAnsi="Times New Roman" w:cs="Times New Roman"/>
          <w:sz w:val="24"/>
          <w:szCs w:val="24"/>
          <w:lang w:val="en-GB"/>
        </w:rPr>
        <w:fldChar w:fldCharType="separate"/>
      </w:r>
      <w:r w:rsidRPr="00B60553">
        <w:rPr>
          <w:rFonts w:ascii="Times New Roman" w:hAnsi="Times New Roman" w:cs="Times New Roman"/>
          <w:sz w:val="24"/>
          <w:lang w:val="en-GB"/>
        </w:rPr>
        <w:t>(Bates 2012; Roda 2014; Moseley 2016; Rehding 2016)</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w:t>
      </w:r>
    </w:p>
    <w:p w14:paraId="2EB5261F" w14:textId="3559AF41" w:rsidR="00996481" w:rsidRDefault="00996481" w:rsidP="001F6537">
      <w:pPr>
        <w:spacing w:after="0" w:line="36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 xml:space="preserve">If agency is defined as the ability to act, then instruments clearly have significant influence on the musician’s agency. Instruments are not just “tools” for achieving given ends; as Aden Evens points out: “they do not serve an interest that could have pre-existed them.”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{"citationID":"67Ax7bPl","properties":{"formattedCitation":"(Evens 2005)","plainCitation":"(Evens 2005)","dontUpdate":true,"noteIndex":0},"citationItems":[{"id":174,"uris":["http://zotero.org/users/4953069/items/RDTUH8C2"],"uri":["http://zotero.org/users/4953069/items/RDTUH8C2"],"itemData":{"id":174,"type":"book","title":"Sound Ideas: Music, Machines, And Experience","publisher":"University of Minnesota Press","number-of-pages":"225","source":"Google Books","abstract":"As people from record collectors to file swappers know, the experience of music - making it, marketing it, listening to it - relies heavily on technology. From the viola that amplifies the vibrations of a string to the CD player that turns digital bits into varying voltage, music and technology are deeply intertwined. What was gained - or lost - when compact discs replaced vinyl as the mass-market medium? What unique creative input does the musician bring to the music, and what contribution is made by the instrument? Do digital synthesizers offer unlimited range of sonic potential, or do their push-button interfaces and acoustical models lead to cookie-cutter productions? Through this interrogation of sound and technology, Aden Evens provides an acute consideration of how music becomes sensible, advancing original variations on the themes of creativity and habit, analog and digital technologies, and improvisation and repetition. Evens elegantly and forcefully dissects the paradoxes of digital culture and reveals how technology has profound implications for the phenomenology of art. Sound Ideas reinvents the philosophy of music in a way that encompasses traditional aspects of musicology, avant-garde explorations of music's relation to noise and silence, and the consequences of digitization.","ISBN":"978-0-8166-4536-7","note":"Google-Books-ID: m5iNeVkvR1EC","shortTitle":"Sound Ideas","language":"en","author":[{"family":"Evens","given":"Aden"}],"issued":{"date-parts":[["2005"]]}}}],"schema":"https://github.com/citation-style-language/schema/raw/master/csl-citation.json"} </w:instrText>
      </w:r>
      <w:r>
        <w:rPr>
          <w:rFonts w:ascii="Times New Roman" w:hAnsi="Times New Roman" w:cs="Times New Roman"/>
          <w:sz w:val="24"/>
          <w:szCs w:val="24"/>
          <w:lang w:val="en-GB"/>
        </w:rPr>
        <w:fldChar w:fldCharType="separate"/>
      </w:r>
      <w:r w:rsidRPr="0041260A">
        <w:rPr>
          <w:rFonts w:ascii="Times New Roman" w:hAnsi="Times New Roman" w:cs="Times New Roman"/>
          <w:sz w:val="24"/>
          <w:lang w:val="en-GB"/>
        </w:rPr>
        <w:t>(Evens 2005</w:t>
      </w:r>
      <w:r>
        <w:rPr>
          <w:rFonts w:ascii="Times New Roman" w:hAnsi="Times New Roman" w:cs="Times New Roman"/>
          <w:sz w:val="24"/>
          <w:lang w:val="en-GB"/>
        </w:rPr>
        <w:t>: 129</w:t>
      </w:r>
      <w:r w:rsidRPr="0041260A">
        <w:rPr>
          <w:rFonts w:ascii="Times New Roman" w:hAnsi="Times New Roman" w:cs="Times New Roman"/>
          <w:sz w:val="24"/>
          <w:lang w:val="en-GB"/>
        </w:rPr>
        <w:t>)</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By themselves, however, they are strikingly “unmusical” and require a musician to become musical instruments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{"citationID":"ZeL8POS1","properties":{"formattedCitation":"(Burrows 1987)","plainCitation":"(Burrows 1987)","noteIndex":0},"citationItems":[{"id":173,"uris":["http://zotero.org/users/4953069/items/7FN39HX8"],"uri":["http://zotero.org/users/4953069/items/7FN39HX8"],"itemData":{"id":173,"type":"article-journal","title":"Instrumentalities","container-title":"The Journal of Musicology","page":"117-125","volume":"5","issue":"1","source":"JSTOR","DOI":"10.2307/763827","ISSN":"0277-9269","author":[{"family":"Burrows","given":"David"}],"issued":{"date-parts":[["1987"]]}}}],"schema":"https://github.com/citation-style-language/schema/raw/master/csl-citation.json"} </w:instrText>
      </w:r>
      <w:r>
        <w:rPr>
          <w:rFonts w:ascii="Times New Roman" w:hAnsi="Times New Roman" w:cs="Times New Roman"/>
          <w:sz w:val="24"/>
          <w:szCs w:val="24"/>
          <w:lang w:val="en-GB"/>
        </w:rPr>
        <w:fldChar w:fldCharType="separate"/>
      </w:r>
      <w:r w:rsidRPr="0041260A">
        <w:rPr>
          <w:rFonts w:ascii="Times New Roman" w:hAnsi="Times New Roman" w:cs="Times New Roman"/>
          <w:sz w:val="24"/>
          <w:lang w:val="en-GB"/>
        </w:rPr>
        <w:t>(Burrows 1987)</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Moreover, instruments condition the means of expression and the role in the ensemble of the musician, and as such constructs a </w:t>
      </w:r>
      <w:r>
        <w:rPr>
          <w:rFonts w:ascii="Times New Roman" w:hAnsi="Times New Roman" w:cs="Times New Roman"/>
          <w:i/>
          <w:sz w:val="24"/>
          <w:szCs w:val="24"/>
          <w:lang w:val="en-GB"/>
        </w:rPr>
        <w:t>persona</w:t>
      </w:r>
      <w:r>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{"citationID":"ntfheEBj","properties":{"formattedCitation":"(Auslander 2006)","plainCitation":"(Auslander 2006)","noteIndex":0},"citationItems":[{"id":172,"uris":["http://zotero.org/users/4953069/items/RXHAW4E6"],"uri":["http://zotero.org/users/4953069/items/RXHAW4E6"],"itemData":{"id":172,"type":"article-journal","title":"Musical Personae","container-title":"TDR/The Drama Review","page":"100-119","volume":"50","issue":"1","source":"MIT Press Journals","abstract":"Although traditional musicology has undergone a “performative turn” in recent years, musicologists still tend to privilege text over performance. The micro-sociology of Erving Goffman offers a framework for a comprehensive overview of how musicians use aspects of musical performance as the means of constructing and communicating their musical personae.","DOI":"10.1162/dram.2006.50.1.100","ISSN":"1054-2043","journalAbbreviation":"TDR/The Drama Review","author":[{"family":"Auslander","given":"Philip"}],"issued":{"date-parts":[["2006",3,1]]}}}],"schema":"https://github.com/citation-style-language/schema/raw/master/csl-citation.json"} </w:instrText>
      </w:r>
      <w:r>
        <w:rPr>
          <w:rFonts w:ascii="Times New Roman" w:hAnsi="Times New Roman" w:cs="Times New Roman"/>
          <w:sz w:val="24"/>
          <w:szCs w:val="24"/>
          <w:lang w:val="en-GB"/>
        </w:rPr>
        <w:fldChar w:fldCharType="separate"/>
      </w:r>
      <w:r w:rsidRPr="0041260A">
        <w:rPr>
          <w:rFonts w:ascii="Times New Roman" w:hAnsi="Times New Roman" w:cs="Times New Roman"/>
          <w:sz w:val="24"/>
          <w:lang w:val="en-GB"/>
        </w:rPr>
        <w:t>(Auslander 2006)</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for her that could not have existed without the instrument. The musician, immersed or possessed by the music she plays, is a categorically different kind of actor than the person she is in everyday life. We might characterize this mutual co-dependence with philosopher Karen Barad’s term “intra-agency”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{"citationID":"vVq1i3a5","properties":{"formattedCitation":"(Barad 2003)","plainCitation":"(Barad 2003)","dontUpdate":true,"noteIndex":0},"citationItems":[{"id":364,"uris":["http://zotero.org/users/4953069/items/HBGJHQXK"],"uri":["http://zotero.org/users/4953069/items/HBGJHQXK"],"itemData":{"id":364,"type":"article-journal","title":"Posthumanist Performativity: Toward an Understanding of How Matter Comes to Matter","container-title":"Signs","page":"801-831","volume":"28","issue":"3","source":"JSTOR","DOI":"10.1086/345321","ISSN":"0097-9740","shortTitle":"Posthumanist Performativity","author":[{"family":"Barad","given":"Karen"}],"issued":{"date-parts":[["2003"]]}}}],"schema":"https://github.com/citation-style-language/schema/raw/master/csl-citation.json"} </w:instrText>
      </w:r>
      <w:r>
        <w:rPr>
          <w:rFonts w:ascii="Times New Roman" w:hAnsi="Times New Roman" w:cs="Times New Roman"/>
          <w:sz w:val="24"/>
          <w:szCs w:val="24"/>
          <w:lang w:val="en-GB"/>
        </w:rPr>
        <w:fldChar w:fldCharType="separate"/>
      </w:r>
      <w:r>
        <w:rPr>
          <w:rFonts w:ascii="Times New Roman" w:hAnsi="Times New Roman" w:cs="Times New Roman"/>
          <w:sz w:val="24"/>
          <w:lang w:val="en-GB"/>
        </w:rPr>
        <w:t>(</w:t>
      </w:r>
      <w:r w:rsidRPr="0041260A">
        <w:rPr>
          <w:rFonts w:ascii="Times New Roman" w:hAnsi="Times New Roman" w:cs="Times New Roman"/>
          <w:sz w:val="24"/>
          <w:lang w:val="en-GB"/>
        </w:rPr>
        <w:t>2003)</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which connotes an interdependence not just of two formerly independent entities, but a process by which two actors emerge as separate entities.</w:t>
      </w:r>
    </w:p>
    <w:p w14:paraId="244106C1" w14:textId="16772E41" w:rsidR="002D5D38" w:rsidRDefault="00996481" w:rsidP="002D5D38">
      <w:pPr>
        <w:spacing w:after="0" w:line="36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lastRenderedPageBreak/>
        <w:t>The instrument’s interface, in such an approach, is an important point of focus as it is the main aspect with regard to which musicians develop these skills. Roger Moseley has written a media archaeology of the keyboard as a field of play, in which he describes the history of Western musical thought in terms of the “</w:t>
      </w:r>
      <w:proofErr w:type="spellStart"/>
      <w:r>
        <w:rPr>
          <w:rFonts w:ascii="Times New Roman" w:hAnsi="Times New Roman" w:cs="Times New Roman"/>
          <w:sz w:val="24"/>
          <w:szCs w:val="24"/>
          <w:lang w:val="en-GB"/>
        </w:rPr>
        <w:t>ludo</w:t>
      </w:r>
      <w:proofErr w:type="spellEnd"/>
      <w:r>
        <w:rPr>
          <w:rFonts w:ascii="Times New Roman" w:hAnsi="Times New Roman" w:cs="Times New Roman"/>
          <w:sz w:val="24"/>
          <w:szCs w:val="24"/>
          <w:lang w:val="en-GB"/>
        </w:rPr>
        <w:t xml:space="preserve">-musical” structures and possibilities offered by the interface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{"citationID":"HQUzZgE2","properties":{"formattedCitation":"(Moseley 2016)","plainCitation":"(Moseley 2016)","noteIndex":0},"citationItems":[{"id":384,"uris":["http://zotero.org/users/4953069/items/FJ5BSE2S"],"uri":["http://zotero.org/users/4953069/items/FJ5BSE2S"],"itemData":{"id":384,"type":"book","title":"Keys to Play: Music as a Ludic Medium from Apollo to Nintendo","publisher":"University of California Press","publisher-place":"Berkeley","number-of-pages":"486","source":"Google Books","event-place":"Berkeley","abstract":"At publication date, a free ebook version of this title will be available through Luminos, University of California Press's open access publishing program for monographs. Visit www.luminosoa.org to learn more.  How do keyboards make music playable? Drawing on theories of media, systems, and cultural techniques, Keys to Play spans Greek myth and contemporary Japanese digital games to chart a genealogy of musical play and its animation via improvisation, performance, and recreation. As a paradigmatic digital interface, the keyboard forms a field of play on which the book's diverse objects of inquiry--from clavichords to PCs and eighteenth-century musical dice games to the latest rhythm-action titles--enter into analogical relations. Remapping the keyboard's topography by way of Mozart and Super Mario, who head an expansive cast of historical and virtual actors, Keys to Play invites readers to unlock ludic dimensions of music that are at once old and new.","ISBN":"978-0-520-29124-9","note":"Google-Books-ID: C1b_jwEACAAJ","shortTitle":"Keys to Play","language":"en","author":[{"family":"Moseley","given":"Roger"}],"issued":{"date-parts":[["2016"]]}}}],"schema":"https://github.com/citation-style-language/schema/raw/master/csl-citation.json"} </w:instrText>
      </w:r>
      <w:r>
        <w:rPr>
          <w:rFonts w:ascii="Times New Roman" w:hAnsi="Times New Roman" w:cs="Times New Roman"/>
          <w:sz w:val="24"/>
          <w:szCs w:val="24"/>
          <w:lang w:val="en-GB"/>
        </w:rPr>
        <w:fldChar w:fldCharType="separate"/>
      </w:r>
      <w:r w:rsidRPr="0054136C">
        <w:rPr>
          <w:rFonts w:ascii="Times New Roman" w:hAnsi="Times New Roman" w:cs="Times New Roman"/>
          <w:sz w:val="24"/>
          <w:lang w:val="en-GB"/>
        </w:rPr>
        <w:t>(Moseley 2016)</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w:t>
      </w:r>
      <w:r>
        <w:rPr>
          <w:rStyle w:val="Eindnootmarkering"/>
          <w:rFonts w:ascii="Times New Roman" w:hAnsi="Times New Roman" w:cs="Times New Roman"/>
          <w:sz w:val="24"/>
          <w:szCs w:val="24"/>
          <w:lang w:val="en-GB"/>
        </w:rPr>
        <w:endnoteReference w:id="8"/>
      </w:r>
      <w:r>
        <w:rPr>
          <w:rFonts w:ascii="Times New Roman" w:hAnsi="Times New Roman" w:cs="Times New Roman"/>
          <w:sz w:val="24"/>
          <w:szCs w:val="24"/>
          <w:lang w:val="en-GB"/>
        </w:rPr>
        <w:t xml:space="preserve"> He cites Hans-Georg </w:t>
      </w:r>
      <w:proofErr w:type="spellStart"/>
      <w:r>
        <w:rPr>
          <w:rFonts w:ascii="Times New Roman" w:hAnsi="Times New Roman" w:cs="Times New Roman"/>
          <w:sz w:val="24"/>
          <w:szCs w:val="24"/>
          <w:lang w:val="en-GB"/>
        </w:rPr>
        <w:t>Gadamer</w:t>
      </w:r>
      <w:proofErr w:type="spellEnd"/>
      <w:r>
        <w:rPr>
          <w:rFonts w:ascii="Times New Roman" w:hAnsi="Times New Roman" w:cs="Times New Roman"/>
          <w:sz w:val="24"/>
          <w:szCs w:val="24"/>
          <w:lang w:val="en-GB"/>
        </w:rPr>
        <w:t xml:space="preserve"> who writes that “all playing is a being-played” to argue for the centrality to play of the “reciprocity between the animate and the inanimate world”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{"citationID":"lK86KQgq","properties":{"formattedCitation":"(Moseley 2016; Gadamer 2013)","plainCitation":"(Moseley 2016; Gadamer 2013)","dontUpdate":true,"noteIndex":0},"citationItems":[{"id":384,"uris":["http://zotero.org/users/4953069/items/FJ5BSE2S"],"uri":["http://zotero.org/users/4953069/items/FJ5BSE2S"],"itemData":{"id":384,"type":"book","title":"Keys to Play: Music as a Ludic Medium from Apollo to Nintendo","publisher":"University of California Press","publisher-place":"Berkeley","number-of-pages":"486","source":"Google Books","event-place":"Berkeley","abstract":"At publication date, a free ebook version of this title will be available through Luminos, University of California Press's open access publishing program for monographs. Visit www.luminosoa.org to learn more.  How do keyboards make music playable? Drawing on theories of media, systems, and cultural techniques, Keys to Play spans Greek myth and contemporary Japanese digital games to chart a genealogy of musical play and its animation via improvisation, performance, and recreation. As a paradigmatic digital interface, the keyboard forms a field of play on which the book's diverse objects of inquiry--from clavichords to PCs and eighteenth-century musical dice games to the latest rhythm-action titles--enter into analogical relations. Remapping the keyboard's topography by way of Mozart and Super Mario, who head an expansive cast of historical and virtual actors, Keys to Play invites readers to unlock ludic dimensions of music that are at once old and new.","ISBN":"978-0-520-29124-9","note":"Google-Books-ID: C1b_jwEACAAJ","shortTitle":"Keys to Play","language":"en","author":[{"family":"Moseley","given":"Roger"}],"issued":{"date-parts":[["2016"]]}}},{"id":171,"uris":["http://zotero.org/users/4953069/items/F3HEZTS9"],"uri":["http://zotero.org/users/4953069/items/F3HEZTS9"],"itemData":{"id":171,"type":"book","title":"Truth and Method","publisher":"Bloomsbury Academic","publisher-place":"New York","number-of-pages":"665","source":"Google Books","event-place":"New York","abstract":"Truth and Method is a landmark work of 20th century thought which established Hans Georg-Gadamer as one of the most important philosophical voices of the 20th Century. In this book, Gadamer established the field of 'philosophical hermeneutics': exploring the nature of knowledge, the book rejected traditional quasi-scientific approaches to establishing cultural meaning that were prevalent after the war. In arguing the 'truth' and 'method' acted in opposition to each other, Gadamer examined the ways in which historical and cultural circumstance fundamentally influenced human understanding. It was an approach that would become hugely influential in the humanities and social sciences and remains so to this day in the work of Jurgen Habermas and many others.","ISBN":"978-1-78093-658-1","note":"Google-Books-ID: XaROAQAAQBAJ","language":"en","author":[{"family":"Gadamer","given":"Hans-Georg"}],"issued":{"date-parts":[["2013",11,5]]}}}],"schema":"https://github.com/citation-style-language/schema/raw/master/csl-citation.json"} </w:instrText>
      </w:r>
      <w:r>
        <w:rPr>
          <w:rFonts w:ascii="Times New Roman" w:hAnsi="Times New Roman" w:cs="Times New Roman"/>
          <w:sz w:val="24"/>
          <w:szCs w:val="24"/>
          <w:lang w:val="en-GB"/>
        </w:rPr>
        <w:fldChar w:fldCharType="separate"/>
      </w:r>
      <w:r w:rsidRPr="0041260A">
        <w:rPr>
          <w:rFonts w:ascii="Times New Roman" w:hAnsi="Times New Roman" w:cs="Times New Roman"/>
          <w:sz w:val="24"/>
          <w:lang w:val="en-GB"/>
        </w:rPr>
        <w:t>(Moseley 2016</w:t>
      </w:r>
      <w:r>
        <w:rPr>
          <w:rFonts w:ascii="Times New Roman" w:hAnsi="Times New Roman" w:cs="Times New Roman"/>
          <w:sz w:val="24"/>
          <w:lang w:val="en-GB"/>
        </w:rPr>
        <w:t>: 4</w:t>
      </w:r>
      <w:r w:rsidRPr="0041260A">
        <w:rPr>
          <w:rFonts w:ascii="Times New Roman" w:hAnsi="Times New Roman" w:cs="Times New Roman"/>
          <w:sz w:val="24"/>
          <w:lang w:val="en-GB"/>
        </w:rPr>
        <w:t xml:space="preserve">; </w:t>
      </w:r>
      <w:r>
        <w:rPr>
          <w:rFonts w:ascii="Times New Roman" w:hAnsi="Times New Roman" w:cs="Times New Roman"/>
          <w:sz w:val="24"/>
          <w:lang w:val="en-GB"/>
        </w:rPr>
        <w:t xml:space="preserve">see </w:t>
      </w:r>
      <w:r w:rsidRPr="0041260A">
        <w:rPr>
          <w:rFonts w:ascii="Times New Roman" w:hAnsi="Times New Roman" w:cs="Times New Roman"/>
          <w:sz w:val="24"/>
          <w:lang w:val="en-GB"/>
        </w:rPr>
        <w:t>Gadamer 2013</w:t>
      </w:r>
      <w:r>
        <w:rPr>
          <w:rFonts w:ascii="Times New Roman" w:hAnsi="Times New Roman" w:cs="Times New Roman"/>
          <w:sz w:val="24"/>
          <w:lang w:val="en-GB"/>
        </w:rPr>
        <w:t>: 111</w:t>
      </w:r>
      <w:r w:rsidRPr="0041260A">
        <w:rPr>
          <w:rFonts w:ascii="Times New Roman" w:hAnsi="Times New Roman" w:cs="Times New Roman"/>
          <w:sz w:val="24"/>
          <w:lang w:val="en-GB"/>
        </w:rPr>
        <w:t>)</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Instruments, like all media, involve “protocols” of use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{"citationID":"JH8RPCUW","properties":{"formattedCitation":"(Gitelman 2006)","plainCitation":"(Gitelman 2006)","dontUpdate":true,"noteIndex":0},"citationItems":[{"id":145,"uris":["http://zotero.org/users/4953069/items/IF3EBSRJ"],"uri":["http://zotero.org/users/4953069/items/IF3EBSRJ"],"itemData":{"id":145,"type":"book","title":"Always already new: media, history, and the data of culture","publisher":"MIT Press","publisher-place":"Cambridge, MA","number-of-pages":"205","source":"aleph.library.uu.nl Library Catalog","event-place":"Cambridge, MA","ISBN":"978-0-262-07271-7","call-number":"05.20 |2 bcl","shortTitle":"Always already new","language":"eng","author":[{"family":"Gitelman","given":"Lisa"}],"issued":{"date-parts":[["2006"]]}}}],"schema":"https://github.com/citation-style-language/schema/raw/master/csl-citation.json"} </w:instrText>
      </w:r>
      <w:r>
        <w:rPr>
          <w:rFonts w:ascii="Times New Roman" w:hAnsi="Times New Roman" w:cs="Times New Roman"/>
          <w:sz w:val="24"/>
          <w:szCs w:val="24"/>
          <w:lang w:val="en-GB"/>
        </w:rPr>
        <w:fldChar w:fldCharType="separate"/>
      </w:r>
      <w:r w:rsidRPr="0041260A">
        <w:rPr>
          <w:rFonts w:ascii="Times New Roman" w:hAnsi="Times New Roman" w:cs="Times New Roman"/>
          <w:sz w:val="24"/>
          <w:lang w:val="en-GB"/>
        </w:rPr>
        <w:t>(Gitelman 2006</w:t>
      </w:r>
      <w:r>
        <w:rPr>
          <w:rFonts w:ascii="Times New Roman" w:hAnsi="Times New Roman" w:cs="Times New Roman"/>
          <w:sz w:val="24"/>
          <w:lang w:val="en-GB"/>
        </w:rPr>
        <w:t>: 7</w:t>
      </w:r>
      <w:r w:rsidRPr="0041260A">
        <w:rPr>
          <w:rFonts w:ascii="Times New Roman" w:hAnsi="Times New Roman" w:cs="Times New Roman"/>
          <w:sz w:val="24"/>
          <w:lang w:val="en-GB"/>
        </w:rPr>
        <w:t>)</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norms and standards that, according to a medium’s technological affordances, emerge around that medium to give it a particular function and meaning in society.</w:t>
      </w:r>
      <w:r>
        <w:rPr>
          <w:rStyle w:val="Eindnootmarkering"/>
          <w:rFonts w:ascii="Times New Roman" w:hAnsi="Times New Roman" w:cs="Times New Roman"/>
          <w:sz w:val="24"/>
          <w:szCs w:val="24"/>
          <w:lang w:val="en-GB"/>
        </w:rPr>
        <w:endnoteReference w:id="9"/>
      </w:r>
      <w:r>
        <w:rPr>
          <w:rFonts w:ascii="Times New Roman" w:hAnsi="Times New Roman" w:cs="Times New Roman"/>
          <w:sz w:val="24"/>
          <w:szCs w:val="24"/>
          <w:lang w:val="en-GB"/>
        </w:rPr>
        <w:t xml:space="preserve"> </w:t>
      </w:r>
      <w:r w:rsidR="00326A1F">
        <w:rPr>
          <w:rFonts w:ascii="Times New Roman" w:hAnsi="Times New Roman" w:cs="Times New Roman"/>
          <w:sz w:val="24"/>
          <w:szCs w:val="24"/>
          <w:lang w:val="en-GB"/>
        </w:rPr>
        <w:t xml:space="preserve">The </w:t>
      </w:r>
      <w:r w:rsidR="00340722">
        <w:rPr>
          <w:rFonts w:ascii="Times New Roman" w:hAnsi="Times New Roman" w:cs="Times New Roman"/>
          <w:sz w:val="24"/>
          <w:szCs w:val="24"/>
          <w:lang w:val="en-GB"/>
        </w:rPr>
        <w:t>incorporation</w:t>
      </w:r>
      <w:r w:rsidR="0041260A">
        <w:rPr>
          <w:rFonts w:ascii="Times New Roman" w:hAnsi="Times New Roman" w:cs="Times New Roman"/>
          <w:sz w:val="24"/>
          <w:szCs w:val="24"/>
          <w:lang w:val="en-GB"/>
        </w:rPr>
        <w:t xml:space="preserve"> </w:t>
      </w:r>
      <w:r w:rsidR="0041260A">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{"citationID":"kIuHP6fl","properties":{"formattedCitation":"(Hayles 1997)","plainCitation":"(Hayles 1997)","noteIndex":0},"citationItems":[{"id":170,"uris":["http://zotero.org/users/4953069/items/UC9MK5MU"],"uri":["http://zotero.org/users/4953069/items/UC9MK5MU"],"itemData":{"id":170,"type":"article-journal","title":"The Posthuman Body: Inscription and Incorporation in Galatea 2.2 and Snow Crash","container-title":"Configurations","page":"241-266","volume":"5","issue":"2","source":"Project MUSE","abstract":"In lieu of an abstract, here is a brief excerpt of the content:\n            The Posthuman Body: Inscription and Incorporation in Galatea 2.2 and Snow Crash   N. Katherine Hayles (bio)   Twenty years ago Ihab Hassan, prescient as usual, predicted the arrival of the posthuman: “We need first to understand that the human form—including human desire and all its external representations—may be changing radically, and thus may be coming to an end as humanism transforms itself into something that we must helplessly call posthuman.” 1 Just when we were recovering from a flood of “post-,” a new one blows into town with an attitude and a problem. How to get a hold on this mutating concept? The two sites most often associated with the posthuman are biological interventions into the human body—cloning, gene therapy, artificial wombs, fertilization in vitro, etc.—and cybernetic interventions that either modify the human body or fashion artificial life in its evolutionary image. Both sites have been deeply influenced by thinking of the human [End Page 241] mind/body as information: biology, through seeing DNA as an informational code; cybernetics, through envisioning systems as constituted by the flow of information through them. Already joined by an informational worldview, the biological and the cybernetic are increasingly entering into the same sphere of action. Nevertheless, my emphasis will be on the cybernetic rather than the biological. In the American tradition of cybernetics, the posthuman emerges as a point of view characterized by the following assumptions (this list is not exclusive or definitive; it is meant to be suggestive rather than prescriptive): (1) The posthuman view privileges informational pattern over material instantiation, so that embodiment in a biological substrate is seen as an accident of history rather than an inevitability of life. (2) It considers consciousness, regarded as the seat of human identity in the Western tradition long before Descartes thought he was a mind thinking, as an epiphenomenon, an evolutionary upstart that tries to claim it is the whole show when in actuality it is only a minor sideshow. (3) It thinks of the body as the original prosthesis we all learn to manipulate, so that extending or replacing the body with other prostheses becomes a continuation of a process that began before we were born. 2 (4) Most importantly, by these and other means the posthuman view configures human being so that it can be seamlessly articulated with intelligent machines. In this view there are no essential differences between bodily existence and computer simulation, cybernetic mechanism and biological organism, robot teleology and human goals. To elucidate the shift in subjectivity that the posthuman represents, we can recall one of the definitive texts characterizing the liberal humanist subject, C. B. Macpherson’s analysis of possessive individualism: “Its possessive quality is found in its conception of the individual as essentially the proprietor of his own person or capacities, owing nothing to society for them. . . . The human essence is freedom from the wills of others, and freedom is a function of possession.” 3 [End Page 242] The italicized phrases mark convenient points of departure for measuring the distance between the human and the posthuman. “Owing nothing to society” comes from arguments that Hobbes and Locke constructed about humans in a “state of nature” before market relations arose. Because ownership of oneself is thought to predate market relations, it forms a foundation upon which those relations can be built, as when one sells one’s labor for wages. As Macpherson points out, however, this imagined “state of nature” is the retrospective creation of a market society: the liberal self is produced by market relations, and does not in fact predate them. This paradox (as Macpherson calls it) is resolved in the posthuman by doing away with the tension between the posited natural self and the self derived from market relations. From the get-go, the posthuman subject is an amalgam, a collection of heterogeneous components, a material-informational entity whose boundaries undergo continuous construction and reconstruction. The six-million-dollar man, a paradigmatic citizen of the posthuman regime, can be used to illustrate how the assumptions of liberal humanism have been superseded: as his name implies, the parts of the self can indeed be owned—but they are owned precisely because they...","DOI":"10.1353/con.1997.0010","ISSN":"1080-6520","shortTitle":"The Posthuman Body","author":[{"family":"Hayles","given":"N. Katherine"}],"issued":{"date-parts":[["1997",5,1]]}}}],"schema":"https://github.com/citation-style-language/schema/raw/master/csl-citation.json"} </w:instrText>
      </w:r>
      <w:r w:rsidR="0041260A">
        <w:rPr>
          <w:rFonts w:ascii="Times New Roman" w:hAnsi="Times New Roman" w:cs="Times New Roman"/>
          <w:sz w:val="24"/>
          <w:szCs w:val="24"/>
          <w:lang w:val="en-GB"/>
        </w:rPr>
        <w:fldChar w:fldCharType="separate"/>
      </w:r>
      <w:r w:rsidR="0041260A" w:rsidRPr="0041260A">
        <w:rPr>
          <w:rFonts w:ascii="Times New Roman" w:hAnsi="Times New Roman" w:cs="Times New Roman"/>
          <w:sz w:val="24"/>
          <w:lang w:val="en-GB"/>
        </w:rPr>
        <w:t>(Hayles 1997)</w:t>
      </w:r>
      <w:r w:rsidR="0041260A">
        <w:rPr>
          <w:rFonts w:ascii="Times New Roman" w:hAnsi="Times New Roman" w:cs="Times New Roman"/>
          <w:sz w:val="24"/>
          <w:szCs w:val="24"/>
          <w:lang w:val="en-GB"/>
        </w:rPr>
        <w:fldChar w:fldCharType="end"/>
      </w:r>
      <w:r w:rsidR="00340722">
        <w:rPr>
          <w:rFonts w:ascii="Times New Roman" w:hAnsi="Times New Roman" w:cs="Times New Roman"/>
          <w:sz w:val="24"/>
          <w:szCs w:val="24"/>
          <w:lang w:val="en-GB"/>
        </w:rPr>
        <w:t xml:space="preserve"> of an </w:t>
      </w:r>
      <w:r w:rsidR="00326A1F">
        <w:rPr>
          <w:rFonts w:ascii="Times New Roman" w:hAnsi="Times New Roman" w:cs="Times New Roman"/>
          <w:sz w:val="24"/>
          <w:szCs w:val="24"/>
          <w:lang w:val="en-GB"/>
        </w:rPr>
        <w:t xml:space="preserve">instrument’s interface thus constructs the musical knowledge and imagination of the musician, and by virtue of its technological construction </w:t>
      </w:r>
      <w:r w:rsidR="00340722">
        <w:rPr>
          <w:rFonts w:ascii="Times New Roman" w:hAnsi="Times New Roman" w:cs="Times New Roman"/>
          <w:sz w:val="24"/>
          <w:szCs w:val="24"/>
          <w:lang w:val="en-GB"/>
        </w:rPr>
        <w:t xml:space="preserve">the interface </w:t>
      </w:r>
      <w:r w:rsidR="00326A1F">
        <w:rPr>
          <w:rFonts w:ascii="Times New Roman" w:hAnsi="Times New Roman" w:cs="Times New Roman"/>
          <w:sz w:val="24"/>
          <w:szCs w:val="24"/>
          <w:lang w:val="en-GB"/>
        </w:rPr>
        <w:t>constrains and suggests</w:t>
      </w:r>
      <w:r w:rsidR="00A37C3C">
        <w:rPr>
          <w:rFonts w:ascii="Times New Roman" w:hAnsi="Times New Roman" w:cs="Times New Roman"/>
          <w:sz w:val="24"/>
          <w:szCs w:val="24"/>
          <w:lang w:val="en-GB"/>
        </w:rPr>
        <w:t xml:space="preserve"> </w:t>
      </w:r>
      <w:r w:rsidR="00326A1F">
        <w:rPr>
          <w:rFonts w:ascii="Times New Roman" w:hAnsi="Times New Roman" w:cs="Times New Roman"/>
          <w:sz w:val="24"/>
          <w:szCs w:val="24"/>
          <w:lang w:val="en-GB"/>
        </w:rPr>
        <w:t xml:space="preserve">particular musical possibilities within particular musical situations. </w:t>
      </w:r>
      <w:r w:rsidR="00A37C3C">
        <w:rPr>
          <w:rFonts w:ascii="Times New Roman" w:hAnsi="Times New Roman" w:cs="Times New Roman"/>
          <w:sz w:val="24"/>
          <w:szCs w:val="24"/>
          <w:lang w:val="en-GB"/>
        </w:rPr>
        <w:t xml:space="preserve">Musicians might be said to </w:t>
      </w:r>
      <w:r w:rsidR="00A37C3C">
        <w:rPr>
          <w:rFonts w:ascii="Times New Roman" w:hAnsi="Times New Roman" w:cs="Times New Roman"/>
          <w:i/>
          <w:sz w:val="24"/>
          <w:szCs w:val="24"/>
          <w:lang w:val="en-GB"/>
        </w:rPr>
        <w:t>think with</w:t>
      </w:r>
      <w:r w:rsidR="00A37C3C">
        <w:rPr>
          <w:rFonts w:ascii="Times New Roman" w:hAnsi="Times New Roman" w:cs="Times New Roman"/>
          <w:sz w:val="24"/>
          <w:szCs w:val="24"/>
          <w:lang w:val="en-GB"/>
        </w:rPr>
        <w:t xml:space="preserve"> their instruments; they do not just develop their musical thought in relation to their instruments, but in performance</w:t>
      </w:r>
      <w:r w:rsidR="002D5D38">
        <w:rPr>
          <w:rFonts w:ascii="Times New Roman" w:hAnsi="Times New Roman" w:cs="Times New Roman"/>
          <w:sz w:val="24"/>
          <w:szCs w:val="24"/>
          <w:lang w:val="en-GB"/>
        </w:rPr>
        <w:t xml:space="preserve"> the interaction with the instrument forms an integral part of the development of musical thought and t</w:t>
      </w:r>
      <w:r w:rsidR="00E9600C">
        <w:rPr>
          <w:rFonts w:ascii="Times New Roman" w:hAnsi="Times New Roman" w:cs="Times New Roman"/>
          <w:sz w:val="24"/>
          <w:szCs w:val="24"/>
          <w:lang w:val="en-GB"/>
        </w:rPr>
        <w:t xml:space="preserve">he expression of musical ideas </w:t>
      </w:r>
      <w:r w:rsidR="00E9600C">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{"citationID":"V8a12LJL","properties":{"formattedCitation":"(Souza 2017)","plainCitation":"(Souza 2017)","noteIndex":0},"citationItems":[{"id":675,"uris":["http://zotero.org/users/4953069/items/EKFAZT8F"],"uri":["http://zotero.org/users/4953069/items/EKFAZT8F"],"itemData":{"id":675,"type":"book","title":"Music at Hand: Instruments, Bodies, and Cognition","publisher":"Oxford University Press","publisher-place":"Oxford","number-of-pages":"209","source":"Google Books","event-place":"Oxford","abstract":"From prehistoric bone flutes to pipe organs to digital synthesizers, instruments have been important to musical cultures around the world. Yet, how do instruments affect musical organization? And how might they influence players' bodies and minds? Music at Hand explores these questions with a distinctive blend of music theory, psychology, and philosophy. Practicing an instrument, of course, builds bodily habits and skills. But it also develops connections between auditory and motor regions in a player's brain. These multi-sensory links are grounded in particular instrumental interfaces. They reflect the ways that an instrument converts action into sound, and the ways that it coordinates physical and tonal space. Ultimately, these connections can shape listening, improvisation, or composition. This means that pianos, guitars, horns, and bells are not simply tools for making notes. Such technologies, as creative prostheses, also open up possibilities for musical action, perception, and cognition. Throughout the book, author Jonathan De Souza examines diverse musical case studies-from Beethoven to blues harmonica, from Bach to electronic music-introducing novel methods for the analysis of body-instrument interaction. A companion website supports these analytical discussions with audiovisual examples, including motion-capture videos and performances by the author. Written in lucid prose, Music at Hand offers substantive insights for music scholars, while remaining accessible to non-specialist readers. This wide-ranging book will engage music theorists and historians, ethnomusicologists, organologists, composers, and performers-but also psychologists, philosophers, media theorists, and anyone who is curious about how musical experience is embodied and conditioned by technology.","ISBN":"978-0-19-027112-1","note":"Google-Books-ID: 8NKPDgAAQBAJ","shortTitle":"Music at Hand","language":"en","author":[{"family":"Souza","given":"Jonathan De"}],"issued":{"date-parts":[["2017"]]}}}],"schema":"https://github.com/citation-style-language/schema/raw/master/csl-citation.json"} </w:instrText>
      </w:r>
      <w:r w:rsidR="00E9600C">
        <w:rPr>
          <w:rFonts w:ascii="Times New Roman" w:hAnsi="Times New Roman" w:cs="Times New Roman"/>
          <w:sz w:val="24"/>
          <w:szCs w:val="24"/>
          <w:lang w:val="en-GB"/>
        </w:rPr>
        <w:fldChar w:fldCharType="separate"/>
      </w:r>
      <w:r w:rsidR="00E9600C" w:rsidRPr="00E9600C">
        <w:rPr>
          <w:rFonts w:ascii="Times New Roman" w:hAnsi="Times New Roman" w:cs="Times New Roman"/>
          <w:sz w:val="24"/>
          <w:lang w:val="en-GB"/>
        </w:rPr>
        <w:t>(</w:t>
      </w:r>
      <w:r w:rsidR="00E9600C">
        <w:rPr>
          <w:rFonts w:ascii="Times New Roman" w:hAnsi="Times New Roman" w:cs="Times New Roman"/>
          <w:sz w:val="24"/>
          <w:lang w:val="en-GB"/>
        </w:rPr>
        <w:t xml:space="preserve">De </w:t>
      </w:r>
      <w:r w:rsidR="00E9600C" w:rsidRPr="00E9600C">
        <w:rPr>
          <w:rFonts w:ascii="Times New Roman" w:hAnsi="Times New Roman" w:cs="Times New Roman"/>
          <w:sz w:val="24"/>
          <w:lang w:val="en-GB"/>
        </w:rPr>
        <w:t>Souza 2017)</w:t>
      </w:r>
      <w:r w:rsidR="00E9600C">
        <w:rPr>
          <w:rFonts w:ascii="Times New Roman" w:hAnsi="Times New Roman" w:cs="Times New Roman"/>
          <w:sz w:val="24"/>
          <w:szCs w:val="24"/>
          <w:lang w:val="en-GB"/>
        </w:rPr>
        <w:fldChar w:fldCharType="end"/>
      </w:r>
      <w:r w:rsidR="002D5D38">
        <w:rPr>
          <w:rFonts w:ascii="Times New Roman" w:hAnsi="Times New Roman" w:cs="Times New Roman"/>
          <w:sz w:val="24"/>
          <w:szCs w:val="24"/>
          <w:lang w:val="en-GB"/>
        </w:rPr>
        <w:t xml:space="preserve">. Alfred </w:t>
      </w:r>
      <w:proofErr w:type="spellStart"/>
      <w:r w:rsidR="002D5D38">
        <w:rPr>
          <w:rFonts w:ascii="Times New Roman" w:hAnsi="Times New Roman" w:cs="Times New Roman"/>
          <w:sz w:val="24"/>
          <w:szCs w:val="24"/>
          <w:lang w:val="en-GB"/>
        </w:rPr>
        <w:t>Gell</w:t>
      </w:r>
      <w:proofErr w:type="spellEnd"/>
      <w:r w:rsidR="002D5D38">
        <w:rPr>
          <w:rFonts w:ascii="Times New Roman" w:hAnsi="Times New Roman" w:cs="Times New Roman"/>
          <w:sz w:val="24"/>
          <w:szCs w:val="24"/>
          <w:lang w:val="en-GB"/>
        </w:rPr>
        <w:t xml:space="preserve">, whose work I discussed in the previous section, similarly </w:t>
      </w:r>
      <w:r w:rsidR="001F33AC">
        <w:rPr>
          <w:rFonts w:ascii="Times New Roman" w:hAnsi="Times New Roman" w:cs="Times New Roman"/>
          <w:sz w:val="24"/>
          <w:szCs w:val="24"/>
          <w:lang w:val="en-GB"/>
        </w:rPr>
        <w:t xml:space="preserve">describes the oeuvre of an artist not only as a “distributed object”, highlighting the interrelated qualities of the works of a particular artist, but also as an extension of the artist’s mind, implying that creating these works is also a way of developing </w:t>
      </w:r>
      <w:r w:rsidR="00A22697">
        <w:rPr>
          <w:rFonts w:ascii="Times New Roman" w:hAnsi="Times New Roman" w:cs="Times New Roman"/>
          <w:sz w:val="24"/>
          <w:szCs w:val="24"/>
          <w:lang w:val="en-GB"/>
        </w:rPr>
        <w:t>her stylistic ideas</w:t>
      </w:r>
      <w:r w:rsidR="0041260A">
        <w:rPr>
          <w:rFonts w:ascii="Times New Roman" w:hAnsi="Times New Roman" w:cs="Times New Roman"/>
          <w:sz w:val="24"/>
          <w:szCs w:val="24"/>
          <w:lang w:val="en-GB"/>
        </w:rPr>
        <w:t xml:space="preserve"> </w:t>
      </w:r>
      <w:r w:rsidR="0041260A">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{"citationID":"sG6U1NhI","properties":{"formattedCitation":"(Gell 1998)","plainCitation":"(Gell 1998)","noteIndex":0},"citationItems":[{"id":328,"uris":["http://zotero.org/users/4953069/items/U5BC9HP9"],"uri":["http://zotero.org/users/4953069/items/U5BC9HP9"],"itemData":{"id":328,"type":"book","title":"Art and Agency: An Anthropological Theory","publisher":"Clarendon Press","number-of-pages":"297","source":"Google Books","abstract":"Alfred Gell puts forward a new anthropological theory of visual art, seen as a form of instrumental action: the making of things as a means of influencing the thoughts and actions of others. He argues that existing anthropological and aesthetic theories take an overwhelmingly passive point of view, and questions the criteria that accord art status only to a certain class of objects and not to others. The anthropology of art is here reformulated as the anthropology of a category of action: Gell shows how art objects embody complex intentionalities and mediate social agency. He explores the psychology of patterns and perceptions, art and personhood, the control of knowledge, and the interpretation of meaning, drawing upon a diversity of artistic traditions--European, Indian, Polynesian, Melanesian, and Australian. Art and Agency was completed just before Alfred Gell's death at the age of 51 in January 1997. It embodies the intellectual bravura, lively wit, vigour, and erudition for which he was admired, and will stand as an enduring testament to one of the most gifted anthropologists of his generation.","ISBN":"978-0-19-828014-9","note":"Google-Books-ID: 9YU3AwAAQBAJ","shortTitle":"Art and Agency","language":"en","author":[{"family":"Gell","given":"Alfred"}],"issued":{"date-parts":[["1998"]]}}}],"schema":"https://github.com/citation-style-language/schema/raw/master/csl-citation.json"} </w:instrText>
      </w:r>
      <w:r w:rsidR="0041260A">
        <w:rPr>
          <w:rFonts w:ascii="Times New Roman" w:hAnsi="Times New Roman" w:cs="Times New Roman"/>
          <w:sz w:val="24"/>
          <w:szCs w:val="24"/>
          <w:lang w:val="en-GB"/>
        </w:rPr>
        <w:fldChar w:fldCharType="separate"/>
      </w:r>
      <w:r w:rsidR="0041260A" w:rsidRPr="0041260A">
        <w:rPr>
          <w:rFonts w:ascii="Times New Roman" w:hAnsi="Times New Roman" w:cs="Times New Roman"/>
          <w:sz w:val="24"/>
          <w:lang w:val="en-GB"/>
        </w:rPr>
        <w:t>(Gell 1998)</w:t>
      </w:r>
      <w:r w:rsidR="0041260A">
        <w:rPr>
          <w:rFonts w:ascii="Times New Roman" w:hAnsi="Times New Roman" w:cs="Times New Roman"/>
          <w:sz w:val="24"/>
          <w:szCs w:val="24"/>
          <w:lang w:val="en-GB"/>
        </w:rPr>
        <w:fldChar w:fldCharType="end"/>
      </w:r>
      <w:r w:rsidR="00A22697">
        <w:rPr>
          <w:rFonts w:ascii="Times New Roman" w:hAnsi="Times New Roman" w:cs="Times New Roman"/>
          <w:sz w:val="24"/>
          <w:szCs w:val="24"/>
          <w:lang w:val="en-GB"/>
        </w:rPr>
        <w:t>.</w:t>
      </w:r>
      <w:r w:rsidR="001F33AC">
        <w:rPr>
          <w:rFonts w:ascii="Times New Roman" w:hAnsi="Times New Roman" w:cs="Times New Roman"/>
          <w:sz w:val="24"/>
          <w:szCs w:val="24"/>
          <w:lang w:val="en-GB"/>
        </w:rPr>
        <w:t xml:space="preserve"> </w:t>
      </w:r>
    </w:p>
    <w:p w14:paraId="630FCA07" w14:textId="3A60F2E0" w:rsidR="0029130D" w:rsidRDefault="00A22697" w:rsidP="00326A1F">
      <w:pPr>
        <w:spacing w:after="0" w:line="36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 xml:space="preserve">An approach to </w:t>
      </w:r>
      <w:r w:rsidR="00416487">
        <w:rPr>
          <w:rFonts w:ascii="Times New Roman" w:hAnsi="Times New Roman" w:cs="Times New Roman"/>
          <w:sz w:val="24"/>
          <w:szCs w:val="24"/>
          <w:lang w:val="en-GB"/>
        </w:rPr>
        <w:t xml:space="preserve">the analysis of </w:t>
      </w:r>
      <w:r>
        <w:rPr>
          <w:rFonts w:ascii="Times New Roman" w:hAnsi="Times New Roman" w:cs="Times New Roman"/>
          <w:sz w:val="24"/>
          <w:szCs w:val="24"/>
          <w:lang w:val="en-GB"/>
        </w:rPr>
        <w:t xml:space="preserve">jazz improvisation grounded in such ideas might understand it less as the construction of musical structures in relation to a chord scheme and the playing of fellow musicians, but primarily as the application of skills learned in interaction with the particular construction and interface of an instrument. In other words, </w:t>
      </w:r>
      <w:r w:rsidR="00416487">
        <w:rPr>
          <w:rFonts w:ascii="Times New Roman" w:hAnsi="Times New Roman" w:cs="Times New Roman"/>
          <w:sz w:val="24"/>
          <w:szCs w:val="24"/>
          <w:lang w:val="en-GB"/>
        </w:rPr>
        <w:t xml:space="preserve">it would no longer take particular recordings as the primary unit of analysis, but see these only </w:t>
      </w:r>
      <w:r w:rsidR="002D5D38">
        <w:rPr>
          <w:rFonts w:ascii="Times New Roman" w:hAnsi="Times New Roman" w:cs="Times New Roman"/>
          <w:sz w:val="24"/>
          <w:szCs w:val="24"/>
          <w:lang w:val="en-GB"/>
        </w:rPr>
        <w:t xml:space="preserve">as </w:t>
      </w:r>
      <w:r w:rsidR="00416487">
        <w:rPr>
          <w:rFonts w:ascii="Times New Roman" w:hAnsi="Times New Roman" w:cs="Times New Roman"/>
          <w:sz w:val="24"/>
          <w:szCs w:val="24"/>
          <w:lang w:val="en-GB"/>
        </w:rPr>
        <w:t xml:space="preserve">particular instances of a musician’s idiom in development. Benjamin </w:t>
      </w:r>
      <w:proofErr w:type="spellStart"/>
      <w:r w:rsidR="00416487">
        <w:rPr>
          <w:rFonts w:ascii="Times New Roman" w:hAnsi="Times New Roman" w:cs="Times New Roman"/>
          <w:sz w:val="24"/>
          <w:szCs w:val="24"/>
          <w:lang w:val="en-GB"/>
        </w:rPr>
        <w:t>Givan’s</w:t>
      </w:r>
      <w:proofErr w:type="spellEnd"/>
      <w:r w:rsidR="00416487">
        <w:rPr>
          <w:rFonts w:ascii="Times New Roman" w:hAnsi="Times New Roman" w:cs="Times New Roman"/>
          <w:sz w:val="24"/>
          <w:szCs w:val="24"/>
          <w:lang w:val="en-GB"/>
        </w:rPr>
        <w:t xml:space="preserve"> recent analysis of Sonny Rollins </w:t>
      </w:r>
      <w:r w:rsidR="00416487">
        <w:rPr>
          <w:rFonts w:ascii="Times New Roman" w:hAnsi="Times New Roman" w:cs="Times New Roman"/>
          <w:i/>
          <w:sz w:val="24"/>
          <w:szCs w:val="24"/>
          <w:lang w:val="en-GB"/>
        </w:rPr>
        <w:t>Blue 7</w:t>
      </w:r>
      <w:r w:rsidR="00416487">
        <w:rPr>
          <w:rFonts w:ascii="Times New Roman" w:hAnsi="Times New Roman" w:cs="Times New Roman"/>
          <w:sz w:val="24"/>
          <w:szCs w:val="24"/>
          <w:lang w:val="en-GB"/>
        </w:rPr>
        <w:t xml:space="preserve"> shows that </w:t>
      </w:r>
      <w:r w:rsidR="00FC367D">
        <w:rPr>
          <w:rFonts w:ascii="Times New Roman" w:hAnsi="Times New Roman" w:cs="Times New Roman"/>
          <w:sz w:val="24"/>
          <w:szCs w:val="24"/>
          <w:lang w:val="en-GB"/>
        </w:rPr>
        <w:t xml:space="preserve">the “motivic relationships” praised so famously by Gunther Schuller are in fact more accurately described as licks that formed part of Rollins’ stylistic idiom at the time, something he illustrates with a comparison of </w:t>
      </w:r>
      <w:r w:rsidR="00FC367D">
        <w:rPr>
          <w:rFonts w:ascii="Times New Roman" w:hAnsi="Times New Roman" w:cs="Times New Roman"/>
          <w:i/>
          <w:sz w:val="24"/>
          <w:szCs w:val="24"/>
          <w:lang w:val="en-GB"/>
        </w:rPr>
        <w:t>Blue 7</w:t>
      </w:r>
      <w:r w:rsidR="00FC367D">
        <w:rPr>
          <w:rFonts w:ascii="Times New Roman" w:hAnsi="Times New Roman" w:cs="Times New Roman"/>
          <w:sz w:val="24"/>
          <w:szCs w:val="24"/>
          <w:lang w:val="en-GB"/>
        </w:rPr>
        <w:t xml:space="preserve"> to other recordings made around the same time</w:t>
      </w:r>
      <w:r w:rsidR="0041260A">
        <w:rPr>
          <w:rFonts w:ascii="Times New Roman" w:hAnsi="Times New Roman" w:cs="Times New Roman"/>
          <w:sz w:val="24"/>
          <w:szCs w:val="24"/>
          <w:lang w:val="en-GB"/>
        </w:rPr>
        <w:t xml:space="preserve"> </w:t>
      </w:r>
      <w:r w:rsidR="0041260A">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{"citationID":"k9NdaEew","properties":{"formattedCitation":"(Givan 2014)","plainCitation":"(Givan 2014)","noteIndex":0},"citationItems":[{"id":187,"uris":["http://zotero.org/users/4953069/items/A9JITBMZ"],"uri":["http://zotero.org/users/4953069/items/A9JITBMZ"],"itemData":{"id":187,"type":"article-journal","title":"Gunther Schuller and the Challenge of Sonny Rollins:","container-title":"Journal of the American Musicological Society","page":"167-237","volume":"67","issue":"1","source":"jams.ucpress.edu","abstract":"Skip to Next Section\nScholarly opinion has for many years been divided over Gunther Schuller's landmark 1958 article, “Sonny Rollins and the Challenge of Thematic Improvisation.” Jazz theorists view the article's close analysis of Rollins's 1956 jazz saxophone improvisation “Blue 7” as one of their discipline's founding statements; historians and ethnomusicologists meanwhile tend to fault it for neglecting cultural context. In either instance the specific details of Schuller's analysis have been largely accepted as being internally consistent. The present study proposes that the analysis of jazz improvisation ought to engage more extensively with broader stylistic issues in addition to the specifics of isolated individual performances. Such a musically contextualized perspective reveals that Schuller's principal argument—that, in this particular improvisation, Rollins developed motivic elements of a composed theme—is false. “Blue 7” was in fact improvised in its entirety, and the melodic pattern that Schuller cited as a thematic motive was one of Rollins's habitual improvisational formulas, heard on many of the saxophonist's other 1950s recordings. This canonic recording, as well as the notion of Rollins as a “thematic” improviser, therefore needs to be reconsidered.","DOI":"10.1525/jams.2014.67.1.167","ISSN":"0003-0139, 1547-3848","shortTitle":"Gunther Schuller and the Challenge of Sonny Rollins","language":"en","author":[{"family":"Givan","given":"Benjamin"}],"issued":{"date-parts":[["2014",4,1]]}}}],"schema":"https://github.com/citation-style-language/schema/raw/master/csl-citation.json"} </w:instrText>
      </w:r>
      <w:r w:rsidR="0041260A">
        <w:rPr>
          <w:rFonts w:ascii="Times New Roman" w:hAnsi="Times New Roman" w:cs="Times New Roman"/>
          <w:sz w:val="24"/>
          <w:szCs w:val="24"/>
          <w:lang w:val="en-GB"/>
        </w:rPr>
        <w:fldChar w:fldCharType="separate"/>
      </w:r>
      <w:r w:rsidR="0041260A" w:rsidRPr="00E9600C">
        <w:rPr>
          <w:rFonts w:ascii="Times New Roman" w:hAnsi="Times New Roman" w:cs="Times New Roman"/>
          <w:sz w:val="24"/>
          <w:lang w:val="en-GB"/>
        </w:rPr>
        <w:t>(Givan 2014)</w:t>
      </w:r>
      <w:r w:rsidR="0041260A">
        <w:rPr>
          <w:rFonts w:ascii="Times New Roman" w:hAnsi="Times New Roman" w:cs="Times New Roman"/>
          <w:sz w:val="24"/>
          <w:szCs w:val="24"/>
          <w:lang w:val="en-GB"/>
        </w:rPr>
        <w:fldChar w:fldCharType="end"/>
      </w:r>
      <w:r w:rsidR="00FC367D">
        <w:rPr>
          <w:rFonts w:ascii="Times New Roman" w:hAnsi="Times New Roman" w:cs="Times New Roman"/>
          <w:sz w:val="24"/>
          <w:szCs w:val="24"/>
          <w:lang w:val="en-GB"/>
        </w:rPr>
        <w:t xml:space="preserve">. Moreover, he does not just restrict his discussion to Rollins, but shows that these and similar motives were in fact used by various other musicians at this time, showing that </w:t>
      </w:r>
      <w:r w:rsidR="00C57E30">
        <w:rPr>
          <w:rFonts w:ascii="Times New Roman" w:hAnsi="Times New Roman" w:cs="Times New Roman"/>
          <w:sz w:val="24"/>
          <w:szCs w:val="24"/>
          <w:lang w:val="en-GB"/>
        </w:rPr>
        <w:t xml:space="preserve">this idiom is itself part of the style and musical conventions of a wider jazz community. Although </w:t>
      </w:r>
      <w:proofErr w:type="spellStart"/>
      <w:r w:rsidR="00C57E30">
        <w:rPr>
          <w:rFonts w:ascii="Times New Roman" w:hAnsi="Times New Roman" w:cs="Times New Roman"/>
          <w:sz w:val="24"/>
          <w:szCs w:val="24"/>
          <w:lang w:val="en-GB"/>
        </w:rPr>
        <w:t>Givan</w:t>
      </w:r>
      <w:proofErr w:type="spellEnd"/>
      <w:r w:rsidR="00C57E30">
        <w:rPr>
          <w:rFonts w:ascii="Times New Roman" w:hAnsi="Times New Roman" w:cs="Times New Roman"/>
          <w:sz w:val="24"/>
          <w:szCs w:val="24"/>
          <w:lang w:val="en-GB"/>
        </w:rPr>
        <w:t xml:space="preserve"> uses none of the theories of methodologies outlined here, he does come quite close to </w:t>
      </w:r>
      <w:proofErr w:type="spellStart"/>
      <w:r w:rsidR="00C57E30">
        <w:rPr>
          <w:rFonts w:ascii="Times New Roman" w:hAnsi="Times New Roman" w:cs="Times New Roman"/>
          <w:sz w:val="24"/>
          <w:szCs w:val="24"/>
          <w:lang w:val="en-GB"/>
        </w:rPr>
        <w:t>Gell’s</w:t>
      </w:r>
      <w:proofErr w:type="spellEnd"/>
      <w:r w:rsidR="00C57E30">
        <w:rPr>
          <w:rFonts w:ascii="Times New Roman" w:hAnsi="Times New Roman" w:cs="Times New Roman"/>
          <w:sz w:val="24"/>
          <w:szCs w:val="24"/>
          <w:lang w:val="en-GB"/>
        </w:rPr>
        <w:t xml:space="preserve"> argument when he quotes </w:t>
      </w:r>
      <w:r w:rsidR="00C57E30">
        <w:rPr>
          <w:rFonts w:ascii="Times New Roman" w:hAnsi="Times New Roman" w:cs="Times New Roman"/>
          <w:sz w:val="24"/>
          <w:szCs w:val="24"/>
          <w:lang w:val="en-GB"/>
        </w:rPr>
        <w:lastRenderedPageBreak/>
        <w:t>Paul Bley saying “you might think of one’s oeuvre as a single piece</w:t>
      </w:r>
      <w:r w:rsidR="004F6CA4">
        <w:rPr>
          <w:rFonts w:ascii="Times New Roman" w:hAnsi="Times New Roman" w:cs="Times New Roman"/>
          <w:sz w:val="24"/>
          <w:szCs w:val="24"/>
          <w:lang w:val="en-GB"/>
        </w:rPr>
        <w:t>, and the oeuvre is a lifetime</w:t>
      </w:r>
      <w:r w:rsidR="00C57E30">
        <w:rPr>
          <w:rFonts w:ascii="Times New Roman" w:hAnsi="Times New Roman" w:cs="Times New Roman"/>
          <w:sz w:val="24"/>
          <w:szCs w:val="24"/>
          <w:lang w:val="en-GB"/>
        </w:rPr>
        <w:t>”</w:t>
      </w:r>
      <w:r w:rsidR="0041260A">
        <w:rPr>
          <w:rFonts w:ascii="Times New Roman" w:hAnsi="Times New Roman" w:cs="Times New Roman"/>
          <w:sz w:val="24"/>
          <w:szCs w:val="24"/>
          <w:lang w:val="en-GB"/>
        </w:rPr>
        <w:t xml:space="preserve"> (228)</w:t>
      </w:r>
      <w:r w:rsidR="00C57E30">
        <w:rPr>
          <w:rFonts w:ascii="Times New Roman" w:hAnsi="Times New Roman" w:cs="Times New Roman"/>
          <w:sz w:val="24"/>
          <w:szCs w:val="24"/>
          <w:lang w:val="en-GB"/>
        </w:rPr>
        <w:t xml:space="preserve">. </w:t>
      </w:r>
      <w:r w:rsidR="004F6CA4">
        <w:rPr>
          <w:rFonts w:ascii="Times New Roman" w:hAnsi="Times New Roman" w:cs="Times New Roman"/>
          <w:sz w:val="24"/>
          <w:szCs w:val="24"/>
          <w:lang w:val="en-GB"/>
        </w:rPr>
        <w:t xml:space="preserve">A stronger engagement with new </w:t>
      </w:r>
      <w:proofErr w:type="spellStart"/>
      <w:r w:rsidR="004F6CA4">
        <w:rPr>
          <w:rFonts w:ascii="Times New Roman" w:hAnsi="Times New Roman" w:cs="Times New Roman"/>
          <w:sz w:val="24"/>
          <w:szCs w:val="24"/>
          <w:lang w:val="en-GB"/>
        </w:rPr>
        <w:t>organological</w:t>
      </w:r>
      <w:proofErr w:type="spellEnd"/>
      <w:r w:rsidR="004F6CA4">
        <w:rPr>
          <w:rFonts w:ascii="Times New Roman" w:hAnsi="Times New Roman" w:cs="Times New Roman"/>
          <w:sz w:val="24"/>
          <w:szCs w:val="24"/>
          <w:lang w:val="en-GB"/>
        </w:rPr>
        <w:t xml:space="preserve"> and materialist literature might take such arguments a step further than examining the corpus of a particular musician, and investigate reciprocal relations between instruments and the particular musical conventions of a given jazz community, or, by comparing the use of different instruments within a given community, </w:t>
      </w:r>
      <w:r w:rsidR="0029130D">
        <w:rPr>
          <w:rFonts w:ascii="Times New Roman" w:hAnsi="Times New Roman" w:cs="Times New Roman"/>
          <w:sz w:val="24"/>
          <w:szCs w:val="24"/>
          <w:lang w:val="en-GB"/>
        </w:rPr>
        <w:t>how people have negotiated the material affordances of particular instruments to express similar musical ideas.</w:t>
      </w:r>
    </w:p>
    <w:p w14:paraId="121AA2B7" w14:textId="64B0A902" w:rsidR="00181BB4" w:rsidRDefault="00990983" w:rsidP="00326A1F">
      <w:pPr>
        <w:spacing w:after="0" w:line="36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 xml:space="preserve">Such examples suggest that the social life of instruments is contingent on the skills that musicians develop in reciprocal relation with them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{"citationID":"JOHI2C6R","properties":{"formattedCitation":"(W. Gibson 2006)","plainCitation":"(W. Gibson 2006)","noteIndex":0},"citationItems":[{"id":371,"uris":["http://zotero.org/users/4953069/items/K5XQJCUM"],"uri":["http://zotero.org/users/4953069/items/K5XQJCUM"],"itemData":{"id":371,"type":"article-journal","title":"Material culture and embodied action: sociological notes on the examination of musical instruments in jazz improvisation","container-title":"The Sociological Review","page":"171-187","volume":"54","issue":"1","source":"Wiley Online Library","abstract":"This paper argues that the examination of technologies and their social contexts, which form the basis of the material culture perspective, can be strengthened through an increased awareness of the intersubjective and embodied features of social action. With reference to the ways in which jazz musicians improvise with instruments through embodied praxological skills (Sudnow, 1978) and intersubjective art world knowledge (Becker, 1982), the paper demonstrates the empirical value of these basic sociological concepts. It shows that the ‘affordances’ of usage (Gibson, 1979) that result from social actors’ application of objects through orientation to normative procedure become visible through an understanding of embodied habituated social practice, and it is exactly such affordances that constitute the contextual relevance of materiality for social action.","DOI":"10.1111/j.1467-954X.2006.00607.x","ISSN":"1467-954X","shortTitle":"Material culture and embodied action","language":"en","author":[{"family":"Gibson","given":"Will"}],"issued":{"date-parts":[["2006",2,1]]}}}],"schema":"https://github.com/citation-style-language/schema/raw/master/csl-citation.json"} </w:instrText>
      </w:r>
      <w:r>
        <w:rPr>
          <w:rFonts w:ascii="Times New Roman" w:hAnsi="Times New Roman" w:cs="Times New Roman"/>
          <w:sz w:val="24"/>
          <w:szCs w:val="24"/>
          <w:lang w:val="en-GB"/>
        </w:rPr>
        <w:fldChar w:fldCharType="separate"/>
      </w:r>
      <w:r w:rsidRPr="00990983">
        <w:rPr>
          <w:rFonts w:ascii="Times New Roman" w:hAnsi="Times New Roman" w:cs="Times New Roman"/>
          <w:sz w:val="24"/>
          <w:lang w:val="en-GB"/>
        </w:rPr>
        <w:t>(W. Gibson 2006)</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and given the detailed knowledge of jazz scholars about the development of musical skills, their work is highly pertinent to the ongoing debates about material agency, which is sometimes perceived to </w:t>
      </w:r>
      <w:proofErr w:type="spellStart"/>
      <w:r>
        <w:rPr>
          <w:rFonts w:ascii="Times New Roman" w:hAnsi="Times New Roman" w:cs="Times New Roman"/>
          <w:sz w:val="24"/>
          <w:szCs w:val="24"/>
          <w:lang w:val="en-GB"/>
        </w:rPr>
        <w:t>sideline</w:t>
      </w:r>
      <w:proofErr w:type="spellEnd"/>
      <w:r>
        <w:rPr>
          <w:rFonts w:ascii="Times New Roman" w:hAnsi="Times New Roman" w:cs="Times New Roman"/>
          <w:sz w:val="24"/>
          <w:szCs w:val="24"/>
          <w:lang w:val="en-GB"/>
        </w:rPr>
        <w:t xml:space="preserve"> the social and embodied processes by which this agency is realized. </w:t>
      </w:r>
      <w:r w:rsidR="00B602D8">
        <w:rPr>
          <w:rFonts w:ascii="Times New Roman" w:hAnsi="Times New Roman" w:cs="Times New Roman"/>
          <w:sz w:val="24"/>
          <w:szCs w:val="24"/>
          <w:lang w:val="en-GB"/>
        </w:rPr>
        <w:t xml:space="preserve">In addition, the </w:t>
      </w:r>
      <w:r>
        <w:rPr>
          <w:rFonts w:ascii="Times New Roman" w:hAnsi="Times New Roman" w:cs="Times New Roman"/>
          <w:sz w:val="24"/>
          <w:szCs w:val="24"/>
          <w:lang w:val="en-GB"/>
        </w:rPr>
        <w:t>development</w:t>
      </w:r>
      <w:r w:rsidR="00B602D8">
        <w:rPr>
          <w:rFonts w:ascii="Times New Roman" w:hAnsi="Times New Roman" w:cs="Times New Roman"/>
          <w:sz w:val="24"/>
          <w:szCs w:val="24"/>
          <w:lang w:val="en-GB"/>
        </w:rPr>
        <w:t xml:space="preserve"> of skill</w:t>
      </w:r>
      <w:r>
        <w:rPr>
          <w:rFonts w:ascii="Times New Roman" w:hAnsi="Times New Roman" w:cs="Times New Roman"/>
          <w:sz w:val="24"/>
          <w:szCs w:val="24"/>
          <w:lang w:val="en-GB"/>
        </w:rPr>
        <w:t>s</w:t>
      </w:r>
      <w:r w:rsidR="00B602D8">
        <w:rPr>
          <w:rFonts w:ascii="Times New Roman" w:hAnsi="Times New Roman" w:cs="Times New Roman"/>
          <w:sz w:val="24"/>
          <w:szCs w:val="24"/>
          <w:lang w:val="en-GB"/>
        </w:rPr>
        <w:t xml:space="preserve"> may also lead us to rethink what an instrument is in the first place. </w:t>
      </w:r>
      <w:r w:rsidR="001F3114">
        <w:rPr>
          <w:rFonts w:ascii="Times New Roman" w:hAnsi="Times New Roman" w:cs="Times New Roman"/>
          <w:sz w:val="24"/>
          <w:szCs w:val="24"/>
          <w:lang w:val="en-GB"/>
        </w:rPr>
        <w:t xml:space="preserve">So far, I have been concentrating on how the construction and interface of an instruments constructs particular ways of knowing and acting in the musician. However, </w:t>
      </w:r>
      <w:r w:rsidR="00BA4958">
        <w:rPr>
          <w:rFonts w:ascii="Times New Roman" w:hAnsi="Times New Roman" w:cs="Times New Roman"/>
          <w:sz w:val="24"/>
          <w:szCs w:val="24"/>
          <w:lang w:val="en-GB"/>
        </w:rPr>
        <w:t>t</w:t>
      </w:r>
      <w:r w:rsidR="00340722">
        <w:rPr>
          <w:rFonts w:ascii="Times New Roman" w:hAnsi="Times New Roman" w:cs="Times New Roman"/>
          <w:sz w:val="24"/>
          <w:szCs w:val="24"/>
          <w:lang w:val="en-GB"/>
        </w:rPr>
        <w:t xml:space="preserve">he primary focus on the instrument’s interface in new </w:t>
      </w:r>
      <w:proofErr w:type="spellStart"/>
      <w:r w:rsidR="00340722">
        <w:rPr>
          <w:rFonts w:ascii="Times New Roman" w:hAnsi="Times New Roman" w:cs="Times New Roman"/>
          <w:sz w:val="24"/>
          <w:szCs w:val="24"/>
          <w:lang w:val="en-GB"/>
        </w:rPr>
        <w:t>organological</w:t>
      </w:r>
      <w:proofErr w:type="spellEnd"/>
      <w:r w:rsidR="00340722">
        <w:rPr>
          <w:rFonts w:ascii="Times New Roman" w:hAnsi="Times New Roman" w:cs="Times New Roman"/>
          <w:sz w:val="24"/>
          <w:szCs w:val="24"/>
          <w:lang w:val="en-GB"/>
        </w:rPr>
        <w:t xml:space="preserve"> </w:t>
      </w:r>
      <w:r w:rsidR="00430962">
        <w:rPr>
          <w:rFonts w:ascii="Times New Roman" w:hAnsi="Times New Roman" w:cs="Times New Roman"/>
          <w:sz w:val="24"/>
          <w:szCs w:val="24"/>
          <w:lang w:val="en-GB"/>
        </w:rPr>
        <w:t>scholarship might  thus represent what philosopher Alfred North Whitehead would call a “fallacy of misplaced concreteness”</w:t>
      </w:r>
      <w:r w:rsidR="0041260A">
        <w:rPr>
          <w:rFonts w:ascii="Times New Roman" w:hAnsi="Times New Roman" w:cs="Times New Roman"/>
          <w:sz w:val="24"/>
          <w:szCs w:val="24"/>
          <w:lang w:val="en-GB"/>
        </w:rPr>
        <w:t xml:space="preserve"> </w:t>
      </w:r>
      <w:r w:rsidR="0041260A">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{"citationID":"tA7QBUiG","properties":{"formattedCitation":"(Whitehead 1926)","plainCitation":"(Whitehead 1926)","noteIndex":0},"citationItems":[{"id":141,"uris":["http://zotero.org/users/4953069/items/EV7SAXFM"],"uri":["http://zotero.org/users/4953069/items/EV7SAXFM"],"itemData":{"id":141,"type":"book","title":"Science and the Modern World","publisher":"Cambridge University Press","publisher-place":"Cambridge","event-place":"Cambridge","author":[{"family":"Whitehead","given":"Alfred North"}],"issued":{"date-parts":[["1926"]]}}}],"schema":"https://github.com/citation-style-language/schema/raw/master/csl-citation.json"} </w:instrText>
      </w:r>
      <w:r w:rsidR="0041260A">
        <w:rPr>
          <w:rFonts w:ascii="Times New Roman" w:hAnsi="Times New Roman" w:cs="Times New Roman"/>
          <w:sz w:val="24"/>
          <w:szCs w:val="24"/>
          <w:lang w:val="en-GB"/>
        </w:rPr>
        <w:fldChar w:fldCharType="separate"/>
      </w:r>
      <w:r w:rsidR="0041260A" w:rsidRPr="0041260A">
        <w:rPr>
          <w:rFonts w:ascii="Times New Roman" w:hAnsi="Times New Roman" w:cs="Times New Roman"/>
          <w:sz w:val="24"/>
          <w:lang w:val="en-GB"/>
        </w:rPr>
        <w:t>(Whitehead 1926)</w:t>
      </w:r>
      <w:r w:rsidR="0041260A">
        <w:rPr>
          <w:rFonts w:ascii="Times New Roman" w:hAnsi="Times New Roman" w:cs="Times New Roman"/>
          <w:sz w:val="24"/>
          <w:szCs w:val="24"/>
          <w:lang w:val="en-GB"/>
        </w:rPr>
        <w:fldChar w:fldCharType="end"/>
      </w:r>
      <w:r w:rsidR="00430962">
        <w:rPr>
          <w:rFonts w:ascii="Times New Roman" w:hAnsi="Times New Roman" w:cs="Times New Roman"/>
          <w:sz w:val="24"/>
          <w:szCs w:val="24"/>
          <w:lang w:val="en-GB"/>
        </w:rPr>
        <w:t xml:space="preserve">. To illustrate, </w:t>
      </w:r>
      <w:r w:rsidR="001F3114">
        <w:rPr>
          <w:rFonts w:ascii="Times New Roman" w:hAnsi="Times New Roman" w:cs="Times New Roman"/>
          <w:sz w:val="24"/>
          <w:szCs w:val="24"/>
          <w:lang w:val="en-GB"/>
        </w:rPr>
        <w:t>I recently heard Wilbert de Joode, a Dutch double bass player operating in the field of improvised music, explain at length why he preferred to use thick c</w:t>
      </w:r>
      <w:r w:rsidR="00D40DC1">
        <w:rPr>
          <w:rFonts w:ascii="Times New Roman" w:hAnsi="Times New Roman" w:cs="Times New Roman"/>
          <w:sz w:val="24"/>
          <w:szCs w:val="24"/>
          <w:lang w:val="en-GB"/>
        </w:rPr>
        <w:t>atgut strings instead of steel:</w:t>
      </w:r>
    </w:p>
    <w:p w14:paraId="3AF86C1C" w14:textId="01580F44" w:rsidR="00181BB4" w:rsidRPr="00D40DC1" w:rsidRDefault="00181BB4" w:rsidP="00D40DC1">
      <w:pPr>
        <w:spacing w:after="0" w:line="360" w:lineRule="auto"/>
        <w:ind w:left="709"/>
        <w:rPr>
          <w:rFonts w:ascii="Times New Roman" w:hAnsi="Times New Roman" w:cs="Times New Roman"/>
          <w:sz w:val="24"/>
          <w:szCs w:val="24"/>
          <w:lang w:val="en-GB"/>
        </w:rPr>
      </w:pPr>
      <w:r>
        <w:rPr>
          <w:rFonts w:ascii="Times New Roman" w:hAnsi="Times New Roman" w:cs="Times New Roman"/>
          <w:sz w:val="24"/>
          <w:szCs w:val="24"/>
          <w:lang w:val="en-GB"/>
        </w:rPr>
        <w:t>Such strings have to be made especially, they’re not of a standard thickness. One string may be made from around twenty intestines, which have to be wound together, which is a very slow process</w:t>
      </w:r>
      <w:r w:rsidR="00D40DC1">
        <w:rPr>
          <w:rFonts w:ascii="Times New Roman" w:hAnsi="Times New Roman" w:cs="Times New Roman"/>
          <w:sz w:val="24"/>
          <w:szCs w:val="24"/>
          <w:lang w:val="en-GB"/>
        </w:rPr>
        <w:t xml:space="preserve">—it’s not </w:t>
      </w:r>
      <w:r w:rsidR="00BA4958">
        <w:rPr>
          <w:rFonts w:ascii="Times New Roman" w:hAnsi="Times New Roman" w:cs="Times New Roman"/>
          <w:sz w:val="24"/>
          <w:szCs w:val="24"/>
          <w:lang w:val="en-GB"/>
        </w:rPr>
        <w:t>very</w:t>
      </w:r>
      <w:r w:rsidR="00D40DC1">
        <w:rPr>
          <w:rFonts w:ascii="Times New Roman" w:hAnsi="Times New Roman" w:cs="Times New Roman"/>
          <w:sz w:val="24"/>
          <w:szCs w:val="24"/>
          <w:lang w:val="en-GB"/>
        </w:rPr>
        <w:t xml:space="preserve"> vegan</w:t>
      </w:r>
      <w:r>
        <w:rPr>
          <w:rFonts w:ascii="Times New Roman" w:hAnsi="Times New Roman" w:cs="Times New Roman"/>
          <w:sz w:val="24"/>
          <w:szCs w:val="24"/>
          <w:lang w:val="en-GB"/>
        </w:rPr>
        <w:t>. I also want strings with little winding. In baroque music people play catgut strings, but those are extremely flexible str</w:t>
      </w:r>
      <w:r w:rsidR="00D40DC1">
        <w:rPr>
          <w:rFonts w:ascii="Times New Roman" w:hAnsi="Times New Roman" w:cs="Times New Roman"/>
          <w:sz w:val="24"/>
          <w:szCs w:val="24"/>
          <w:lang w:val="en-GB"/>
        </w:rPr>
        <w:t xml:space="preserve">ings. I like strings that offer resistance, that can create tension. This is a harp string, so it’s coloured because you have to know where the F is among all the hundred thousand strings on a harp, but I’ve tuned it higher, to a G. […] I use catgut strings because they don’t break; in improvised music you want to be an equal partner, and to be able to sound out your voice. </w:t>
      </w:r>
      <w:r w:rsidR="00D40DC1" w:rsidRPr="00D40DC1">
        <w:rPr>
          <w:rFonts w:ascii="Times New Roman" w:hAnsi="Times New Roman" w:cs="Times New Roman"/>
          <w:sz w:val="24"/>
          <w:szCs w:val="24"/>
          <w:lang w:val="en-GB"/>
        </w:rPr>
        <w:t>A large bass is always a little slow, which is great when you play tempo, but if you suddenly want to make a shift, do something else, then you need the sound to be</w:t>
      </w:r>
      <w:r w:rsidR="00D40DC1">
        <w:rPr>
          <w:rFonts w:ascii="Times New Roman" w:hAnsi="Times New Roman" w:cs="Times New Roman"/>
          <w:sz w:val="24"/>
          <w:szCs w:val="24"/>
          <w:lang w:val="en-GB"/>
        </w:rPr>
        <w:t xml:space="preserve"> able to pierce through everything else. I tried to do that with steel but they just broke. It also wasn’t the sound I was looking for.</w:t>
      </w:r>
      <w:r w:rsidR="002233E9">
        <w:rPr>
          <w:rFonts w:ascii="Times New Roman" w:hAnsi="Times New Roman" w:cs="Times New Roman"/>
          <w:sz w:val="24"/>
          <w:szCs w:val="24"/>
          <w:lang w:val="en-GB"/>
        </w:rPr>
        <w:t xml:space="preserve"> </w:t>
      </w:r>
      <w:r w:rsidR="002233E9">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{"citationID":"yzfenlvk","properties":{"formattedCitation":"(De Joode and Vingerhoeds 2016)","plainCitation":"(De Joode and Vingerhoeds 2016)","noteIndex":0},"citationItems":[{"id":167,"uris":["http://zotero.org/users/4953069/items/VMIRQ88U"],"uri":["http://zotero.org/users/4953069/items/VMIRQ88U"],"itemData":{"id":167,"type":"webpage","title":"Vera Vingerhoeds interviewt Wilbert de Joode","container-title":"YouTube","URL":"https://www.youtube.com/watch?v=NbgWrqSaaUk","author":[{"family":"De Joode","given":"Wilbert"},{"family":"Vingerhoeds","given":"Vera"}],"issued":{"date-parts":[["2016",12,11]]},"accessed":{"date-parts":[["2017",2,3]]}}}],"schema":"https://github.com/citation-style-language/schema/raw/master/csl-citation.json"} </w:instrText>
      </w:r>
      <w:r w:rsidR="002233E9">
        <w:rPr>
          <w:rFonts w:ascii="Times New Roman" w:hAnsi="Times New Roman" w:cs="Times New Roman"/>
          <w:sz w:val="24"/>
          <w:szCs w:val="24"/>
          <w:lang w:val="en-GB"/>
        </w:rPr>
        <w:fldChar w:fldCharType="separate"/>
      </w:r>
      <w:r w:rsidR="002233E9" w:rsidRPr="00990983">
        <w:rPr>
          <w:rFonts w:ascii="Times New Roman" w:hAnsi="Times New Roman" w:cs="Times New Roman"/>
          <w:sz w:val="24"/>
          <w:lang w:val="en-GB"/>
        </w:rPr>
        <w:t>(De Joode and Vingerhoeds 2016)</w:t>
      </w:r>
      <w:r w:rsidR="002233E9">
        <w:rPr>
          <w:rFonts w:ascii="Times New Roman" w:hAnsi="Times New Roman" w:cs="Times New Roman"/>
          <w:sz w:val="24"/>
          <w:szCs w:val="24"/>
          <w:lang w:val="en-GB"/>
        </w:rPr>
        <w:fldChar w:fldCharType="end"/>
      </w:r>
    </w:p>
    <w:p w14:paraId="27535F69" w14:textId="0554A2AB" w:rsidR="00BA4958" w:rsidRDefault="00D40DC1" w:rsidP="00BA4958">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lastRenderedPageBreak/>
        <w:t>His comments show the various considerations and actors that come into play only because of a string, which is</w:t>
      </w:r>
      <w:r w:rsidR="00C44AA5">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after all </w:t>
      </w:r>
      <w:r w:rsidR="00C44AA5">
        <w:rPr>
          <w:rFonts w:ascii="Times New Roman" w:hAnsi="Times New Roman" w:cs="Times New Roman"/>
          <w:sz w:val="24"/>
          <w:szCs w:val="24"/>
          <w:lang w:val="en-GB"/>
        </w:rPr>
        <w:t>only one part of his relation to his instrument</w:t>
      </w:r>
      <w:r>
        <w:rPr>
          <w:rFonts w:ascii="Times New Roman" w:hAnsi="Times New Roman" w:cs="Times New Roman"/>
          <w:sz w:val="24"/>
          <w:szCs w:val="24"/>
          <w:lang w:val="en-GB"/>
        </w:rPr>
        <w:t xml:space="preserve"> but brings into play concerns with style, interaction with fellow musicians, knowledge of other instruments, genre, even animal rights—the </w:t>
      </w:r>
      <w:r w:rsidRPr="00990983">
        <w:rPr>
          <w:rFonts w:ascii="Times New Roman" w:hAnsi="Times New Roman" w:cs="Times New Roman"/>
          <w:i/>
          <w:sz w:val="24"/>
          <w:szCs w:val="24"/>
          <w:lang w:val="en-GB"/>
        </w:rPr>
        <w:t>sound</w:t>
      </w:r>
      <w:r>
        <w:rPr>
          <w:rFonts w:ascii="Times New Roman" w:hAnsi="Times New Roman" w:cs="Times New Roman"/>
          <w:sz w:val="24"/>
          <w:szCs w:val="24"/>
          <w:lang w:val="en-GB"/>
        </w:rPr>
        <w:t xml:space="preserve"> of the material is </w:t>
      </w:r>
      <w:r w:rsidR="00990983">
        <w:rPr>
          <w:rFonts w:ascii="Times New Roman" w:hAnsi="Times New Roman" w:cs="Times New Roman"/>
          <w:sz w:val="24"/>
          <w:szCs w:val="24"/>
          <w:lang w:val="en-GB"/>
        </w:rPr>
        <w:t>almost</w:t>
      </w:r>
      <w:r>
        <w:rPr>
          <w:rFonts w:ascii="Times New Roman" w:hAnsi="Times New Roman" w:cs="Times New Roman"/>
          <w:sz w:val="24"/>
          <w:szCs w:val="24"/>
          <w:lang w:val="en-GB"/>
        </w:rPr>
        <w:t xml:space="preserve"> a</w:t>
      </w:r>
      <w:r w:rsidR="00990983">
        <w:rPr>
          <w:rFonts w:ascii="Times New Roman" w:hAnsi="Times New Roman" w:cs="Times New Roman"/>
          <w:sz w:val="24"/>
          <w:szCs w:val="24"/>
          <w:lang w:val="en-GB"/>
        </w:rPr>
        <w:t xml:space="preserve"> mere</w:t>
      </w:r>
      <w:r>
        <w:rPr>
          <w:rFonts w:ascii="Times New Roman" w:hAnsi="Times New Roman" w:cs="Times New Roman"/>
          <w:sz w:val="24"/>
          <w:szCs w:val="24"/>
          <w:lang w:val="en-GB"/>
        </w:rPr>
        <w:t xml:space="preserve"> afterthought.</w:t>
      </w:r>
      <w:r w:rsidR="00C44AA5">
        <w:rPr>
          <w:rFonts w:ascii="Times New Roman" w:hAnsi="Times New Roman" w:cs="Times New Roman"/>
          <w:sz w:val="24"/>
          <w:szCs w:val="24"/>
          <w:lang w:val="en-GB"/>
        </w:rPr>
        <w:t xml:space="preserve"> </w:t>
      </w:r>
      <w:r w:rsidR="00BA4958">
        <w:rPr>
          <w:rFonts w:ascii="Times New Roman" w:hAnsi="Times New Roman" w:cs="Times New Roman"/>
          <w:sz w:val="24"/>
          <w:szCs w:val="24"/>
          <w:lang w:val="en-GB"/>
        </w:rPr>
        <w:t>Professional musicians frequently have an intimate knowledge of their instrument that goes far beyond the interface as a site of interaction, and concerns</w:t>
      </w:r>
      <w:r w:rsidR="00C44AA5">
        <w:rPr>
          <w:rFonts w:ascii="Times New Roman" w:hAnsi="Times New Roman" w:cs="Times New Roman"/>
          <w:sz w:val="24"/>
          <w:szCs w:val="24"/>
          <w:lang w:val="en-GB"/>
        </w:rPr>
        <w:t xml:space="preserve"> the properties and behaviours of the </w:t>
      </w:r>
      <w:r w:rsidR="00C44AA5">
        <w:rPr>
          <w:rFonts w:ascii="Times New Roman" w:hAnsi="Times New Roman" w:cs="Times New Roman"/>
          <w:i/>
          <w:sz w:val="24"/>
          <w:szCs w:val="24"/>
          <w:lang w:val="en-GB"/>
        </w:rPr>
        <w:t>materials</w:t>
      </w:r>
      <w:r w:rsidR="00C44AA5">
        <w:rPr>
          <w:rFonts w:ascii="Times New Roman" w:hAnsi="Times New Roman" w:cs="Times New Roman"/>
          <w:sz w:val="24"/>
          <w:szCs w:val="24"/>
          <w:lang w:val="en-GB"/>
        </w:rPr>
        <w:t xml:space="preserve"> of which they are made up.</w:t>
      </w:r>
      <w:r w:rsidR="0013268A">
        <w:rPr>
          <w:rFonts w:ascii="Times New Roman" w:hAnsi="Times New Roman" w:cs="Times New Roman"/>
          <w:sz w:val="24"/>
          <w:szCs w:val="24"/>
          <w:lang w:val="en-GB"/>
        </w:rPr>
        <w:t xml:space="preserve"> Anthropologist Tim </w:t>
      </w:r>
      <w:proofErr w:type="spellStart"/>
      <w:r w:rsidR="0013268A">
        <w:rPr>
          <w:rFonts w:ascii="Times New Roman" w:hAnsi="Times New Roman" w:cs="Times New Roman"/>
          <w:sz w:val="24"/>
          <w:szCs w:val="24"/>
          <w:lang w:val="en-GB"/>
        </w:rPr>
        <w:t>Ingold</w:t>
      </w:r>
      <w:proofErr w:type="spellEnd"/>
      <w:r w:rsidR="0013268A">
        <w:rPr>
          <w:rFonts w:ascii="Times New Roman" w:hAnsi="Times New Roman" w:cs="Times New Roman"/>
          <w:sz w:val="24"/>
          <w:szCs w:val="24"/>
          <w:lang w:val="en-GB"/>
        </w:rPr>
        <w:t xml:space="preserve"> argues that the focus of material culture studies on “materiality” has resulted in a neglect of materials, which include not only wood, te</w:t>
      </w:r>
      <w:r w:rsidR="00BA4958">
        <w:rPr>
          <w:rFonts w:ascii="Times New Roman" w:hAnsi="Times New Roman" w:cs="Times New Roman"/>
          <w:sz w:val="24"/>
          <w:szCs w:val="24"/>
          <w:lang w:val="en-GB"/>
        </w:rPr>
        <w:t xml:space="preserve">xtiles, or stone, but also air and </w:t>
      </w:r>
      <w:r w:rsidR="0013268A">
        <w:rPr>
          <w:rFonts w:ascii="Times New Roman" w:hAnsi="Times New Roman" w:cs="Times New Roman"/>
          <w:sz w:val="24"/>
          <w:szCs w:val="24"/>
          <w:lang w:val="en-GB"/>
        </w:rPr>
        <w:t>water, and the forces of pressure and gravity that move them</w:t>
      </w:r>
      <w:r w:rsidR="002233E9">
        <w:rPr>
          <w:rFonts w:ascii="Times New Roman" w:hAnsi="Times New Roman" w:cs="Times New Roman"/>
          <w:sz w:val="24"/>
          <w:szCs w:val="24"/>
          <w:lang w:val="en-GB"/>
        </w:rPr>
        <w:t xml:space="preserve"> </w:t>
      </w:r>
      <w:r w:rsidR="002233E9">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{"citationID":"mxuGgCkq","properties":{"formattedCitation":"(Ingold 2007)","plainCitation":"(Ingold 2007)","noteIndex":0},"citationItems":[{"id":166,"uris":["http://zotero.org/users/4953069/items/6MTRKSUS"],"uri":["http://zotero.org/users/4953069/items/6MTRKSUS"],"itemData":{"id":166,"type":"article-journal","title":"Materials against materiality","container-title":"Archaeological Dialogues","page":"1-16","volume":"14","issue":"1","source":"Cambridge Core","abstract":"This article seeks to reverse the emphasis, in current studies of material culture, on the materiality of objects as against the properties of materials. Drawing on James Gibson's tripartite division of the inhabited environment into medium, substances and surfaces, it is argued that the forms of things are not imposed from without upon an inert substrate of matter, but are continually generated and dissolved within the fluxes of materials across the interface between substances and the medium that surrounds them. Thus things are active not because they are imbued with agency but because of ways in which they are caught up in these currents of the lifeworld. The properties of materials, then, are not fixed attributes of matter but are processual and relational. To describe these properties means telling their stories.","DOI":"10.1017/S1380203807002127","ISSN":"1478-2294, 1380-2038","author":[{"family":"Ingold","given":"Tim"}],"issued":{"date-parts":[["2007",6]]}}}],"schema":"https://github.com/citation-style-language/schema/raw/master/csl-citation.json"} </w:instrText>
      </w:r>
      <w:r w:rsidR="002233E9">
        <w:rPr>
          <w:rFonts w:ascii="Times New Roman" w:hAnsi="Times New Roman" w:cs="Times New Roman"/>
          <w:sz w:val="24"/>
          <w:szCs w:val="24"/>
          <w:lang w:val="en-GB"/>
        </w:rPr>
        <w:fldChar w:fldCharType="separate"/>
      </w:r>
      <w:r w:rsidR="002233E9" w:rsidRPr="002233E9">
        <w:rPr>
          <w:rFonts w:ascii="Times New Roman" w:hAnsi="Times New Roman" w:cs="Times New Roman"/>
          <w:sz w:val="24"/>
          <w:lang w:val="en-GB"/>
        </w:rPr>
        <w:t>(Ingold 2007)</w:t>
      </w:r>
      <w:r w:rsidR="002233E9">
        <w:rPr>
          <w:rFonts w:ascii="Times New Roman" w:hAnsi="Times New Roman" w:cs="Times New Roman"/>
          <w:sz w:val="24"/>
          <w:szCs w:val="24"/>
          <w:lang w:val="en-GB"/>
        </w:rPr>
        <w:fldChar w:fldCharType="end"/>
      </w:r>
      <w:r w:rsidR="0013268A">
        <w:rPr>
          <w:rFonts w:ascii="Times New Roman" w:hAnsi="Times New Roman" w:cs="Times New Roman"/>
          <w:sz w:val="24"/>
          <w:szCs w:val="24"/>
          <w:lang w:val="en-GB"/>
        </w:rPr>
        <w:t>. Creative work, for him, is not an engagement with finished and stable objects, but with materials that are always in m</w:t>
      </w:r>
      <w:r w:rsidR="00622960">
        <w:rPr>
          <w:rFonts w:ascii="Times New Roman" w:hAnsi="Times New Roman" w:cs="Times New Roman"/>
          <w:sz w:val="24"/>
          <w:szCs w:val="24"/>
          <w:lang w:val="en-GB"/>
        </w:rPr>
        <w:t>otion; developing creative skill is a matter of learning to wor</w:t>
      </w:r>
      <w:r w:rsidR="00BA4958">
        <w:rPr>
          <w:rFonts w:ascii="Times New Roman" w:hAnsi="Times New Roman" w:cs="Times New Roman"/>
          <w:sz w:val="24"/>
          <w:szCs w:val="24"/>
          <w:lang w:val="en-GB"/>
        </w:rPr>
        <w:t>k with these unfolding qualities</w:t>
      </w:r>
      <w:r w:rsidR="002233E9">
        <w:rPr>
          <w:rFonts w:ascii="Times New Roman" w:hAnsi="Times New Roman" w:cs="Times New Roman"/>
          <w:sz w:val="24"/>
          <w:szCs w:val="24"/>
          <w:lang w:val="en-GB"/>
        </w:rPr>
        <w:t xml:space="preserve"> </w:t>
      </w:r>
      <w:r w:rsidR="002233E9">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{"citationID":"0n7CwPnH","properties":{"formattedCitation":"(Ingold 2010)","plainCitation":"(Ingold 2010)","noteIndex":0},"citationItems":[{"id":248,"uris":["http://zotero.org/users/4953069/items/DDGEGM6N"],"uri":["http://zotero.org/users/4953069/items/DDGEGM6N"],"itemData":{"id":248,"type":"article-journal","title":"The textility of making","container-title":"Cambridge Journal of Economics","page":"91-102","volume":"34","issue":"1","source":"cje.oxfordjournals.org","abstract":"Contemporary discussions of art and technology continue to work on the assumption that making entails the imposition of form upon the material world, by an agent with a design in mind. Against this hylomorphic model of creation, I argue that the forms of things arise within fields of force and flows of material. It is by intervening in these force-fields and following the lines of flow that practitioners make things. In this view, making is a practice of weaving, in which practitioners bind their own pathways or lines of becoming into the texture of material flows comprising the lifeworld. Rather than reading creativity ‘backwards’, from a finished object to an initial intention in the mind of an agent, this entails reading it forwards, in an ongoing generative movement that is at once itinerant, improvisatory and rhythmic. To illustrate what this means in practice, I compare carpentry and drawing. In both cases, making is a matter of finding the grain of the world's becoming and following its course. Historically, it was the turn from drawing lines to pulling them straight, between predetermined points, which marked the transition from the textilic to the architectonic, debasing the former as craft while elevating the latter as technology.","DOI":"10.1093/cje/bep042","ISSN":"0309-166X, 1464-3545","journalAbbreviation":"Camb. J. Econ.","language":"en","author":[{"family":"Ingold","given":"Tim"}],"issued":{"date-parts":[["2010"]]}}}],"schema":"https://github.com/citation-style-language/schema/raw/master/csl-citation.json"} </w:instrText>
      </w:r>
      <w:r w:rsidR="002233E9">
        <w:rPr>
          <w:rFonts w:ascii="Times New Roman" w:hAnsi="Times New Roman" w:cs="Times New Roman"/>
          <w:sz w:val="24"/>
          <w:szCs w:val="24"/>
          <w:lang w:val="en-GB"/>
        </w:rPr>
        <w:fldChar w:fldCharType="separate"/>
      </w:r>
      <w:r w:rsidR="002233E9" w:rsidRPr="002233E9">
        <w:rPr>
          <w:rFonts w:ascii="Times New Roman" w:hAnsi="Times New Roman" w:cs="Times New Roman"/>
          <w:sz w:val="24"/>
          <w:lang w:val="en-GB"/>
        </w:rPr>
        <w:t>(Ingold 2010)</w:t>
      </w:r>
      <w:r w:rsidR="002233E9">
        <w:rPr>
          <w:rFonts w:ascii="Times New Roman" w:hAnsi="Times New Roman" w:cs="Times New Roman"/>
          <w:sz w:val="24"/>
          <w:szCs w:val="24"/>
          <w:lang w:val="en-GB"/>
        </w:rPr>
        <w:fldChar w:fldCharType="end"/>
      </w:r>
      <w:r w:rsidR="00BA4958">
        <w:rPr>
          <w:rFonts w:ascii="Times New Roman" w:hAnsi="Times New Roman" w:cs="Times New Roman"/>
          <w:sz w:val="24"/>
          <w:szCs w:val="24"/>
          <w:lang w:val="en-GB"/>
        </w:rPr>
        <w:t>.</w:t>
      </w:r>
    </w:p>
    <w:p w14:paraId="048B3CDD" w14:textId="12766521" w:rsidR="00BA4958" w:rsidRDefault="00C5467F" w:rsidP="00BA4958">
      <w:pPr>
        <w:spacing w:after="0" w:line="36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 xml:space="preserve">Although I have concentrated here on musical instruments, there are of course various other ways in which technologies can be seen to mediate modes of musical creativity. Marian </w:t>
      </w:r>
      <w:proofErr w:type="spellStart"/>
      <w:r>
        <w:rPr>
          <w:rFonts w:ascii="Times New Roman" w:hAnsi="Times New Roman" w:cs="Times New Roman"/>
          <w:sz w:val="24"/>
          <w:szCs w:val="24"/>
          <w:lang w:val="en-GB"/>
        </w:rPr>
        <w:t>Jago</w:t>
      </w:r>
      <w:proofErr w:type="spellEnd"/>
      <w:r>
        <w:rPr>
          <w:rFonts w:ascii="Times New Roman" w:hAnsi="Times New Roman" w:cs="Times New Roman"/>
          <w:sz w:val="24"/>
          <w:szCs w:val="24"/>
          <w:lang w:val="en-GB"/>
        </w:rPr>
        <w:t xml:space="preserve"> discusses the overdubbing practices of Lennie </w:t>
      </w:r>
      <w:proofErr w:type="spellStart"/>
      <w:r>
        <w:rPr>
          <w:rFonts w:ascii="Times New Roman" w:hAnsi="Times New Roman" w:cs="Times New Roman"/>
          <w:sz w:val="24"/>
          <w:szCs w:val="24"/>
          <w:lang w:val="en-GB"/>
        </w:rPr>
        <w:t>Tristano</w:t>
      </w:r>
      <w:proofErr w:type="spellEnd"/>
      <w:r>
        <w:rPr>
          <w:rFonts w:ascii="Times New Roman" w:hAnsi="Times New Roman" w:cs="Times New Roman"/>
          <w:sz w:val="24"/>
          <w:szCs w:val="24"/>
          <w:lang w:val="en-GB"/>
        </w:rPr>
        <w:t xml:space="preserve"> in the early 1950s, which were obviously an important element</w:t>
      </w:r>
      <w:r w:rsidR="00BE4CFC">
        <w:rPr>
          <w:rFonts w:ascii="Times New Roman" w:hAnsi="Times New Roman" w:cs="Times New Roman"/>
          <w:sz w:val="24"/>
          <w:szCs w:val="24"/>
          <w:lang w:val="en-GB"/>
        </w:rPr>
        <w:t xml:space="preserve"> of his musicianship, but are not easily accounted for in terms of improvisation as a “live” and interactive event </w:t>
      </w:r>
      <w:r w:rsidR="00BE4CFC">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{"citationID":"ymhOGSNo","properties":{"formattedCitation":"(Jago 2013)","plainCitation":"(Jago 2013)","noteIndex":0},"citationItems":[{"id":125,"uris":["http://zotero.org/users/4953069/items/G4Q8AEKU"],"uri":["http://zotero.org/users/4953069/items/G4Q8AEKU"],"itemData":{"id":125,"type":"article-journal","title":"What is a Jazz Record Anyway? Lennie Tristano And The Use Of Extended Studio Techniques In Jazz","container-title":"Journal on the Art of Record Production","volume":"8","URL":"http://arpjournal.com/what-is-a-jazz-record-anyway-lennie-tristano-and-the-use-of-extended-studio-techniques-in-jazz/","author":[{"family":"Jago","given":"Marian"}],"issued":{"date-parts":[["2013"]]},"accessed":{"date-parts":[["2017",2,7]]}}}],"schema":"https://github.com/citation-style-language/schema/raw/master/csl-citation.json"} </w:instrText>
      </w:r>
      <w:r w:rsidR="00BE4CFC">
        <w:rPr>
          <w:rFonts w:ascii="Times New Roman" w:hAnsi="Times New Roman" w:cs="Times New Roman"/>
          <w:sz w:val="24"/>
          <w:szCs w:val="24"/>
          <w:lang w:val="en-GB"/>
        </w:rPr>
        <w:fldChar w:fldCharType="separate"/>
      </w:r>
      <w:r w:rsidR="00BE4CFC" w:rsidRPr="00BE4CFC">
        <w:rPr>
          <w:rFonts w:ascii="Times New Roman" w:hAnsi="Times New Roman" w:cs="Times New Roman"/>
          <w:sz w:val="24"/>
          <w:lang w:val="en-GB"/>
        </w:rPr>
        <w:t>(Jago 2013)</w:t>
      </w:r>
      <w:r w:rsidR="00BE4CFC">
        <w:rPr>
          <w:rFonts w:ascii="Times New Roman" w:hAnsi="Times New Roman" w:cs="Times New Roman"/>
          <w:sz w:val="24"/>
          <w:szCs w:val="24"/>
          <w:lang w:val="en-GB"/>
        </w:rPr>
        <w:fldChar w:fldCharType="end"/>
      </w:r>
      <w:r w:rsidR="00BE4CFC">
        <w:rPr>
          <w:rFonts w:ascii="Times New Roman" w:hAnsi="Times New Roman" w:cs="Times New Roman"/>
          <w:sz w:val="24"/>
          <w:szCs w:val="24"/>
          <w:lang w:val="en-GB"/>
        </w:rPr>
        <w:t xml:space="preserve">. In my own research on Dutch improvising collective the Instant Composers Pool, I found that their approach to improvised music included the use of a large notated repertoire that offered different creative possibilities in performance, and were thus integral to their way of working. </w:t>
      </w:r>
      <w:r w:rsidR="0048532D">
        <w:rPr>
          <w:rFonts w:ascii="Times New Roman" w:hAnsi="Times New Roman" w:cs="Times New Roman"/>
          <w:sz w:val="24"/>
          <w:szCs w:val="24"/>
          <w:lang w:val="en-GB"/>
        </w:rPr>
        <w:t xml:space="preserve">This directly confronts more or less standard definitions of improvisation in terms of its opposition to the use of music notation </w:t>
      </w:r>
      <w:r w:rsidR="0048532D">
        <w:rPr>
          <w:rFonts w:ascii="Times New Roman" w:hAnsi="Times New Roman" w:cs="Times New Roman"/>
          <w:sz w:val="24"/>
          <w:szCs w:val="24"/>
          <w:lang w:val="en-GB"/>
        </w:rPr>
        <w:fldChar w:fldCharType="begin"/>
      </w:r>
      <w:r w:rsidR="0048532D">
        <w:rPr>
          <w:rFonts w:ascii="Times New Roman" w:hAnsi="Times New Roman" w:cs="Times New Roman"/>
          <w:sz w:val="24"/>
          <w:szCs w:val="24"/>
          <w:lang w:val="en-GB"/>
        </w:rPr>
        <w:instrText xml:space="preserve"> ADDIN ZOTERO_ITEM CSL_CITATION {"citationID":"MPR4xDK4","properties":{"formattedCitation":"(Schuiling 2016)","plainCitation":"(Schuiling 2016)"},"citationItems":[{"id":74,"uris":["http://zotero.org/users/local/BqC9nJ9t/items/Z9FUTW9T"],"uri":["http://zotero.org/users/local/BqC9nJ9t/items/Z9FUTW9T"],"itemData":{"id":74,"type":"article-journal","title":"The Instant Composers Pool: Music Notation and the Mediation of Improvising Agency","container-title":"Cadernos de Arte e Antropologia","page":"39-58","issue":"Vol. 5, No 1","source":"cadernosaa.revues.org","abstract":"This article relates the recent development of a “relational musicology” to debates about participatory art and relational aesthetics. I present results from an ethnographic study of the Dutch improvising music collective the Instant Composers Pool, founded in 1967 and still performing. With a background in jazz, experimental music and performance art, this group developed an improvisatory musical practice in which musical notations are freely used. These pieces mediate the social and creative agency of the musicians in the group. As such, they provide a case for reconsidering the nature of musical notation, and the distinction between composition and improvisation, which have been foundational for the academic study of music, and constitutive for a distinction between the aesthetic and the social. I employ the concept of “microtopia” to describe not only the way in which artistic practices subvert such conventional categories, but also to account for the value of ethnographic fieldwork to take such practices as inspiration for disciplinary innovation.","DOI":"10.4000/cadernosaa.1028","ISSN":"2238-0361","shortTitle":"The Instant Composers Pool","language":"en","author":[{"family":"Schuiling","given":"Floris"}],"issued":{"date-parts":[["2016",4,1]]}}}],"schema":"https://github.com/citation-style-language/schema/raw/master/csl-citation.json"} </w:instrText>
      </w:r>
      <w:r w:rsidR="0048532D">
        <w:rPr>
          <w:rFonts w:ascii="Times New Roman" w:hAnsi="Times New Roman" w:cs="Times New Roman"/>
          <w:sz w:val="24"/>
          <w:szCs w:val="24"/>
          <w:lang w:val="en-GB"/>
        </w:rPr>
        <w:fldChar w:fldCharType="separate"/>
      </w:r>
      <w:r w:rsidR="0048532D" w:rsidRPr="0048532D">
        <w:rPr>
          <w:rFonts w:ascii="Times New Roman" w:hAnsi="Times New Roman" w:cs="Times New Roman"/>
          <w:sz w:val="24"/>
          <w:lang w:val="en-GB"/>
        </w:rPr>
        <w:t>(Schuiling 2016)</w:t>
      </w:r>
      <w:r w:rsidR="0048532D">
        <w:rPr>
          <w:rFonts w:ascii="Times New Roman" w:hAnsi="Times New Roman" w:cs="Times New Roman"/>
          <w:sz w:val="24"/>
          <w:szCs w:val="24"/>
          <w:lang w:val="en-GB"/>
        </w:rPr>
        <w:fldChar w:fldCharType="end"/>
      </w:r>
      <w:r w:rsidR="0048532D">
        <w:rPr>
          <w:rFonts w:ascii="Times New Roman" w:hAnsi="Times New Roman" w:cs="Times New Roman"/>
          <w:sz w:val="24"/>
          <w:szCs w:val="24"/>
          <w:lang w:val="en-GB"/>
        </w:rPr>
        <w:t xml:space="preserve">. As in the example of </w:t>
      </w:r>
      <w:r w:rsidR="0048532D">
        <w:rPr>
          <w:rFonts w:ascii="Times New Roman" w:hAnsi="Times New Roman" w:cs="Times New Roman"/>
          <w:i/>
          <w:sz w:val="24"/>
          <w:szCs w:val="24"/>
          <w:lang w:val="en-GB"/>
        </w:rPr>
        <w:t>Blue</w:t>
      </w:r>
      <w:r w:rsidR="0048532D">
        <w:rPr>
          <w:rFonts w:ascii="Times New Roman" w:hAnsi="Times New Roman" w:cs="Times New Roman"/>
          <w:sz w:val="24"/>
          <w:szCs w:val="24"/>
          <w:lang w:val="en-GB"/>
        </w:rPr>
        <w:t xml:space="preserve">, such reconfigurations of creative agency are entangled in the dynamics of genre; </w:t>
      </w:r>
      <w:proofErr w:type="spellStart"/>
      <w:r w:rsidR="0048532D">
        <w:rPr>
          <w:rFonts w:ascii="Times New Roman" w:hAnsi="Times New Roman" w:cs="Times New Roman"/>
          <w:sz w:val="24"/>
          <w:szCs w:val="24"/>
          <w:lang w:val="en-GB"/>
        </w:rPr>
        <w:t>Jago</w:t>
      </w:r>
      <w:proofErr w:type="spellEnd"/>
      <w:r w:rsidR="0048532D">
        <w:rPr>
          <w:rFonts w:ascii="Times New Roman" w:hAnsi="Times New Roman" w:cs="Times New Roman"/>
          <w:sz w:val="24"/>
          <w:szCs w:val="24"/>
          <w:lang w:val="en-GB"/>
        </w:rPr>
        <w:t xml:space="preserve"> recounts how the production and reception of </w:t>
      </w:r>
      <w:proofErr w:type="spellStart"/>
      <w:r w:rsidR="0048532D">
        <w:rPr>
          <w:rFonts w:ascii="Times New Roman" w:hAnsi="Times New Roman" w:cs="Times New Roman"/>
          <w:sz w:val="24"/>
          <w:szCs w:val="24"/>
          <w:lang w:val="en-GB"/>
        </w:rPr>
        <w:t>Tristano’s</w:t>
      </w:r>
      <w:proofErr w:type="spellEnd"/>
      <w:r w:rsidR="0048532D">
        <w:rPr>
          <w:rFonts w:ascii="Times New Roman" w:hAnsi="Times New Roman" w:cs="Times New Roman"/>
          <w:sz w:val="24"/>
          <w:szCs w:val="24"/>
          <w:lang w:val="en-GB"/>
        </w:rPr>
        <w:t xml:space="preserve"> experiments involved a negotiation of perceived genre boundaries, and in the case of the ICP their practice resulted from a cultural position in between free jazz, contemporary art music, and the experimental performance art of </w:t>
      </w:r>
      <w:proofErr w:type="spellStart"/>
      <w:r w:rsidR="0048532D">
        <w:rPr>
          <w:rFonts w:ascii="Times New Roman" w:hAnsi="Times New Roman" w:cs="Times New Roman"/>
          <w:sz w:val="24"/>
          <w:szCs w:val="24"/>
          <w:lang w:val="en-GB"/>
        </w:rPr>
        <w:t>Fluxus</w:t>
      </w:r>
      <w:proofErr w:type="spellEnd"/>
      <w:r w:rsidR="0048532D">
        <w:rPr>
          <w:rFonts w:ascii="Times New Roman" w:hAnsi="Times New Roman" w:cs="Times New Roman"/>
          <w:sz w:val="24"/>
          <w:szCs w:val="24"/>
          <w:lang w:val="en-GB"/>
        </w:rPr>
        <w:t xml:space="preserve"> </w:t>
      </w:r>
      <w:r w:rsidR="0048532D">
        <w:rPr>
          <w:rFonts w:ascii="Times New Roman" w:hAnsi="Times New Roman" w:cs="Times New Roman"/>
          <w:sz w:val="24"/>
          <w:szCs w:val="24"/>
          <w:lang w:val="en-GB"/>
        </w:rPr>
        <w:fldChar w:fldCharType="begin"/>
      </w:r>
      <w:r w:rsidR="0048532D">
        <w:rPr>
          <w:rFonts w:ascii="Times New Roman" w:hAnsi="Times New Roman" w:cs="Times New Roman"/>
          <w:sz w:val="24"/>
          <w:szCs w:val="24"/>
          <w:lang w:val="en-GB"/>
        </w:rPr>
        <w:instrText xml:space="preserve"> ADDIN ZOTERO_ITEM CSL_CITATION {"citationID":"PKIWgkhb","properties":{"formattedCitation":"(Schuiling forthcoming)","plainCitation":"(Schuiling forthcoming)"},"citationItems":[{"id":526,"uris":["http://zotero.org/users/local/BqC9nJ9t/items/Z54ABIFJ"],"uri":["http://zotero.org/users/local/BqC9nJ9t/items/Z54ABIFJ"],"itemData":{"id":526,"type":"chapter","title":"The Ontology of Instant Composition: The ICP Orchestra and the Relationality of Improvisation","container-title":"Sound Changes: Improvisation, Social Practice, and Cultural Difference","publisher":"Duke University Press","publisher-place":"Durham","event-place":"Durham","author":[{"family":"Schuiling","given":"Floris"}],"editor":[{"family":"Fischlin","given":"Daniel"},{"family":"Porter","given":"Eric"}],"issued":{"literal":"forthcoming"}}}],"schema":"https://github.com/citation-style-language/schema/raw/master/csl-citation.json"} </w:instrText>
      </w:r>
      <w:r w:rsidR="0048532D">
        <w:rPr>
          <w:rFonts w:ascii="Times New Roman" w:hAnsi="Times New Roman" w:cs="Times New Roman"/>
          <w:sz w:val="24"/>
          <w:szCs w:val="24"/>
          <w:lang w:val="en-GB"/>
        </w:rPr>
        <w:fldChar w:fldCharType="separate"/>
      </w:r>
      <w:r w:rsidR="0048532D" w:rsidRPr="0048532D">
        <w:rPr>
          <w:rFonts w:ascii="Times New Roman" w:hAnsi="Times New Roman" w:cs="Times New Roman"/>
          <w:sz w:val="24"/>
          <w:lang w:val="en-GB"/>
        </w:rPr>
        <w:t>(Schuiling forthcoming)</w:t>
      </w:r>
      <w:r w:rsidR="0048532D">
        <w:rPr>
          <w:rFonts w:ascii="Times New Roman" w:hAnsi="Times New Roman" w:cs="Times New Roman"/>
          <w:sz w:val="24"/>
          <w:szCs w:val="24"/>
          <w:lang w:val="en-GB"/>
        </w:rPr>
        <w:fldChar w:fldCharType="end"/>
      </w:r>
      <w:r w:rsidR="0048532D">
        <w:rPr>
          <w:rFonts w:ascii="Times New Roman" w:hAnsi="Times New Roman" w:cs="Times New Roman"/>
          <w:sz w:val="24"/>
          <w:szCs w:val="24"/>
          <w:lang w:val="en-GB"/>
        </w:rPr>
        <w:t>.</w:t>
      </w:r>
    </w:p>
    <w:p w14:paraId="539A47A2" w14:textId="6F9FC3D1" w:rsidR="00EB6393" w:rsidRDefault="0048532D" w:rsidP="00996481">
      <w:pPr>
        <w:spacing w:after="0" w:line="36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 xml:space="preserve">Further research into topics like these might lead to a reconsideration of improvisation, to use Moseley’s words, as “a response as well as a call”, in ways that “challenge distinctions between action and reaction” </w:t>
      </w:r>
      <w:r>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{"citationID":"xHDUsRAz","properties":{"formattedCitation":"(Moseley 2016)","plainCitation":"(Moseley 2016)","dontUpdate":true,"noteIndex":0},"citationItems":[{"id":384,"uris":["http://zotero.org/users/4953069/items/FJ5BSE2S"],"uri":["http://zotero.org/users/4953069/items/FJ5BSE2S"],"itemData":{"id":384,"type":"book","title":"Keys to Play: Music as a Ludic Medium from Apollo to Nintendo","publisher":"University of California Press","publisher-place":"Berkeley","number-of-pages":"486","source":"Google Books","event-place":"Berkeley","abstract":"At publication date, a free ebook version of this title will be available through Luminos, University of California Press's open access publishing program for monographs. Visit www.luminosoa.org to learn more.  How do keyboards make music playable? Drawing on theories of media, systems, and cultural techniques, Keys to Play spans Greek myth and contemporary Japanese digital games to chart a genealogy of musical play and its animation via improvisation, performance, and recreation. As a paradigmatic digital interface, the keyboard forms a field of play on which the book's diverse objects of inquiry--from clavichords to PCs and eighteenth-century musical dice games to the latest rhythm-action titles--enter into analogical relations. Remapping the keyboard's topography by way of Mozart and Super Mario, who head an expansive cast of historical and virtual actors, Keys to Play invites readers to unlock ludic dimensions of music that are at once old and new.","ISBN":"978-0-520-29124-9","note":"Google-Books-ID: C1b_jwEACAAJ","shortTitle":"Keys to Play","language":"en","author":[{"family":"Moseley","given":"Roger"}],"issued":{"date-parts":[["2016"]]}}}],"schema":"https://github.com/citation-style-language/schema/raw/master/csl-citation.json"} </w:instrText>
      </w:r>
      <w:r>
        <w:rPr>
          <w:rFonts w:ascii="Times New Roman" w:hAnsi="Times New Roman" w:cs="Times New Roman"/>
          <w:sz w:val="24"/>
          <w:szCs w:val="24"/>
          <w:lang w:val="en-GB"/>
        </w:rPr>
        <w:fldChar w:fldCharType="separate"/>
      </w:r>
      <w:r w:rsidRPr="002233E9">
        <w:rPr>
          <w:rFonts w:ascii="Times New Roman" w:hAnsi="Times New Roman" w:cs="Times New Roman"/>
          <w:sz w:val="24"/>
          <w:lang w:val="en-GB"/>
        </w:rPr>
        <w:t>(Moseley 2016: 177)</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w:t>
      </w:r>
      <w:r w:rsidR="000B4D47">
        <w:rPr>
          <w:rFonts w:ascii="Times New Roman" w:hAnsi="Times New Roman" w:cs="Times New Roman"/>
          <w:sz w:val="24"/>
          <w:szCs w:val="24"/>
          <w:lang w:val="en-GB"/>
        </w:rPr>
        <w:t xml:space="preserve">The concept of “bricolage” is enjoying renewed attention in </w:t>
      </w:r>
      <w:r w:rsidR="00281A88">
        <w:rPr>
          <w:rFonts w:ascii="Times New Roman" w:hAnsi="Times New Roman" w:cs="Times New Roman"/>
          <w:sz w:val="24"/>
          <w:szCs w:val="24"/>
          <w:lang w:val="en-GB"/>
        </w:rPr>
        <w:t>anthropology</w:t>
      </w:r>
      <w:r w:rsidR="00890BFB">
        <w:rPr>
          <w:rFonts w:ascii="Times New Roman" w:hAnsi="Times New Roman" w:cs="Times New Roman"/>
          <w:sz w:val="24"/>
          <w:szCs w:val="24"/>
          <w:lang w:val="en-GB"/>
        </w:rPr>
        <w:t>, as scholars are becoming increasingly aware of the importance and ubiquity of improvisation</w:t>
      </w:r>
      <w:r w:rsidR="00281A88">
        <w:rPr>
          <w:rFonts w:ascii="Times New Roman" w:hAnsi="Times New Roman" w:cs="Times New Roman"/>
          <w:sz w:val="24"/>
          <w:szCs w:val="24"/>
          <w:lang w:val="en-GB"/>
        </w:rPr>
        <w:t>, not only in creative practices</w:t>
      </w:r>
      <w:r w:rsidR="00890BFB">
        <w:rPr>
          <w:rFonts w:ascii="Times New Roman" w:hAnsi="Times New Roman" w:cs="Times New Roman"/>
          <w:sz w:val="24"/>
          <w:szCs w:val="24"/>
          <w:lang w:val="en-GB"/>
        </w:rPr>
        <w:t xml:space="preserve"> </w:t>
      </w:r>
      <w:r w:rsidR="00890BFB">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{"citationID":"zRHWtC7F","properties":{"formattedCitation":"(Hallam and Ingold 2007; Wilf 2014)","plainCitation":"(Hallam and Ingold 2007; Wilf 2014)","noteIndex":0},"citationItems":[{"id":122,"uris":["http://zotero.org/users/4953069/items/ZZ9TDU2P"],"uri":["http://zotero.org/users/4953069/items/ZZ9TDU2P"],"itemData":{"id":122,"type":"book","title":"Creativity and cultural improvisation","publisher":"Berg","publisher-place":"Oxford","event-place":"Oxford","editor":[{"family":"Hallam","given":"Elizabeth"},{"family":"Ingold","given":"Tim"}],"issued":{"date-parts":[["2007"]]}}},{"id":121,"uris":["http://zotero.org/users/4953069/items/BIU92GFD"],"uri":["http://zotero.org/users/4953069/items/BIU92GFD"],"itemData":{"id":121,"type":"article-journal","title":"Semiotic Dimensions of Creativity","container-title":"Annual Review of Anthropology","page":"397-412","volume":"43","author":[{"family":"Wilf","given":"Eitan"}],"issued":{"date-parts":[["2014"]]}}}],"schema":"https://github.com/citation-style-language/schema/raw/master/csl-citation.json"} </w:instrText>
      </w:r>
      <w:r w:rsidR="00890BFB">
        <w:rPr>
          <w:rFonts w:ascii="Times New Roman" w:hAnsi="Times New Roman" w:cs="Times New Roman"/>
          <w:sz w:val="24"/>
          <w:szCs w:val="24"/>
          <w:lang w:val="en-GB"/>
        </w:rPr>
        <w:fldChar w:fldCharType="separate"/>
      </w:r>
      <w:r w:rsidR="00890BFB" w:rsidRPr="00890BFB">
        <w:rPr>
          <w:rFonts w:ascii="Times New Roman" w:hAnsi="Times New Roman" w:cs="Times New Roman"/>
          <w:sz w:val="24"/>
          <w:lang w:val="en-GB"/>
        </w:rPr>
        <w:t>(Hallam and Ingold 2007; Wilf 2014)</w:t>
      </w:r>
      <w:r w:rsidR="00890BFB">
        <w:rPr>
          <w:rFonts w:ascii="Times New Roman" w:hAnsi="Times New Roman" w:cs="Times New Roman"/>
          <w:sz w:val="24"/>
          <w:szCs w:val="24"/>
          <w:lang w:val="en-GB"/>
        </w:rPr>
        <w:fldChar w:fldCharType="end"/>
      </w:r>
      <w:r w:rsidR="00281A88">
        <w:rPr>
          <w:rFonts w:ascii="Times New Roman" w:hAnsi="Times New Roman" w:cs="Times New Roman"/>
          <w:sz w:val="24"/>
          <w:szCs w:val="24"/>
          <w:lang w:val="en-GB"/>
        </w:rPr>
        <w:t xml:space="preserve">, but to </w:t>
      </w:r>
      <w:r w:rsidR="00890BFB">
        <w:rPr>
          <w:rFonts w:ascii="Times New Roman" w:hAnsi="Times New Roman" w:cs="Times New Roman"/>
          <w:sz w:val="24"/>
          <w:szCs w:val="24"/>
          <w:lang w:val="en-GB"/>
        </w:rPr>
        <w:t xml:space="preserve">account for the relational dynamics by which objects accrue their cultural significance more generally, as well as to characterize the process by which people </w:t>
      </w:r>
      <w:r w:rsidR="00890BFB">
        <w:rPr>
          <w:rFonts w:ascii="Times New Roman" w:hAnsi="Times New Roman" w:cs="Times New Roman"/>
          <w:sz w:val="24"/>
          <w:szCs w:val="24"/>
          <w:lang w:val="en-GB"/>
        </w:rPr>
        <w:lastRenderedPageBreak/>
        <w:t xml:space="preserve">negotiate the variously fluid, resistant, and emergent properties of material objects </w:t>
      </w:r>
      <w:r w:rsidR="00890BFB">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{"citationID":"4ITtftM9","properties":{"formattedCitation":"(Suchman 2007; Ingold 2012)","plainCitation":"(Suchman 2007; Ingold 2012)","noteIndex":0},"citationItems":[{"id":140,"uris":["http://zotero.org/users/4953069/items/3XXM83G7"],"uri":["http://zotero.org/users/4953069/items/3XXM83G7"],"itemData":{"id":140,"type":"book","title":"Human-Machine Reconfigurations: Plans and Situated Actions","publisher":"Cambridge University Press","publisher-place":"Cambridge","volume":"2nd Edition","event-place":"Cambridge","author":[{"family":"Suchman","given":"Lucy"}],"issued":{"date-parts":[["2007"]]}}},{"id":131,"uris":["http://zotero.org/users/4953069/items/65GKSMSF"],"uri":["http://zotero.org/users/4953069/items/65GKSMSF"],"itemData":{"id":131,"type":"article-journal","title":"Toward an Ecology of Materials","container-title":"Annual Review of Anthropology","page":"427-442","volume":"41","abstract":"Both material culture studies and ecological anthropology are concerned with the material conditions of social and cultural life. Yet despite advances in each of these fields that have eroded traditional divisions between humanistic and science-based approaches, their respective practitioners continue to talk past one another in largely incommensurate theoretical languages. This review of recent trends in the study of material culture finds the reasons for this in (a) a conception of the material world and the nonhuman that leaves no space for living organisms, (b) an emphasis on materiality that prioritizes finished artifacts over the properties of materials, and (c) a conflation of things with objects that stops up the flows of energy and circulations of materials on which life depends. To overcome these limitations, the review proposes an ecology of materials that focuses on their enrollment in form-making processes. It concludes with some observations on materials, mind, and time.","language":"en","author":[{"family":"Ingold","given":"Tim"}],"issued":{"date-parts":[["2012"]]}}}],"schema":"https://github.com/citation-style-language/schema/raw/master/csl-citation.json"} </w:instrText>
      </w:r>
      <w:r w:rsidR="00890BFB">
        <w:rPr>
          <w:rFonts w:ascii="Times New Roman" w:hAnsi="Times New Roman" w:cs="Times New Roman"/>
          <w:sz w:val="24"/>
          <w:szCs w:val="24"/>
          <w:lang w:val="en-GB"/>
        </w:rPr>
        <w:fldChar w:fldCharType="separate"/>
      </w:r>
      <w:r w:rsidR="00996481" w:rsidRPr="00E9600C">
        <w:rPr>
          <w:rFonts w:ascii="Times New Roman" w:hAnsi="Times New Roman" w:cs="Times New Roman"/>
          <w:sz w:val="24"/>
          <w:lang w:val="en-GB"/>
        </w:rPr>
        <w:t>(Suchman 2007; Ingold 2012)</w:t>
      </w:r>
      <w:r w:rsidR="00890BFB">
        <w:rPr>
          <w:rFonts w:ascii="Times New Roman" w:hAnsi="Times New Roman" w:cs="Times New Roman"/>
          <w:sz w:val="24"/>
          <w:szCs w:val="24"/>
          <w:lang w:val="en-GB"/>
        </w:rPr>
        <w:fldChar w:fldCharType="end"/>
      </w:r>
      <w:r w:rsidR="00890BFB">
        <w:rPr>
          <w:rFonts w:ascii="Times New Roman" w:hAnsi="Times New Roman" w:cs="Times New Roman"/>
          <w:sz w:val="24"/>
          <w:szCs w:val="24"/>
          <w:lang w:val="en-GB"/>
        </w:rPr>
        <w:t>. Jazz scholars, who have developed a detailed and sophisticated vocabulary for speaking about improvisation, have much to contribute to such discussions.</w:t>
      </w:r>
      <w:r w:rsidR="00281A88">
        <w:rPr>
          <w:rFonts w:ascii="Times New Roman" w:hAnsi="Times New Roman" w:cs="Times New Roman"/>
          <w:sz w:val="24"/>
          <w:szCs w:val="24"/>
          <w:lang w:val="en-GB"/>
        </w:rPr>
        <w:t xml:space="preserve"> </w:t>
      </w:r>
    </w:p>
    <w:p w14:paraId="61288B6D" w14:textId="77777777" w:rsidR="00333635" w:rsidRDefault="00333635" w:rsidP="00333635">
      <w:pPr>
        <w:spacing w:after="0" w:line="360" w:lineRule="auto"/>
        <w:rPr>
          <w:rFonts w:ascii="Times New Roman" w:hAnsi="Times New Roman" w:cs="Times New Roman"/>
          <w:sz w:val="24"/>
          <w:szCs w:val="24"/>
          <w:lang w:val="en-GB"/>
        </w:rPr>
      </w:pPr>
    </w:p>
    <w:p w14:paraId="180A298B" w14:textId="6A63DEB3" w:rsidR="00333635" w:rsidRDefault="00333635" w:rsidP="00333635">
      <w:pPr>
        <w:spacing w:after="0" w:line="360" w:lineRule="auto"/>
        <w:rPr>
          <w:rFonts w:ascii="Times New Roman" w:hAnsi="Times New Roman" w:cs="Times New Roman"/>
          <w:b/>
          <w:sz w:val="24"/>
          <w:szCs w:val="24"/>
          <w:lang w:val="en-GB"/>
        </w:rPr>
      </w:pPr>
      <w:r>
        <w:rPr>
          <w:rFonts w:ascii="Times New Roman" w:hAnsi="Times New Roman" w:cs="Times New Roman"/>
          <w:b/>
          <w:sz w:val="24"/>
          <w:szCs w:val="24"/>
          <w:lang w:val="en-GB"/>
        </w:rPr>
        <w:t>References</w:t>
      </w:r>
    </w:p>
    <w:p w14:paraId="58E87F2E" w14:textId="77777777" w:rsidR="00333635" w:rsidRDefault="00333635" w:rsidP="00333635">
      <w:pPr>
        <w:spacing w:after="0" w:line="360" w:lineRule="auto"/>
        <w:rPr>
          <w:rFonts w:ascii="Times New Roman" w:hAnsi="Times New Roman" w:cs="Times New Roman"/>
          <w:b/>
          <w:sz w:val="24"/>
          <w:szCs w:val="24"/>
          <w:lang w:val="en-GB"/>
        </w:rPr>
      </w:pPr>
    </w:p>
    <w:p w14:paraId="5E399C0A" w14:textId="77777777" w:rsidR="00E9600C" w:rsidRPr="00E9600C" w:rsidRDefault="00333635" w:rsidP="00E9600C">
      <w:pPr>
        <w:pStyle w:val="Bibliografie"/>
        <w:rPr>
          <w:lang w:val="en-GB"/>
        </w:rPr>
      </w:pPr>
      <w:r>
        <w:rPr>
          <w:b/>
          <w:lang w:val="en-GB"/>
        </w:rPr>
        <w:fldChar w:fldCharType="begin"/>
      </w:r>
      <w:r>
        <w:rPr>
          <w:b/>
          <w:lang w:val="en-GB"/>
        </w:rPr>
        <w:instrText xml:space="preserve"> ADDIN ZOTERO_BIBL {"custom":[]} CSL_BIBLIOGRAPHY </w:instrText>
      </w:r>
      <w:r>
        <w:rPr>
          <w:b/>
          <w:lang w:val="en-GB"/>
        </w:rPr>
        <w:fldChar w:fldCharType="separate"/>
      </w:r>
      <w:r w:rsidR="00E9600C" w:rsidRPr="00E9600C">
        <w:rPr>
          <w:lang w:val="en-GB"/>
        </w:rPr>
        <w:t xml:space="preserve">Akrich, Madeleine, and Bruno Latour. 1992. ‘A Summary of a Convenient Vocabulary for the Semiotics of Human and Nonhuman Assemblies’. In </w:t>
      </w:r>
      <w:r w:rsidR="00E9600C" w:rsidRPr="00E9600C">
        <w:rPr>
          <w:i/>
          <w:iCs/>
          <w:lang w:val="en-GB"/>
        </w:rPr>
        <w:t>Shaping Technology/Building Society: Studies in Sociotechnical Change</w:t>
      </w:r>
      <w:r w:rsidR="00E9600C" w:rsidRPr="00E9600C">
        <w:rPr>
          <w:lang w:val="en-GB"/>
        </w:rPr>
        <w:t>, edited by Wiebe E. Bijker and John Law, 259–64. Cambridge, MA: MIT Press.</w:t>
      </w:r>
    </w:p>
    <w:p w14:paraId="63241894" w14:textId="77777777" w:rsidR="00E9600C" w:rsidRPr="00E9600C" w:rsidRDefault="00E9600C" w:rsidP="00E9600C">
      <w:pPr>
        <w:pStyle w:val="Bibliografie"/>
        <w:rPr>
          <w:lang w:val="en-GB"/>
        </w:rPr>
      </w:pPr>
      <w:r w:rsidRPr="00E9600C">
        <w:rPr>
          <w:lang w:val="en-GB"/>
        </w:rPr>
        <w:t xml:space="preserve">Auslander, Philip. 2006. ‘Musical Personae’. </w:t>
      </w:r>
      <w:r w:rsidRPr="00E9600C">
        <w:rPr>
          <w:i/>
          <w:iCs/>
          <w:lang w:val="en-GB"/>
        </w:rPr>
        <w:t>TDR/The Drama Review</w:t>
      </w:r>
      <w:r w:rsidRPr="00E9600C">
        <w:rPr>
          <w:lang w:val="en-GB"/>
        </w:rPr>
        <w:t xml:space="preserve"> 50 (1): 100–119. https://doi.org/10.1162/dram.2006.50.1.100.</w:t>
      </w:r>
    </w:p>
    <w:p w14:paraId="7ACFC3A6" w14:textId="77777777" w:rsidR="00E9600C" w:rsidRPr="00E9600C" w:rsidRDefault="00E9600C" w:rsidP="00E9600C">
      <w:pPr>
        <w:pStyle w:val="Bibliografie"/>
        <w:rPr>
          <w:lang w:val="en-GB"/>
        </w:rPr>
      </w:pPr>
      <w:r w:rsidRPr="00E9600C">
        <w:rPr>
          <w:lang w:val="en-GB"/>
        </w:rPr>
        <w:t xml:space="preserve">Baily, John. 1995. ‘Music and the Body’. </w:t>
      </w:r>
      <w:r w:rsidRPr="00E9600C">
        <w:rPr>
          <w:i/>
          <w:iCs/>
          <w:lang w:val="en-GB"/>
        </w:rPr>
        <w:t>The World of Music</w:t>
      </w:r>
      <w:r w:rsidRPr="00E9600C">
        <w:rPr>
          <w:lang w:val="en-GB"/>
        </w:rPr>
        <w:t xml:space="preserve"> 37 (2): 11–30.</w:t>
      </w:r>
    </w:p>
    <w:p w14:paraId="0F91A800" w14:textId="77777777" w:rsidR="00E9600C" w:rsidRPr="00E9600C" w:rsidRDefault="00E9600C" w:rsidP="00E9600C">
      <w:pPr>
        <w:pStyle w:val="Bibliografie"/>
        <w:rPr>
          <w:lang w:val="en-GB"/>
        </w:rPr>
      </w:pPr>
      <w:r w:rsidRPr="00E9600C">
        <w:rPr>
          <w:lang w:val="en-GB"/>
        </w:rPr>
        <w:t xml:space="preserve">Barad, Karen. 2003. ‘Posthumanist Performativity: Toward an Understanding of How Matter Comes to Matter’. </w:t>
      </w:r>
      <w:r w:rsidRPr="00E9600C">
        <w:rPr>
          <w:i/>
          <w:iCs/>
          <w:lang w:val="en-GB"/>
        </w:rPr>
        <w:t>Signs</w:t>
      </w:r>
      <w:r w:rsidRPr="00E9600C">
        <w:rPr>
          <w:lang w:val="en-GB"/>
        </w:rPr>
        <w:t xml:space="preserve"> 28 (3): 801–31. https://doi.org/10.1086/345321.</w:t>
      </w:r>
    </w:p>
    <w:p w14:paraId="61E6C2AB" w14:textId="77777777" w:rsidR="00E9600C" w:rsidRPr="00E9600C" w:rsidRDefault="00E9600C" w:rsidP="00E9600C">
      <w:pPr>
        <w:pStyle w:val="Bibliografie"/>
        <w:rPr>
          <w:lang w:val="en-GB"/>
        </w:rPr>
      </w:pPr>
      <w:r w:rsidRPr="00E9600C">
        <w:rPr>
          <w:lang w:val="en-GB"/>
        </w:rPr>
        <w:t xml:space="preserve">Barnett, Kyle S. 2006. ‘Furniture Music: The Phonograph as Furniture, 1900–1930’. </w:t>
      </w:r>
      <w:r w:rsidRPr="00E9600C">
        <w:rPr>
          <w:i/>
          <w:iCs/>
          <w:lang w:val="en-GB"/>
        </w:rPr>
        <w:t>Journal of Popular Music Studies</w:t>
      </w:r>
      <w:r w:rsidRPr="00E9600C">
        <w:rPr>
          <w:lang w:val="en-GB"/>
        </w:rPr>
        <w:t xml:space="preserve"> 18 (3): 301–24. https://doi.org/10.1111/j.1533-1598.2006.00096.x.</w:t>
      </w:r>
    </w:p>
    <w:p w14:paraId="6CC6FC93" w14:textId="77777777" w:rsidR="00E9600C" w:rsidRPr="00E9600C" w:rsidRDefault="00E9600C" w:rsidP="00E9600C">
      <w:pPr>
        <w:pStyle w:val="Bibliografie"/>
        <w:rPr>
          <w:lang w:val="en-GB"/>
        </w:rPr>
      </w:pPr>
      <w:r w:rsidRPr="00E9600C">
        <w:rPr>
          <w:lang w:val="en-GB"/>
        </w:rPr>
        <w:t xml:space="preserve">Bates, Eliot. 2012. ‘The Social Life of Musical Instruments’. </w:t>
      </w:r>
      <w:r w:rsidRPr="00E9600C">
        <w:rPr>
          <w:i/>
          <w:iCs/>
          <w:lang w:val="en-GB"/>
        </w:rPr>
        <w:t>Ethnomusicology</w:t>
      </w:r>
      <w:r w:rsidRPr="00E9600C">
        <w:rPr>
          <w:lang w:val="en-GB"/>
        </w:rPr>
        <w:t xml:space="preserve"> 56 (3): 363–95. https://doi.org/10.5406/ethnomusicology.56.3.0363.</w:t>
      </w:r>
    </w:p>
    <w:p w14:paraId="28D4872B" w14:textId="77777777" w:rsidR="00E9600C" w:rsidRPr="00E9600C" w:rsidRDefault="00E9600C" w:rsidP="00E9600C">
      <w:pPr>
        <w:pStyle w:val="Bibliografie"/>
        <w:rPr>
          <w:lang w:val="en-GB"/>
        </w:rPr>
      </w:pPr>
      <w:r w:rsidRPr="00E9600C">
        <w:rPr>
          <w:lang w:val="en-GB"/>
        </w:rPr>
        <w:t xml:space="preserve">Bennett, Jane. 2009. </w:t>
      </w:r>
      <w:r w:rsidRPr="00E9600C">
        <w:rPr>
          <w:i/>
          <w:iCs/>
          <w:lang w:val="en-GB"/>
        </w:rPr>
        <w:t>Vibrant Matter: A Political Ecology of Things</w:t>
      </w:r>
      <w:r w:rsidRPr="00E9600C">
        <w:rPr>
          <w:lang w:val="en-GB"/>
        </w:rPr>
        <w:t>. Durham: Duke University Press.</w:t>
      </w:r>
    </w:p>
    <w:p w14:paraId="7C524885" w14:textId="77777777" w:rsidR="00E9600C" w:rsidRPr="00E9600C" w:rsidRDefault="00E9600C" w:rsidP="00E9600C">
      <w:pPr>
        <w:pStyle w:val="Bibliografie"/>
        <w:rPr>
          <w:lang w:val="en-GB"/>
        </w:rPr>
      </w:pPr>
      <w:r w:rsidRPr="00E9600C">
        <w:rPr>
          <w:lang w:val="en-GB"/>
        </w:rPr>
        <w:t xml:space="preserve">Berker, Thomas, Maren Hartmann, Yves Punie, and Ward, eds. 2006. </w:t>
      </w:r>
      <w:r w:rsidRPr="00E9600C">
        <w:rPr>
          <w:i/>
          <w:iCs/>
          <w:lang w:val="en-GB"/>
        </w:rPr>
        <w:t>Domestication of Media and Technology</w:t>
      </w:r>
      <w:r w:rsidRPr="00E9600C">
        <w:rPr>
          <w:lang w:val="en-GB"/>
        </w:rPr>
        <w:t>. Maidenhead: Open University Press.</w:t>
      </w:r>
    </w:p>
    <w:p w14:paraId="7BB51697" w14:textId="77777777" w:rsidR="00E9600C" w:rsidRPr="00E9600C" w:rsidRDefault="00E9600C" w:rsidP="00E9600C">
      <w:pPr>
        <w:pStyle w:val="Bibliografie"/>
        <w:rPr>
          <w:lang w:val="en-GB"/>
        </w:rPr>
      </w:pPr>
      <w:r w:rsidRPr="00E9600C">
        <w:rPr>
          <w:lang w:val="en-GB"/>
        </w:rPr>
        <w:t xml:space="preserve">Berliner, Paul. 1978. </w:t>
      </w:r>
      <w:r w:rsidRPr="00E9600C">
        <w:rPr>
          <w:i/>
          <w:iCs/>
          <w:lang w:val="en-GB"/>
        </w:rPr>
        <w:t>The Soul of Mbira: Music and Traditions of the Shona People of Zimbabwe</w:t>
      </w:r>
      <w:r w:rsidRPr="00E9600C">
        <w:rPr>
          <w:lang w:val="en-GB"/>
        </w:rPr>
        <w:t>. Chicago: University of Chicago Press.</w:t>
      </w:r>
    </w:p>
    <w:p w14:paraId="6D309DDB" w14:textId="77777777" w:rsidR="00E9600C" w:rsidRPr="00E9600C" w:rsidRDefault="00E9600C" w:rsidP="00E9600C">
      <w:pPr>
        <w:pStyle w:val="Bibliografie"/>
        <w:rPr>
          <w:lang w:val="en-GB"/>
        </w:rPr>
      </w:pPr>
      <w:r w:rsidRPr="00E9600C">
        <w:rPr>
          <w:lang w:val="en-GB"/>
        </w:rPr>
        <w:t xml:space="preserve">———. 1994. </w:t>
      </w:r>
      <w:r w:rsidRPr="00E9600C">
        <w:rPr>
          <w:i/>
          <w:iCs/>
          <w:lang w:val="en-GB"/>
        </w:rPr>
        <w:t>Thinking in Jazz: The Infinite Art of Improvisation</w:t>
      </w:r>
      <w:r w:rsidRPr="00E9600C">
        <w:rPr>
          <w:lang w:val="en-GB"/>
        </w:rPr>
        <w:t>. University of Chicago Press.</w:t>
      </w:r>
    </w:p>
    <w:p w14:paraId="7D24D643" w14:textId="77777777" w:rsidR="00E9600C" w:rsidRPr="00E9600C" w:rsidRDefault="00E9600C" w:rsidP="00E9600C">
      <w:pPr>
        <w:pStyle w:val="Bibliografie"/>
        <w:rPr>
          <w:lang w:val="en-GB"/>
        </w:rPr>
      </w:pPr>
      <w:r w:rsidRPr="00E9600C">
        <w:rPr>
          <w:lang w:val="en-GB"/>
        </w:rPr>
        <w:t xml:space="preserve">Bijker, Wiebe E., and John Law. 1992. </w:t>
      </w:r>
      <w:r w:rsidRPr="00E9600C">
        <w:rPr>
          <w:i/>
          <w:iCs/>
          <w:lang w:val="en-GB"/>
        </w:rPr>
        <w:t>Shaping Technology/Building Society: Studies in Sociotechnical Change</w:t>
      </w:r>
      <w:r w:rsidRPr="00E9600C">
        <w:rPr>
          <w:lang w:val="en-GB"/>
        </w:rPr>
        <w:t>. MIT Press.</w:t>
      </w:r>
    </w:p>
    <w:p w14:paraId="093CC45A" w14:textId="77777777" w:rsidR="00E9600C" w:rsidRPr="00E9600C" w:rsidRDefault="00E9600C" w:rsidP="00E9600C">
      <w:pPr>
        <w:pStyle w:val="Bibliografie"/>
        <w:rPr>
          <w:lang w:val="en-GB"/>
        </w:rPr>
      </w:pPr>
      <w:r w:rsidRPr="00E9600C">
        <w:rPr>
          <w:lang w:val="en-GB"/>
        </w:rPr>
        <w:t xml:space="preserve">Bijsterveld, Karin Theda, and José van Dijck, eds. 2009. </w:t>
      </w:r>
      <w:r w:rsidRPr="00E9600C">
        <w:rPr>
          <w:i/>
          <w:iCs/>
          <w:lang w:val="en-GB"/>
        </w:rPr>
        <w:t>Sound Souvenirs: Audio Technologies, Memory and Cultural Practices</w:t>
      </w:r>
      <w:r w:rsidRPr="00E9600C">
        <w:rPr>
          <w:lang w:val="en-GB"/>
        </w:rPr>
        <w:t>. Transformations in Art and Culture. Amsterdam: Amsterdam Univ. Press.</w:t>
      </w:r>
    </w:p>
    <w:p w14:paraId="7B45557B" w14:textId="77777777" w:rsidR="00E9600C" w:rsidRPr="00E9600C" w:rsidRDefault="00E9600C" w:rsidP="00E9600C">
      <w:pPr>
        <w:pStyle w:val="Bibliografie"/>
        <w:rPr>
          <w:lang w:val="en-GB"/>
        </w:rPr>
      </w:pPr>
      <w:r w:rsidRPr="00E9600C">
        <w:rPr>
          <w:lang w:val="en-GB"/>
        </w:rPr>
        <w:t xml:space="preserve">Bivins, Jason. 2015. </w:t>
      </w:r>
      <w:r w:rsidRPr="00E9600C">
        <w:rPr>
          <w:i/>
          <w:iCs/>
          <w:lang w:val="en-GB"/>
        </w:rPr>
        <w:t>Spirits Rejoice!: Jazz and American Religion</w:t>
      </w:r>
      <w:r w:rsidRPr="00E9600C">
        <w:rPr>
          <w:lang w:val="en-GB"/>
        </w:rPr>
        <w:t>. Oxford: Oxford University Press.</w:t>
      </w:r>
    </w:p>
    <w:p w14:paraId="2DED5701" w14:textId="77777777" w:rsidR="00E9600C" w:rsidRPr="00E9600C" w:rsidRDefault="00E9600C" w:rsidP="00E9600C">
      <w:pPr>
        <w:pStyle w:val="Bibliografie"/>
        <w:rPr>
          <w:lang w:val="en-GB"/>
        </w:rPr>
      </w:pPr>
      <w:r w:rsidRPr="00E9600C">
        <w:rPr>
          <w:lang w:val="en-GB"/>
        </w:rPr>
        <w:t xml:space="preserve">Born, Georgina. 2005. ‘On Musical Mediation: Ontology, Technology and Creativity’. </w:t>
      </w:r>
      <w:r w:rsidRPr="00E9600C">
        <w:rPr>
          <w:i/>
          <w:iCs/>
          <w:lang w:val="en-GB"/>
        </w:rPr>
        <w:t>Twentieth-Century Music</w:t>
      </w:r>
      <w:r w:rsidRPr="00E9600C">
        <w:rPr>
          <w:lang w:val="en-GB"/>
        </w:rPr>
        <w:t xml:space="preserve"> 2 (01): 7–36. https://doi.org/10.1017/S147857220500023X.</w:t>
      </w:r>
    </w:p>
    <w:p w14:paraId="052F9D01" w14:textId="77777777" w:rsidR="00E9600C" w:rsidRPr="00E9600C" w:rsidRDefault="00E9600C" w:rsidP="00E9600C">
      <w:pPr>
        <w:pStyle w:val="Bibliografie"/>
        <w:rPr>
          <w:lang w:val="en-GB"/>
        </w:rPr>
      </w:pPr>
      <w:r w:rsidRPr="00E9600C">
        <w:rPr>
          <w:lang w:val="en-GB"/>
        </w:rPr>
        <w:t xml:space="preserve">Brackett, David. 2016. </w:t>
      </w:r>
      <w:r w:rsidRPr="00E9600C">
        <w:rPr>
          <w:i/>
          <w:iCs/>
          <w:lang w:val="en-GB"/>
        </w:rPr>
        <w:t>Categorizing Sound: Genre and Twentieth-Century Popular Music</w:t>
      </w:r>
      <w:r w:rsidRPr="00E9600C">
        <w:rPr>
          <w:lang w:val="en-GB"/>
        </w:rPr>
        <w:t>. Oakland: University of California Press.</w:t>
      </w:r>
    </w:p>
    <w:p w14:paraId="0EA6E876" w14:textId="77777777" w:rsidR="00E9600C" w:rsidRPr="00E9600C" w:rsidRDefault="00E9600C" w:rsidP="00E9600C">
      <w:pPr>
        <w:pStyle w:val="Bibliografie"/>
        <w:rPr>
          <w:lang w:val="en-GB"/>
        </w:rPr>
      </w:pPr>
      <w:r w:rsidRPr="00E9600C">
        <w:rPr>
          <w:lang w:val="en-GB"/>
        </w:rPr>
        <w:t xml:space="preserve">Brown, Bill. 2001. ‘Thing Theory’. </w:t>
      </w:r>
      <w:r w:rsidRPr="00E9600C">
        <w:rPr>
          <w:i/>
          <w:iCs/>
          <w:lang w:val="en-GB"/>
        </w:rPr>
        <w:t>Critical Inquiry</w:t>
      </w:r>
      <w:r w:rsidRPr="00E9600C">
        <w:rPr>
          <w:lang w:val="en-GB"/>
        </w:rPr>
        <w:t xml:space="preserve"> 28 (1): 1–22.</w:t>
      </w:r>
    </w:p>
    <w:p w14:paraId="3430BA14" w14:textId="77777777" w:rsidR="00E9600C" w:rsidRPr="00E9600C" w:rsidRDefault="00E9600C" w:rsidP="00E9600C">
      <w:pPr>
        <w:pStyle w:val="Bibliografie"/>
        <w:rPr>
          <w:lang w:val="en-GB"/>
        </w:rPr>
      </w:pPr>
      <w:r w:rsidRPr="00E9600C">
        <w:rPr>
          <w:lang w:val="en-GB"/>
        </w:rPr>
        <w:t xml:space="preserve">Buchli, V. A. 1995. ‘Interpreting Material Culture: The Trouble with Text’. In </w:t>
      </w:r>
      <w:r w:rsidRPr="00E9600C">
        <w:rPr>
          <w:i/>
          <w:iCs/>
          <w:lang w:val="en-GB"/>
        </w:rPr>
        <w:t>Interpreting Archaeology</w:t>
      </w:r>
      <w:r w:rsidRPr="00E9600C">
        <w:rPr>
          <w:lang w:val="en-GB"/>
        </w:rPr>
        <w:t>, edited by I. et al Hodder, 181–93. London: Routledge. http://discovery.ucl.ac.uk/1452933/.</w:t>
      </w:r>
    </w:p>
    <w:p w14:paraId="4C5F687B" w14:textId="77777777" w:rsidR="00E9600C" w:rsidRPr="00E9600C" w:rsidRDefault="00E9600C" w:rsidP="00E9600C">
      <w:pPr>
        <w:pStyle w:val="Bibliografie"/>
        <w:rPr>
          <w:lang w:val="en-GB"/>
        </w:rPr>
      </w:pPr>
      <w:r w:rsidRPr="00E9600C">
        <w:rPr>
          <w:lang w:val="en-GB"/>
        </w:rPr>
        <w:t xml:space="preserve">Burrows, David. 1987. ‘Instrumentalities’. </w:t>
      </w:r>
      <w:r w:rsidRPr="00E9600C">
        <w:rPr>
          <w:i/>
          <w:iCs/>
          <w:lang w:val="en-GB"/>
        </w:rPr>
        <w:t>The Journal of Musicology</w:t>
      </w:r>
      <w:r w:rsidRPr="00E9600C">
        <w:rPr>
          <w:lang w:val="en-GB"/>
        </w:rPr>
        <w:t xml:space="preserve"> 5 (1): 117–25. https://doi.org/10.2307/763827.</w:t>
      </w:r>
    </w:p>
    <w:p w14:paraId="03382103" w14:textId="77777777" w:rsidR="00E9600C" w:rsidRPr="00E9600C" w:rsidRDefault="00E9600C" w:rsidP="00E9600C">
      <w:pPr>
        <w:pStyle w:val="Bibliografie"/>
        <w:rPr>
          <w:lang w:val="en-GB"/>
        </w:rPr>
      </w:pPr>
      <w:r w:rsidRPr="00E9600C">
        <w:rPr>
          <w:lang w:val="en-GB"/>
        </w:rPr>
        <w:t xml:space="preserve">Clifford, James. 1988. ‘On Collecting Art and Culture’. In </w:t>
      </w:r>
      <w:r w:rsidRPr="00E9600C">
        <w:rPr>
          <w:i/>
          <w:iCs/>
          <w:lang w:val="en-GB"/>
        </w:rPr>
        <w:t>The Predicament of Culture</w:t>
      </w:r>
      <w:r w:rsidRPr="00E9600C">
        <w:rPr>
          <w:lang w:val="en-GB"/>
        </w:rPr>
        <w:t>, 215–51. Cambridge, MA: Harvard University Press.</w:t>
      </w:r>
    </w:p>
    <w:p w14:paraId="1B5719E7" w14:textId="77777777" w:rsidR="00E9600C" w:rsidRPr="00E9600C" w:rsidRDefault="00E9600C" w:rsidP="00E9600C">
      <w:pPr>
        <w:pStyle w:val="Bibliografie"/>
        <w:rPr>
          <w:lang w:val="en-GB"/>
        </w:rPr>
      </w:pPr>
      <w:r w:rsidRPr="00E9600C">
        <w:rPr>
          <w:lang w:val="en-GB"/>
        </w:rPr>
        <w:t xml:space="preserve">Cook, Nicholas. 2001. ‘Between Process and Product: Music and/as Performance’. </w:t>
      </w:r>
      <w:r w:rsidRPr="00E9600C">
        <w:rPr>
          <w:i/>
          <w:iCs/>
          <w:lang w:val="en-GB"/>
        </w:rPr>
        <w:t>Music Theory Online</w:t>
      </w:r>
      <w:r w:rsidRPr="00E9600C">
        <w:rPr>
          <w:lang w:val="en-GB"/>
        </w:rPr>
        <w:t xml:space="preserve"> 7 (2). http://www.mtosmt.org/issues/mto.01.7.2/mto.01.7.2.cook.html.</w:t>
      </w:r>
    </w:p>
    <w:p w14:paraId="77897408" w14:textId="77777777" w:rsidR="00E9600C" w:rsidRPr="00E9600C" w:rsidRDefault="00E9600C" w:rsidP="00E9600C">
      <w:pPr>
        <w:pStyle w:val="Bibliografie"/>
        <w:rPr>
          <w:lang w:val="en-GB"/>
        </w:rPr>
      </w:pPr>
      <w:r w:rsidRPr="00E9600C">
        <w:rPr>
          <w:lang w:val="en-GB"/>
        </w:rPr>
        <w:t xml:space="preserve">———. 2007. ‘Making Music Together: Or, Improvisation and Its Others’. In </w:t>
      </w:r>
      <w:r w:rsidRPr="00E9600C">
        <w:rPr>
          <w:i/>
          <w:iCs/>
          <w:lang w:val="en-GB"/>
        </w:rPr>
        <w:t>Music, Performance, Meaning: Selected Essays</w:t>
      </w:r>
      <w:r w:rsidRPr="00E9600C">
        <w:rPr>
          <w:lang w:val="en-GB"/>
        </w:rPr>
        <w:t>, 321–41. Aldershot: Ashgate.</w:t>
      </w:r>
    </w:p>
    <w:p w14:paraId="6F3541D4" w14:textId="77777777" w:rsidR="00E9600C" w:rsidRPr="00E9600C" w:rsidRDefault="00E9600C" w:rsidP="00E9600C">
      <w:pPr>
        <w:pStyle w:val="Bibliografie"/>
        <w:rPr>
          <w:lang w:val="en-GB"/>
        </w:rPr>
      </w:pPr>
      <w:r w:rsidRPr="00E9600C">
        <w:rPr>
          <w:lang w:val="en-GB"/>
        </w:rPr>
        <w:t xml:space="preserve">———. 2013. </w:t>
      </w:r>
      <w:r w:rsidRPr="00E9600C">
        <w:rPr>
          <w:i/>
          <w:iCs/>
          <w:lang w:val="en-GB"/>
        </w:rPr>
        <w:t>Beyond the Score: Music as Performance</w:t>
      </w:r>
      <w:r w:rsidRPr="00E9600C">
        <w:rPr>
          <w:lang w:val="en-GB"/>
        </w:rPr>
        <w:t>. Oxford: Oxford University Press.</w:t>
      </w:r>
    </w:p>
    <w:p w14:paraId="692B43A5" w14:textId="77777777" w:rsidR="00E9600C" w:rsidRPr="00E9600C" w:rsidRDefault="00E9600C" w:rsidP="00E9600C">
      <w:pPr>
        <w:pStyle w:val="Bibliografie"/>
        <w:rPr>
          <w:lang w:val="en-GB"/>
        </w:rPr>
      </w:pPr>
      <w:r w:rsidRPr="00E9600C">
        <w:rPr>
          <w:lang w:val="en-GB"/>
        </w:rPr>
        <w:lastRenderedPageBreak/>
        <w:t xml:space="preserve">Coole, Diana, and Samantha Frost, eds. 2010. </w:t>
      </w:r>
      <w:r w:rsidRPr="00E9600C">
        <w:rPr>
          <w:i/>
          <w:iCs/>
          <w:lang w:val="en-GB"/>
        </w:rPr>
        <w:t>New Materialisms: Ontology, Agency, and Politics</w:t>
      </w:r>
      <w:r w:rsidRPr="00E9600C">
        <w:rPr>
          <w:lang w:val="en-GB"/>
        </w:rPr>
        <w:t>. Durham: Duke University Press.</w:t>
      </w:r>
    </w:p>
    <w:p w14:paraId="3BCF04DB" w14:textId="77777777" w:rsidR="00E9600C" w:rsidRPr="00E9600C" w:rsidRDefault="00E9600C" w:rsidP="00E9600C">
      <w:pPr>
        <w:pStyle w:val="Bibliografie"/>
        <w:rPr>
          <w:lang w:val="en-GB"/>
        </w:rPr>
      </w:pPr>
      <w:r w:rsidRPr="00E9600C">
        <w:rPr>
          <w:lang w:val="en-GB"/>
        </w:rPr>
        <w:t xml:space="preserve">Cummings, Alex. 2010. ‘Collectors, Bootleggers, and the Value of Jazz, 1930-1952’. In </w:t>
      </w:r>
      <w:r w:rsidRPr="00E9600C">
        <w:rPr>
          <w:i/>
          <w:iCs/>
          <w:lang w:val="en-GB"/>
        </w:rPr>
        <w:t>Sound in the Age of Mechanical Reproduction</w:t>
      </w:r>
      <w:r w:rsidRPr="00E9600C">
        <w:rPr>
          <w:lang w:val="en-GB"/>
        </w:rPr>
        <w:t>, edited by Susan Strasser and David Suisman, 95–114. Philadelphia: University of Pennsylvania Press.</w:t>
      </w:r>
    </w:p>
    <w:p w14:paraId="0FFA1F53" w14:textId="77777777" w:rsidR="00E9600C" w:rsidRPr="00E9600C" w:rsidRDefault="00E9600C" w:rsidP="00E9600C">
      <w:pPr>
        <w:pStyle w:val="Bibliografie"/>
        <w:rPr>
          <w:lang w:val="en-GB"/>
        </w:rPr>
      </w:pPr>
      <w:r w:rsidRPr="00E9600C">
        <w:rPr>
          <w:lang w:val="en-GB"/>
        </w:rPr>
        <w:t xml:space="preserve">Davis, Miles. 1959. </w:t>
      </w:r>
      <w:r w:rsidRPr="00E9600C">
        <w:rPr>
          <w:i/>
          <w:iCs/>
          <w:lang w:val="en-GB"/>
        </w:rPr>
        <w:t>Kind of Blue</w:t>
      </w:r>
      <w:r w:rsidRPr="00E9600C">
        <w:rPr>
          <w:lang w:val="en-GB"/>
        </w:rPr>
        <w:t>. LP. Columbia Records.</w:t>
      </w:r>
    </w:p>
    <w:p w14:paraId="09907DDC" w14:textId="77777777" w:rsidR="00E9600C" w:rsidRPr="00E9600C" w:rsidRDefault="00E9600C" w:rsidP="00E9600C">
      <w:pPr>
        <w:pStyle w:val="Bibliografie"/>
        <w:rPr>
          <w:lang w:val="en-GB"/>
        </w:rPr>
      </w:pPr>
      <w:r w:rsidRPr="00E9600C">
        <w:rPr>
          <w:lang w:val="en-GB"/>
        </w:rPr>
        <w:t xml:space="preserve">Dawe, Kevin. 1996. ‘The Engendered Lyra: Music, Poetry and Manhood in Crete’. </w:t>
      </w:r>
      <w:r w:rsidRPr="00E9600C">
        <w:rPr>
          <w:i/>
          <w:iCs/>
          <w:lang w:val="en-GB"/>
        </w:rPr>
        <w:t>British Journal of Ethnomusicology</w:t>
      </w:r>
      <w:r w:rsidRPr="00E9600C">
        <w:rPr>
          <w:lang w:val="en-GB"/>
        </w:rPr>
        <w:t xml:space="preserve"> 5: 93–112.</w:t>
      </w:r>
    </w:p>
    <w:p w14:paraId="07391813" w14:textId="77777777" w:rsidR="00E9600C" w:rsidRPr="00E9600C" w:rsidRDefault="00E9600C" w:rsidP="00E9600C">
      <w:pPr>
        <w:pStyle w:val="Bibliografie"/>
        <w:rPr>
          <w:lang w:val="en-GB"/>
        </w:rPr>
      </w:pPr>
      <w:r w:rsidRPr="00E9600C">
        <w:rPr>
          <w:lang w:val="en-GB"/>
        </w:rPr>
        <w:t xml:space="preserve">———. 2001. ‘People, Objects, Meaning: Recent Work on the Study and Collection of Musical Instruments’. </w:t>
      </w:r>
      <w:r w:rsidRPr="00E9600C">
        <w:rPr>
          <w:i/>
          <w:iCs/>
          <w:lang w:val="en-GB"/>
        </w:rPr>
        <w:t>The Galpin Society Journal</w:t>
      </w:r>
      <w:r w:rsidRPr="00E9600C">
        <w:rPr>
          <w:lang w:val="en-GB"/>
        </w:rPr>
        <w:t xml:space="preserve"> 54: 219–32. https://doi.org/10.2307/842454.</w:t>
      </w:r>
    </w:p>
    <w:p w14:paraId="345D3864" w14:textId="77777777" w:rsidR="00E9600C" w:rsidRPr="00E9600C" w:rsidRDefault="00E9600C" w:rsidP="00E9600C">
      <w:pPr>
        <w:pStyle w:val="Bibliografie"/>
        <w:rPr>
          <w:lang w:val="en-GB"/>
        </w:rPr>
      </w:pPr>
      <w:r w:rsidRPr="00E9600C">
        <w:rPr>
          <w:lang w:val="en-GB"/>
        </w:rPr>
        <w:t xml:space="preserve">De Joode, Wilbert, and Vera Vingerhoeds. </w:t>
      </w:r>
      <w:r>
        <w:t xml:space="preserve">2016. ‘Vera Vingerhoeds Interviewt Wilbert de Joode’. </w:t>
      </w:r>
      <w:r w:rsidRPr="00E9600C">
        <w:rPr>
          <w:lang w:val="en-GB"/>
        </w:rPr>
        <w:t>YouTube. 11 December 2016. https://www.youtube.com/watch?v=NbgWrqSaaUk.</w:t>
      </w:r>
    </w:p>
    <w:p w14:paraId="77492399" w14:textId="77777777" w:rsidR="00E9600C" w:rsidRPr="00E9600C" w:rsidRDefault="00E9600C" w:rsidP="00E9600C">
      <w:pPr>
        <w:pStyle w:val="Bibliografie"/>
        <w:rPr>
          <w:lang w:val="en-GB"/>
        </w:rPr>
      </w:pPr>
      <w:r w:rsidRPr="00E9600C">
        <w:rPr>
          <w:lang w:val="en-GB"/>
        </w:rPr>
        <w:t xml:space="preserve">DeNora, Tia. 2003. </w:t>
      </w:r>
      <w:r w:rsidRPr="00E9600C">
        <w:rPr>
          <w:i/>
          <w:iCs/>
          <w:lang w:val="en-GB"/>
        </w:rPr>
        <w:t>After Adorno: Rethinking Music Sociology</w:t>
      </w:r>
      <w:r w:rsidRPr="00E9600C">
        <w:rPr>
          <w:lang w:val="en-GB"/>
        </w:rPr>
        <w:t>. Cambridge: Cambridge University Press. http://ebooks.cambridge.org/ref/id/CBO9780511489426.</w:t>
      </w:r>
    </w:p>
    <w:p w14:paraId="4BE7AB87" w14:textId="77777777" w:rsidR="00E9600C" w:rsidRPr="00E9600C" w:rsidRDefault="00E9600C" w:rsidP="00E9600C">
      <w:pPr>
        <w:pStyle w:val="Bibliografie"/>
        <w:rPr>
          <w:lang w:val="en-GB"/>
        </w:rPr>
      </w:pPr>
      <w:r w:rsidRPr="00E9600C">
        <w:rPr>
          <w:lang w:val="en-GB"/>
        </w:rPr>
        <w:t xml:space="preserve">DeVeaux, Scott. 1991. ‘Constructing the Jazz Tradition: Jazz Historiography’. </w:t>
      </w:r>
      <w:r w:rsidRPr="00E9600C">
        <w:rPr>
          <w:i/>
          <w:iCs/>
          <w:lang w:val="en-GB"/>
        </w:rPr>
        <w:t>Black American Literature Forum</w:t>
      </w:r>
      <w:r w:rsidRPr="00E9600C">
        <w:rPr>
          <w:lang w:val="en-GB"/>
        </w:rPr>
        <w:t xml:space="preserve"> 25 (3): 525–60. https://doi.org/10.2307/3041812.</w:t>
      </w:r>
    </w:p>
    <w:p w14:paraId="11AC3921" w14:textId="77777777" w:rsidR="00E9600C" w:rsidRPr="00E9600C" w:rsidRDefault="00E9600C" w:rsidP="00E9600C">
      <w:pPr>
        <w:pStyle w:val="Bibliografie"/>
        <w:rPr>
          <w:lang w:val="en-GB"/>
        </w:rPr>
      </w:pPr>
      <w:r w:rsidRPr="00E9600C">
        <w:rPr>
          <w:lang w:val="en-GB"/>
        </w:rPr>
        <w:t xml:space="preserve">Devine, Kyle. 2013. ‘A Mysterious Music in the Air: Cultural Origins of the Loudspeaker’. </w:t>
      </w:r>
      <w:r w:rsidRPr="00E9600C">
        <w:rPr>
          <w:i/>
          <w:iCs/>
          <w:lang w:val="en-GB"/>
        </w:rPr>
        <w:t>Popular Music History</w:t>
      </w:r>
      <w:r w:rsidRPr="00E9600C">
        <w:rPr>
          <w:lang w:val="en-GB"/>
        </w:rPr>
        <w:t xml:space="preserve"> 8 (1): 5–28.</w:t>
      </w:r>
    </w:p>
    <w:p w14:paraId="17186DB9" w14:textId="77777777" w:rsidR="00E9600C" w:rsidRPr="00E9600C" w:rsidRDefault="00E9600C" w:rsidP="00E9600C">
      <w:pPr>
        <w:pStyle w:val="Bibliografie"/>
        <w:rPr>
          <w:lang w:val="en-GB"/>
        </w:rPr>
      </w:pPr>
      <w:r w:rsidRPr="00E9600C">
        <w:rPr>
          <w:lang w:val="en-GB"/>
        </w:rPr>
        <w:t xml:space="preserve">Dolan, Emily. 2012. ‘Toward a Musicology of Interfaces’. </w:t>
      </w:r>
      <w:r w:rsidRPr="00E9600C">
        <w:rPr>
          <w:i/>
          <w:iCs/>
          <w:lang w:val="en-GB"/>
        </w:rPr>
        <w:t>Keyboard Perspectives</w:t>
      </w:r>
      <w:r w:rsidRPr="00E9600C">
        <w:rPr>
          <w:lang w:val="en-GB"/>
        </w:rPr>
        <w:t xml:space="preserve"> 5: 1–12.</w:t>
      </w:r>
    </w:p>
    <w:p w14:paraId="1F3617AB" w14:textId="77777777" w:rsidR="00E9600C" w:rsidRPr="00E9600C" w:rsidRDefault="00E9600C" w:rsidP="00E9600C">
      <w:pPr>
        <w:pStyle w:val="Bibliografie"/>
        <w:rPr>
          <w:lang w:val="en-GB"/>
        </w:rPr>
      </w:pPr>
      <w:r w:rsidRPr="00E9600C">
        <w:rPr>
          <w:lang w:val="en-GB"/>
        </w:rPr>
        <w:t xml:space="preserve">Dolphijn, Rick, and Iris Van der Tuin, eds. 2012. </w:t>
      </w:r>
      <w:r w:rsidRPr="00E9600C">
        <w:rPr>
          <w:i/>
          <w:iCs/>
          <w:lang w:val="en-GB"/>
        </w:rPr>
        <w:t>New Materialism: Interviews &amp; Cartographies</w:t>
      </w:r>
      <w:r w:rsidRPr="00E9600C">
        <w:rPr>
          <w:lang w:val="en-GB"/>
        </w:rPr>
        <w:t>. Ann Arbor: Open Humanities Press.</w:t>
      </w:r>
    </w:p>
    <w:p w14:paraId="7936BD34" w14:textId="77777777" w:rsidR="00E9600C" w:rsidRPr="00E9600C" w:rsidRDefault="00E9600C" w:rsidP="00E9600C">
      <w:pPr>
        <w:pStyle w:val="Bibliografie"/>
        <w:rPr>
          <w:lang w:val="en-GB"/>
        </w:rPr>
      </w:pPr>
      <w:r w:rsidRPr="00E9600C">
        <w:rPr>
          <w:lang w:val="en-GB"/>
        </w:rPr>
        <w:t xml:space="preserve">Dolphy, Eric. 1964. </w:t>
      </w:r>
      <w:r w:rsidRPr="00E9600C">
        <w:rPr>
          <w:i/>
          <w:iCs/>
          <w:lang w:val="en-GB"/>
        </w:rPr>
        <w:t>Last Date</w:t>
      </w:r>
      <w:r w:rsidRPr="00E9600C">
        <w:rPr>
          <w:lang w:val="en-GB"/>
        </w:rPr>
        <w:t>. LP. Fontana.</w:t>
      </w:r>
    </w:p>
    <w:p w14:paraId="44057C09" w14:textId="77777777" w:rsidR="00E9600C" w:rsidRPr="00E9600C" w:rsidRDefault="00E9600C" w:rsidP="00E9600C">
      <w:pPr>
        <w:pStyle w:val="Bibliografie"/>
        <w:rPr>
          <w:lang w:val="en-GB"/>
        </w:rPr>
      </w:pPr>
      <w:r w:rsidRPr="00E9600C">
        <w:rPr>
          <w:lang w:val="en-GB"/>
        </w:rPr>
        <w:t xml:space="preserve">Doubleday, Veronica. 1999. ‘The Frame Drum in the Middle East: Women, Musical Instruments and Power’. </w:t>
      </w:r>
      <w:r w:rsidRPr="00E9600C">
        <w:rPr>
          <w:i/>
          <w:iCs/>
          <w:lang w:val="en-GB"/>
        </w:rPr>
        <w:t>Ethnomusicology</w:t>
      </w:r>
      <w:r w:rsidRPr="00E9600C">
        <w:rPr>
          <w:lang w:val="en-GB"/>
        </w:rPr>
        <w:t xml:space="preserve"> 43 (1): 101–34. https://doi.org/10.2307/852696.</w:t>
      </w:r>
    </w:p>
    <w:p w14:paraId="217440C2" w14:textId="77777777" w:rsidR="00E9600C" w:rsidRPr="00E9600C" w:rsidRDefault="00E9600C" w:rsidP="00E9600C">
      <w:pPr>
        <w:pStyle w:val="Bibliografie"/>
        <w:rPr>
          <w:lang w:val="en-GB"/>
        </w:rPr>
      </w:pPr>
      <w:r w:rsidRPr="00E9600C">
        <w:rPr>
          <w:lang w:val="en-GB"/>
        </w:rPr>
        <w:t xml:space="preserve">Drott, Eric. 2013. ‘The End(s) of Genre’. </w:t>
      </w:r>
      <w:r w:rsidRPr="00E9600C">
        <w:rPr>
          <w:i/>
          <w:iCs/>
          <w:lang w:val="en-GB"/>
        </w:rPr>
        <w:t>Journal of Music Theory</w:t>
      </w:r>
      <w:r w:rsidRPr="00E9600C">
        <w:rPr>
          <w:lang w:val="en-GB"/>
        </w:rPr>
        <w:t xml:space="preserve"> 57 (1): 1–45. https://doi.org/10.1215/00222909-2017097.</w:t>
      </w:r>
    </w:p>
    <w:p w14:paraId="03E52401" w14:textId="77777777" w:rsidR="00E9600C" w:rsidRPr="00E9600C" w:rsidRDefault="00E9600C" w:rsidP="00E9600C">
      <w:pPr>
        <w:pStyle w:val="Bibliografie"/>
        <w:rPr>
          <w:lang w:val="en-GB"/>
        </w:rPr>
      </w:pPr>
      <w:r w:rsidRPr="00E9600C">
        <w:rPr>
          <w:lang w:val="en-GB"/>
        </w:rPr>
        <w:t xml:space="preserve">Edwards, Elizabeth. 2001. </w:t>
      </w:r>
      <w:r w:rsidRPr="00E9600C">
        <w:rPr>
          <w:i/>
          <w:iCs/>
          <w:lang w:val="en-GB"/>
        </w:rPr>
        <w:t>Raw Histories: Photographs, Anthropology and Museums</w:t>
      </w:r>
      <w:r w:rsidRPr="00E9600C">
        <w:rPr>
          <w:lang w:val="en-GB"/>
        </w:rPr>
        <w:t>. New York: Bloomsbury Academic.</w:t>
      </w:r>
    </w:p>
    <w:p w14:paraId="08A2DF75" w14:textId="77777777" w:rsidR="00E9600C" w:rsidRPr="00E9600C" w:rsidRDefault="00E9600C" w:rsidP="00E9600C">
      <w:pPr>
        <w:pStyle w:val="Bibliografie"/>
        <w:rPr>
          <w:lang w:val="en-GB"/>
        </w:rPr>
      </w:pPr>
      <w:r w:rsidRPr="00E9600C">
        <w:rPr>
          <w:lang w:val="en-GB"/>
        </w:rPr>
        <w:t>Elliott, Greg. 2014. ‘Kind of, Kind of Blue: A Conversation with Mostly Other People Do the Killing’. PopMatters. 15 September 2014. http://www.popmatters.com/feature/185662-kind-of-kind-of-blue-a-conversation-with-mostly-other-people-do-the-/.</w:t>
      </w:r>
    </w:p>
    <w:p w14:paraId="6B633B9B" w14:textId="77777777" w:rsidR="00E9600C" w:rsidRPr="00E9600C" w:rsidRDefault="00E9600C" w:rsidP="00E9600C">
      <w:pPr>
        <w:pStyle w:val="Bibliografie"/>
        <w:rPr>
          <w:lang w:val="en-GB"/>
        </w:rPr>
      </w:pPr>
      <w:r w:rsidRPr="00E9600C">
        <w:rPr>
          <w:lang w:val="en-GB"/>
        </w:rPr>
        <w:t xml:space="preserve">Elsner, John, and Roger Cardinal, eds. 2004. </w:t>
      </w:r>
      <w:r w:rsidRPr="00E9600C">
        <w:rPr>
          <w:i/>
          <w:iCs/>
          <w:lang w:val="en-GB"/>
        </w:rPr>
        <w:t>Cultures of Collecting</w:t>
      </w:r>
      <w:r w:rsidRPr="00E9600C">
        <w:rPr>
          <w:lang w:val="en-GB"/>
        </w:rPr>
        <w:t>. London: Reaktion Books.</w:t>
      </w:r>
    </w:p>
    <w:p w14:paraId="58F29AAD" w14:textId="77777777" w:rsidR="00E9600C" w:rsidRPr="00E9600C" w:rsidRDefault="00E9600C" w:rsidP="00E9600C">
      <w:pPr>
        <w:pStyle w:val="Bibliografie"/>
        <w:rPr>
          <w:lang w:val="en-GB"/>
        </w:rPr>
      </w:pPr>
      <w:r w:rsidRPr="00E9600C">
        <w:rPr>
          <w:lang w:val="en-GB"/>
        </w:rPr>
        <w:t xml:space="preserve">Epperson, Bruce D. 2013. </w:t>
      </w:r>
      <w:r w:rsidRPr="00E9600C">
        <w:rPr>
          <w:i/>
          <w:iCs/>
          <w:lang w:val="en-GB"/>
        </w:rPr>
        <w:t>More Important Than the Music: A History of Jazz Discography</w:t>
      </w:r>
      <w:r w:rsidRPr="00E9600C">
        <w:rPr>
          <w:lang w:val="en-GB"/>
        </w:rPr>
        <w:t>. University of Chicago Press.</w:t>
      </w:r>
    </w:p>
    <w:p w14:paraId="6E24B1F1" w14:textId="77777777" w:rsidR="00E9600C" w:rsidRPr="00E9600C" w:rsidRDefault="00E9600C" w:rsidP="00E9600C">
      <w:pPr>
        <w:pStyle w:val="Bibliografie"/>
        <w:rPr>
          <w:lang w:val="en-GB"/>
        </w:rPr>
      </w:pPr>
      <w:r w:rsidRPr="00E9600C">
        <w:rPr>
          <w:lang w:val="en-GB"/>
        </w:rPr>
        <w:t xml:space="preserve">Evens, Aden. 2005. </w:t>
      </w:r>
      <w:r w:rsidRPr="00E9600C">
        <w:rPr>
          <w:i/>
          <w:iCs/>
          <w:lang w:val="en-GB"/>
        </w:rPr>
        <w:t>Sound Ideas: Music, Machines, And Experience</w:t>
      </w:r>
      <w:r w:rsidRPr="00E9600C">
        <w:rPr>
          <w:lang w:val="en-GB"/>
        </w:rPr>
        <w:t>. University of Minnesota Press.</w:t>
      </w:r>
    </w:p>
    <w:p w14:paraId="10CB5540" w14:textId="77777777" w:rsidR="00E9600C" w:rsidRPr="00E9600C" w:rsidRDefault="00E9600C" w:rsidP="00E9600C">
      <w:pPr>
        <w:pStyle w:val="Bibliografie"/>
        <w:rPr>
          <w:lang w:val="en-GB"/>
        </w:rPr>
      </w:pPr>
      <w:r w:rsidRPr="00E9600C">
        <w:rPr>
          <w:lang w:val="en-GB"/>
        </w:rPr>
        <w:t xml:space="preserve">Faulkner, Robert R., and Howard S. Becker. 2009. </w:t>
      </w:r>
      <w:r w:rsidRPr="00E9600C">
        <w:rPr>
          <w:i/>
          <w:iCs/>
          <w:lang w:val="en-GB"/>
        </w:rPr>
        <w:t>‘Do You Know...?’: The Jazz Repertoire in Action</w:t>
      </w:r>
      <w:r w:rsidRPr="00E9600C">
        <w:rPr>
          <w:lang w:val="en-GB"/>
        </w:rPr>
        <w:t>. University of Chicago Press.</w:t>
      </w:r>
    </w:p>
    <w:p w14:paraId="639244E6" w14:textId="77777777" w:rsidR="00E9600C" w:rsidRPr="00E9600C" w:rsidRDefault="00E9600C" w:rsidP="00E9600C">
      <w:pPr>
        <w:pStyle w:val="Bibliografie"/>
        <w:rPr>
          <w:lang w:val="en-GB"/>
        </w:rPr>
      </w:pPr>
      <w:r w:rsidRPr="00E9600C">
        <w:rPr>
          <w:lang w:val="en-GB"/>
        </w:rPr>
        <w:t xml:space="preserve">Gabbard, Krin. 1992. ‘Signifyin(g) the Phallus: “Mo’’ Better Blues" and Representations of the Jazz Trumpet”’. </w:t>
      </w:r>
      <w:r w:rsidRPr="00E9600C">
        <w:rPr>
          <w:i/>
          <w:iCs/>
          <w:lang w:val="en-GB"/>
        </w:rPr>
        <w:t>Cinema Journal</w:t>
      </w:r>
      <w:r w:rsidRPr="00E9600C">
        <w:rPr>
          <w:lang w:val="en-GB"/>
        </w:rPr>
        <w:t xml:space="preserve"> 32 (1): 43–62. https://doi.org/10.2307/1225861.</w:t>
      </w:r>
    </w:p>
    <w:p w14:paraId="7D6A24C9" w14:textId="77777777" w:rsidR="00E9600C" w:rsidRPr="00E9600C" w:rsidRDefault="00E9600C" w:rsidP="00E9600C">
      <w:pPr>
        <w:pStyle w:val="Bibliografie"/>
        <w:rPr>
          <w:lang w:val="en-GB"/>
        </w:rPr>
      </w:pPr>
      <w:r w:rsidRPr="00E9600C">
        <w:rPr>
          <w:lang w:val="en-GB"/>
        </w:rPr>
        <w:t xml:space="preserve">———. 1995a. ‘Introduction: The Jazz Canon and Its Consequences’. In </w:t>
      </w:r>
      <w:r w:rsidRPr="00E9600C">
        <w:rPr>
          <w:i/>
          <w:iCs/>
          <w:lang w:val="en-GB"/>
        </w:rPr>
        <w:t>Jazz Among the Discourses</w:t>
      </w:r>
      <w:r w:rsidRPr="00E9600C">
        <w:rPr>
          <w:lang w:val="en-GB"/>
        </w:rPr>
        <w:t>, edited by Krin Gabbard. Durham: Duke University Press.</w:t>
      </w:r>
    </w:p>
    <w:p w14:paraId="6C122F2C" w14:textId="77777777" w:rsidR="00E9600C" w:rsidRPr="00E9600C" w:rsidRDefault="00E9600C" w:rsidP="00E9600C">
      <w:pPr>
        <w:pStyle w:val="Bibliografie"/>
        <w:rPr>
          <w:lang w:val="en-GB"/>
        </w:rPr>
      </w:pPr>
      <w:r w:rsidRPr="00E9600C">
        <w:rPr>
          <w:lang w:val="en-GB"/>
        </w:rPr>
        <w:t xml:space="preserve">———. 1995b. </w:t>
      </w:r>
      <w:r w:rsidRPr="00E9600C">
        <w:rPr>
          <w:i/>
          <w:iCs/>
          <w:lang w:val="en-GB"/>
        </w:rPr>
        <w:t>Representing Jazz</w:t>
      </w:r>
      <w:r w:rsidRPr="00E9600C">
        <w:rPr>
          <w:lang w:val="en-GB"/>
        </w:rPr>
        <w:t>. Durham: Duke University Press.</w:t>
      </w:r>
    </w:p>
    <w:p w14:paraId="10A8AA71" w14:textId="77777777" w:rsidR="00E9600C" w:rsidRPr="00E9600C" w:rsidRDefault="00E9600C" w:rsidP="00E9600C">
      <w:pPr>
        <w:pStyle w:val="Bibliografie"/>
        <w:rPr>
          <w:lang w:val="en-GB"/>
        </w:rPr>
      </w:pPr>
      <w:r w:rsidRPr="00E9600C">
        <w:rPr>
          <w:lang w:val="en-GB"/>
        </w:rPr>
        <w:t xml:space="preserve">———. 1996. </w:t>
      </w:r>
      <w:r w:rsidRPr="00E9600C">
        <w:rPr>
          <w:i/>
          <w:iCs/>
          <w:lang w:val="en-GB"/>
        </w:rPr>
        <w:t>Jammin’ at the Margins: Jazz and the American Cinema</w:t>
      </w:r>
      <w:r w:rsidRPr="00E9600C">
        <w:rPr>
          <w:lang w:val="en-GB"/>
        </w:rPr>
        <w:t>. Chicago: University of Chicago Press.</w:t>
      </w:r>
    </w:p>
    <w:p w14:paraId="319F637B" w14:textId="77777777" w:rsidR="00E9600C" w:rsidRPr="00E9600C" w:rsidRDefault="00E9600C" w:rsidP="00E9600C">
      <w:pPr>
        <w:pStyle w:val="Bibliografie"/>
        <w:rPr>
          <w:lang w:val="en-GB"/>
        </w:rPr>
      </w:pPr>
      <w:r w:rsidRPr="00E9600C">
        <w:rPr>
          <w:lang w:val="en-GB"/>
        </w:rPr>
        <w:t xml:space="preserve">Gadamer, Hans-Georg. 2013. </w:t>
      </w:r>
      <w:r w:rsidRPr="00E9600C">
        <w:rPr>
          <w:i/>
          <w:iCs/>
          <w:lang w:val="en-GB"/>
        </w:rPr>
        <w:t>Truth and Method</w:t>
      </w:r>
      <w:r w:rsidRPr="00E9600C">
        <w:rPr>
          <w:lang w:val="en-GB"/>
        </w:rPr>
        <w:t>. New York: Bloomsbury Academic.</w:t>
      </w:r>
    </w:p>
    <w:p w14:paraId="4AB82286" w14:textId="77777777" w:rsidR="00E9600C" w:rsidRPr="00E9600C" w:rsidRDefault="00E9600C" w:rsidP="00E9600C">
      <w:pPr>
        <w:pStyle w:val="Bibliografie"/>
        <w:rPr>
          <w:lang w:val="en-GB"/>
        </w:rPr>
      </w:pPr>
      <w:r w:rsidRPr="00E9600C">
        <w:rPr>
          <w:lang w:val="en-GB"/>
        </w:rPr>
        <w:t xml:space="preserve">Gates, Henry Louis. 1988. </w:t>
      </w:r>
      <w:r w:rsidRPr="00E9600C">
        <w:rPr>
          <w:i/>
          <w:iCs/>
          <w:lang w:val="en-GB"/>
        </w:rPr>
        <w:t>The Signifying Monkey: A Theory of African-American Literary Criticism</w:t>
      </w:r>
      <w:r w:rsidRPr="00E9600C">
        <w:rPr>
          <w:lang w:val="en-GB"/>
        </w:rPr>
        <w:t>. Oxford: Oxford University Press.</w:t>
      </w:r>
    </w:p>
    <w:p w14:paraId="15115B67" w14:textId="77777777" w:rsidR="00E9600C" w:rsidRPr="00E9600C" w:rsidRDefault="00E9600C" w:rsidP="00E9600C">
      <w:pPr>
        <w:pStyle w:val="Bibliografie"/>
        <w:rPr>
          <w:lang w:val="en-GB"/>
        </w:rPr>
      </w:pPr>
      <w:r w:rsidRPr="00E9600C">
        <w:rPr>
          <w:lang w:val="en-GB"/>
        </w:rPr>
        <w:t xml:space="preserve">Gell, Alfred. 1992. ‘The Technology of Enchantment and the Enchantment of Technology’. In </w:t>
      </w:r>
      <w:r w:rsidRPr="00E9600C">
        <w:rPr>
          <w:i/>
          <w:iCs/>
          <w:lang w:val="en-GB"/>
        </w:rPr>
        <w:t>Anthropology, Art, and Aesthetics</w:t>
      </w:r>
      <w:r w:rsidRPr="00E9600C">
        <w:rPr>
          <w:lang w:val="en-GB"/>
        </w:rPr>
        <w:t>, edited by Jeremy Coote and Anthony Shelton, 40–63. Oxford: Clarendon Press.</w:t>
      </w:r>
    </w:p>
    <w:p w14:paraId="55EC4766" w14:textId="77777777" w:rsidR="00E9600C" w:rsidRPr="00E9600C" w:rsidRDefault="00E9600C" w:rsidP="00E9600C">
      <w:pPr>
        <w:pStyle w:val="Bibliografie"/>
        <w:rPr>
          <w:lang w:val="en-GB"/>
        </w:rPr>
      </w:pPr>
      <w:r w:rsidRPr="00E9600C">
        <w:rPr>
          <w:lang w:val="en-GB"/>
        </w:rPr>
        <w:t xml:space="preserve">———. 1996. ‘Vogel’s Net: Traps as Artworks and Artworks as Traps’. </w:t>
      </w:r>
      <w:r w:rsidRPr="00E9600C">
        <w:rPr>
          <w:i/>
          <w:iCs/>
          <w:lang w:val="en-GB"/>
        </w:rPr>
        <w:t>Journal of Material Culture</w:t>
      </w:r>
      <w:r w:rsidRPr="00E9600C">
        <w:rPr>
          <w:lang w:val="en-GB"/>
        </w:rPr>
        <w:t xml:space="preserve"> 1 (1): 15–38. https://doi.org/10.1177/135918359600100102.</w:t>
      </w:r>
    </w:p>
    <w:p w14:paraId="647BEABF" w14:textId="77777777" w:rsidR="00E9600C" w:rsidRPr="00E9600C" w:rsidRDefault="00E9600C" w:rsidP="00E9600C">
      <w:pPr>
        <w:pStyle w:val="Bibliografie"/>
        <w:rPr>
          <w:lang w:val="en-GB"/>
        </w:rPr>
      </w:pPr>
      <w:r w:rsidRPr="00E9600C">
        <w:rPr>
          <w:lang w:val="en-GB"/>
        </w:rPr>
        <w:lastRenderedPageBreak/>
        <w:t xml:space="preserve">———. 1998. </w:t>
      </w:r>
      <w:r w:rsidRPr="00E9600C">
        <w:rPr>
          <w:i/>
          <w:iCs/>
          <w:lang w:val="en-GB"/>
        </w:rPr>
        <w:t>Art and Agency: An Anthropological Theory</w:t>
      </w:r>
      <w:r w:rsidRPr="00E9600C">
        <w:rPr>
          <w:lang w:val="en-GB"/>
        </w:rPr>
        <w:t>. Clarendon Press.</w:t>
      </w:r>
    </w:p>
    <w:p w14:paraId="00E9814D" w14:textId="77777777" w:rsidR="00E9600C" w:rsidRPr="00E9600C" w:rsidRDefault="00E9600C" w:rsidP="00E9600C">
      <w:pPr>
        <w:pStyle w:val="Bibliografie"/>
        <w:rPr>
          <w:lang w:val="en-GB"/>
        </w:rPr>
      </w:pPr>
      <w:r w:rsidRPr="00E9600C">
        <w:rPr>
          <w:lang w:val="en-GB"/>
        </w:rPr>
        <w:t xml:space="preserve">Gennari, John. 1991. ‘Jazz Criticism: Its Development and Ideologies’. </w:t>
      </w:r>
      <w:r w:rsidRPr="00E9600C">
        <w:rPr>
          <w:i/>
          <w:iCs/>
          <w:lang w:val="en-GB"/>
        </w:rPr>
        <w:t>Black American Literature Forum</w:t>
      </w:r>
      <w:r w:rsidRPr="00E9600C">
        <w:rPr>
          <w:lang w:val="en-GB"/>
        </w:rPr>
        <w:t xml:space="preserve"> 25 (3): 449–523. https://doi.org/10.2307/3041811.</w:t>
      </w:r>
    </w:p>
    <w:p w14:paraId="19120745" w14:textId="77777777" w:rsidR="00E9600C" w:rsidRPr="00E9600C" w:rsidRDefault="00E9600C" w:rsidP="00E9600C">
      <w:pPr>
        <w:pStyle w:val="Bibliografie"/>
        <w:rPr>
          <w:lang w:val="en-GB"/>
        </w:rPr>
      </w:pPr>
      <w:r w:rsidRPr="00E9600C">
        <w:rPr>
          <w:lang w:val="en-GB"/>
        </w:rPr>
        <w:t xml:space="preserve">———. 2007. </w:t>
      </w:r>
      <w:r w:rsidRPr="00E9600C">
        <w:rPr>
          <w:i/>
          <w:iCs/>
          <w:lang w:val="en-GB"/>
        </w:rPr>
        <w:t>Blowin’ Hot and Cool: Jazz and Its Critics</w:t>
      </w:r>
      <w:r w:rsidRPr="00E9600C">
        <w:rPr>
          <w:lang w:val="en-GB"/>
        </w:rPr>
        <w:t>. Chicago: University of Chicago Press.</w:t>
      </w:r>
    </w:p>
    <w:p w14:paraId="63ADA08E" w14:textId="77777777" w:rsidR="00E9600C" w:rsidRPr="00E9600C" w:rsidRDefault="00E9600C" w:rsidP="00E9600C">
      <w:pPr>
        <w:pStyle w:val="Bibliografie"/>
        <w:rPr>
          <w:lang w:val="en-GB"/>
        </w:rPr>
      </w:pPr>
      <w:r w:rsidRPr="00E9600C">
        <w:rPr>
          <w:lang w:val="en-GB"/>
        </w:rPr>
        <w:t xml:space="preserve">Gibson, James J. 2014. </w:t>
      </w:r>
      <w:r w:rsidRPr="00E9600C">
        <w:rPr>
          <w:i/>
          <w:iCs/>
          <w:lang w:val="en-GB"/>
        </w:rPr>
        <w:t>The Ecological Approach to Visual Perception: Classic Edition</w:t>
      </w:r>
      <w:r w:rsidRPr="00E9600C">
        <w:rPr>
          <w:lang w:val="en-GB"/>
        </w:rPr>
        <w:t>. New York: Psychology Press.</w:t>
      </w:r>
    </w:p>
    <w:p w14:paraId="16F55FA9" w14:textId="77777777" w:rsidR="00E9600C" w:rsidRPr="00E9600C" w:rsidRDefault="00E9600C" w:rsidP="00E9600C">
      <w:pPr>
        <w:pStyle w:val="Bibliografie"/>
        <w:rPr>
          <w:lang w:val="en-GB"/>
        </w:rPr>
      </w:pPr>
      <w:r w:rsidRPr="00E9600C">
        <w:rPr>
          <w:lang w:val="en-GB"/>
        </w:rPr>
        <w:t xml:space="preserve">Gibson, Will. 2006. ‘Material Culture and Embodied Action: Sociological Notes on the Examination of Musical Instruments in Jazz Improvisation’. </w:t>
      </w:r>
      <w:r w:rsidRPr="00E9600C">
        <w:rPr>
          <w:i/>
          <w:iCs/>
          <w:lang w:val="en-GB"/>
        </w:rPr>
        <w:t>The Sociological Review</w:t>
      </w:r>
      <w:r w:rsidRPr="00E9600C">
        <w:rPr>
          <w:lang w:val="en-GB"/>
        </w:rPr>
        <w:t xml:space="preserve"> 54 (1): 171–87. https://doi.org/10.1111/j.1467-954X.2006.00607.x.</w:t>
      </w:r>
    </w:p>
    <w:p w14:paraId="5E63A01F" w14:textId="77777777" w:rsidR="00E9600C" w:rsidRPr="00E9600C" w:rsidRDefault="00E9600C" w:rsidP="00E9600C">
      <w:pPr>
        <w:pStyle w:val="Bibliografie"/>
        <w:rPr>
          <w:lang w:val="en-GB"/>
        </w:rPr>
      </w:pPr>
      <w:r w:rsidRPr="00E9600C">
        <w:rPr>
          <w:lang w:val="en-GB"/>
        </w:rPr>
        <w:t xml:space="preserve">Gitelman, Lisa. 2006. </w:t>
      </w:r>
      <w:r w:rsidRPr="00E9600C">
        <w:rPr>
          <w:i/>
          <w:iCs/>
          <w:lang w:val="en-GB"/>
        </w:rPr>
        <w:t>Always Already New: Media, History, and the Data of Culture</w:t>
      </w:r>
      <w:r w:rsidRPr="00E9600C">
        <w:rPr>
          <w:lang w:val="en-GB"/>
        </w:rPr>
        <w:t>. Cambridge, MA: MIT Press.</w:t>
      </w:r>
    </w:p>
    <w:p w14:paraId="2F02BB46" w14:textId="77777777" w:rsidR="00E9600C" w:rsidRPr="00E9600C" w:rsidRDefault="00E9600C" w:rsidP="00E9600C">
      <w:pPr>
        <w:pStyle w:val="Bibliografie"/>
        <w:rPr>
          <w:lang w:val="en-GB"/>
        </w:rPr>
      </w:pPr>
      <w:r w:rsidRPr="00E9600C">
        <w:rPr>
          <w:lang w:val="en-GB"/>
        </w:rPr>
        <w:t xml:space="preserve">Givan, Benjamin. 2003. ‘Django Reinhardt’s Left Hand’. In </w:t>
      </w:r>
      <w:r w:rsidRPr="00E9600C">
        <w:rPr>
          <w:i/>
          <w:iCs/>
          <w:lang w:val="en-GB"/>
        </w:rPr>
        <w:t>Jazz Planet</w:t>
      </w:r>
      <w:r w:rsidRPr="00E9600C">
        <w:rPr>
          <w:lang w:val="en-GB"/>
        </w:rPr>
        <w:t>, edited by E. Taylor Atkins, 19–40. Jackson: University Press of Mississippi.</w:t>
      </w:r>
    </w:p>
    <w:p w14:paraId="16D7497E" w14:textId="77777777" w:rsidR="00E9600C" w:rsidRPr="00E9600C" w:rsidRDefault="00E9600C" w:rsidP="00E9600C">
      <w:pPr>
        <w:pStyle w:val="Bibliografie"/>
        <w:rPr>
          <w:lang w:val="en-GB"/>
        </w:rPr>
      </w:pPr>
      <w:r w:rsidRPr="00E9600C">
        <w:rPr>
          <w:lang w:val="en-GB"/>
        </w:rPr>
        <w:t xml:space="preserve">———. 2009. ‘Thelonious Monk’s Pianism’. </w:t>
      </w:r>
      <w:r w:rsidRPr="00E9600C">
        <w:rPr>
          <w:i/>
          <w:iCs/>
          <w:lang w:val="en-GB"/>
        </w:rPr>
        <w:t>The Journal of Musicology</w:t>
      </w:r>
      <w:r w:rsidRPr="00E9600C">
        <w:rPr>
          <w:lang w:val="en-GB"/>
        </w:rPr>
        <w:t xml:space="preserve"> 26 (3): 404–42. https://doi.org/10.1525/jm.2009.26.3.404.</w:t>
      </w:r>
    </w:p>
    <w:p w14:paraId="5C2B312D" w14:textId="77777777" w:rsidR="00E9600C" w:rsidRPr="00E9600C" w:rsidRDefault="00E9600C" w:rsidP="00E9600C">
      <w:pPr>
        <w:pStyle w:val="Bibliografie"/>
        <w:rPr>
          <w:lang w:val="en-GB"/>
        </w:rPr>
      </w:pPr>
      <w:r w:rsidRPr="00E9600C">
        <w:rPr>
          <w:lang w:val="en-GB"/>
        </w:rPr>
        <w:t xml:space="preserve">———. 2014. ‘Gunther Schuller and the Challenge of Sonny Rollins’: </w:t>
      </w:r>
      <w:r w:rsidRPr="00E9600C">
        <w:rPr>
          <w:i/>
          <w:iCs/>
          <w:lang w:val="en-GB"/>
        </w:rPr>
        <w:t>Journal of the American Musicological Society</w:t>
      </w:r>
      <w:r w:rsidRPr="00E9600C">
        <w:rPr>
          <w:lang w:val="en-GB"/>
        </w:rPr>
        <w:t xml:space="preserve"> 67 (1): 167–237. https://doi.org/10.1525/jams.2014.67.1.167.</w:t>
      </w:r>
    </w:p>
    <w:p w14:paraId="000A735A" w14:textId="77777777" w:rsidR="00E9600C" w:rsidRPr="00E9600C" w:rsidRDefault="00E9600C" w:rsidP="00E9600C">
      <w:pPr>
        <w:pStyle w:val="Bibliografie"/>
        <w:rPr>
          <w:lang w:val="en-GB"/>
        </w:rPr>
      </w:pPr>
      <w:r w:rsidRPr="00E9600C">
        <w:rPr>
          <w:lang w:val="en-GB"/>
        </w:rPr>
        <w:t xml:space="preserve">Goehr, Lydia. 2007. </w:t>
      </w:r>
      <w:r w:rsidRPr="00E9600C">
        <w:rPr>
          <w:i/>
          <w:iCs/>
          <w:lang w:val="en-GB"/>
        </w:rPr>
        <w:t>The Imaginary Museum of Musical Works: An Essay in the Philosophy of Music</w:t>
      </w:r>
      <w:r w:rsidRPr="00E9600C">
        <w:rPr>
          <w:lang w:val="en-GB"/>
        </w:rPr>
        <w:t>. Oxford: Oxford University Press.</w:t>
      </w:r>
    </w:p>
    <w:p w14:paraId="2BF7FBAB" w14:textId="77777777" w:rsidR="00E9600C" w:rsidRPr="00E9600C" w:rsidRDefault="00E9600C" w:rsidP="00E9600C">
      <w:pPr>
        <w:pStyle w:val="Bibliografie"/>
        <w:rPr>
          <w:lang w:val="en-GB"/>
        </w:rPr>
      </w:pPr>
      <w:r w:rsidRPr="00E9600C">
        <w:rPr>
          <w:lang w:val="en-GB"/>
        </w:rPr>
        <w:t xml:space="preserve">———. 2016. ‘Improvising Impromptu, Or, What to Do with a Broken String’. Edited by George E. Lewis and Benjamin Piekut. </w:t>
      </w:r>
      <w:r w:rsidRPr="00E9600C">
        <w:rPr>
          <w:i/>
          <w:iCs/>
          <w:lang w:val="en-GB"/>
        </w:rPr>
        <w:t>The Oxford Handbook of Critical Improvisation Studies, Volume 1</w:t>
      </w:r>
      <w:r w:rsidRPr="00E9600C">
        <w:rPr>
          <w:lang w:val="en-GB"/>
        </w:rPr>
        <w:t>. http://www.oxfordhandbooks.com/view/10.1093/oxfordhb/9780195370935.001.0001/oxfordhb-9780195370935-e-010.</w:t>
      </w:r>
    </w:p>
    <w:p w14:paraId="637E9CE5" w14:textId="77777777" w:rsidR="00E9600C" w:rsidRPr="00E9600C" w:rsidRDefault="00E9600C" w:rsidP="00E9600C">
      <w:pPr>
        <w:pStyle w:val="Bibliografie"/>
        <w:rPr>
          <w:lang w:val="en-GB"/>
        </w:rPr>
      </w:pPr>
      <w:r w:rsidRPr="002C7484">
        <w:rPr>
          <w:lang w:val="de-DE"/>
        </w:rPr>
        <w:t xml:space="preserve">Gumbrecht, Hans Ulrich, </w:t>
      </w:r>
      <w:proofErr w:type="spellStart"/>
      <w:r w:rsidRPr="002C7484">
        <w:rPr>
          <w:lang w:val="de-DE"/>
        </w:rPr>
        <w:t>and</w:t>
      </w:r>
      <w:proofErr w:type="spellEnd"/>
      <w:r w:rsidRPr="002C7484">
        <w:rPr>
          <w:lang w:val="de-DE"/>
        </w:rPr>
        <w:t xml:space="preserve"> Karl Ludwig Pfeiffer. </w:t>
      </w:r>
      <w:r w:rsidRPr="00E9600C">
        <w:rPr>
          <w:lang w:val="en-GB"/>
        </w:rPr>
        <w:t xml:space="preserve">1988. </w:t>
      </w:r>
      <w:r w:rsidRPr="00E9600C">
        <w:rPr>
          <w:i/>
          <w:iCs/>
          <w:lang w:val="en-GB"/>
        </w:rPr>
        <w:t>Materialities of Communication</w:t>
      </w:r>
      <w:r w:rsidRPr="00E9600C">
        <w:rPr>
          <w:lang w:val="en-GB"/>
        </w:rPr>
        <w:t>. Stanford University Press.</w:t>
      </w:r>
    </w:p>
    <w:p w14:paraId="0B55F980" w14:textId="77777777" w:rsidR="00E9600C" w:rsidRPr="00E9600C" w:rsidRDefault="00E9600C" w:rsidP="00E9600C">
      <w:pPr>
        <w:pStyle w:val="Bibliografie"/>
        <w:rPr>
          <w:lang w:val="en-GB"/>
        </w:rPr>
      </w:pPr>
      <w:r w:rsidRPr="00E9600C">
        <w:rPr>
          <w:lang w:val="en-GB"/>
        </w:rPr>
        <w:t xml:space="preserve">Hallam, Elizabeth, and Tim Ingold, eds. 2007. </w:t>
      </w:r>
      <w:r w:rsidRPr="00E9600C">
        <w:rPr>
          <w:i/>
          <w:iCs/>
          <w:lang w:val="en-GB"/>
        </w:rPr>
        <w:t>Creativity and Cultural Improvisation</w:t>
      </w:r>
      <w:r w:rsidRPr="00E9600C">
        <w:rPr>
          <w:lang w:val="en-GB"/>
        </w:rPr>
        <w:t>. Oxford: Berg.</w:t>
      </w:r>
    </w:p>
    <w:p w14:paraId="7C516416" w14:textId="77777777" w:rsidR="00E9600C" w:rsidRPr="00E9600C" w:rsidRDefault="00E9600C" w:rsidP="00E9600C">
      <w:pPr>
        <w:pStyle w:val="Bibliografie"/>
        <w:rPr>
          <w:lang w:val="en-GB"/>
        </w:rPr>
      </w:pPr>
      <w:r w:rsidRPr="00E9600C">
        <w:rPr>
          <w:lang w:val="en-GB"/>
        </w:rPr>
        <w:t xml:space="preserve">Haraway, Donna. 1988. ‘Situated Knowledges: The Science Question in Feminism and the Privilege of Partial Perspective’. </w:t>
      </w:r>
      <w:r w:rsidRPr="00E9600C">
        <w:rPr>
          <w:i/>
          <w:iCs/>
          <w:lang w:val="en-GB"/>
        </w:rPr>
        <w:t>Feminist Studies</w:t>
      </w:r>
      <w:r w:rsidRPr="00E9600C">
        <w:rPr>
          <w:lang w:val="en-GB"/>
        </w:rPr>
        <w:t xml:space="preserve"> 14 (3): 575–99.</w:t>
      </w:r>
    </w:p>
    <w:p w14:paraId="59798FDC" w14:textId="77777777" w:rsidR="00E9600C" w:rsidRPr="00E9600C" w:rsidRDefault="00E9600C" w:rsidP="00E9600C">
      <w:pPr>
        <w:pStyle w:val="Bibliografie"/>
        <w:rPr>
          <w:lang w:val="en-GB"/>
        </w:rPr>
      </w:pPr>
      <w:r w:rsidRPr="00E9600C">
        <w:rPr>
          <w:lang w:val="en-GB"/>
        </w:rPr>
        <w:t xml:space="preserve">Harman, Graham. 2002. </w:t>
      </w:r>
      <w:r w:rsidRPr="00E9600C">
        <w:rPr>
          <w:i/>
          <w:iCs/>
          <w:lang w:val="en-GB"/>
        </w:rPr>
        <w:t>Tool-Being: Heidegger and the Metaphysics of Objects</w:t>
      </w:r>
      <w:r w:rsidRPr="00E9600C">
        <w:rPr>
          <w:lang w:val="en-GB"/>
        </w:rPr>
        <w:t>. Chicago: Open Court.</w:t>
      </w:r>
    </w:p>
    <w:p w14:paraId="2790CC1B" w14:textId="77777777" w:rsidR="00E9600C" w:rsidRPr="00E9600C" w:rsidRDefault="00E9600C" w:rsidP="00E9600C">
      <w:pPr>
        <w:pStyle w:val="Bibliografie"/>
        <w:rPr>
          <w:lang w:val="en-GB"/>
        </w:rPr>
      </w:pPr>
      <w:r w:rsidRPr="00E9600C">
        <w:rPr>
          <w:lang w:val="en-GB"/>
        </w:rPr>
        <w:t xml:space="preserve">Hayles, N. Katherine. 1997. ‘The Posthuman Body: Inscription and Incorporation in Galatea 2.2 and Snow Crash’. </w:t>
      </w:r>
      <w:r w:rsidRPr="00E9600C">
        <w:rPr>
          <w:i/>
          <w:iCs/>
          <w:lang w:val="en-GB"/>
        </w:rPr>
        <w:t>Configurations</w:t>
      </w:r>
      <w:r w:rsidRPr="00E9600C">
        <w:rPr>
          <w:lang w:val="en-GB"/>
        </w:rPr>
        <w:t xml:space="preserve"> 5 (2): 241–66. https://doi.org/10.1353/con.1997.0010.</w:t>
      </w:r>
    </w:p>
    <w:p w14:paraId="78F2F1D6" w14:textId="77777777" w:rsidR="00E9600C" w:rsidRPr="00E9600C" w:rsidRDefault="00E9600C" w:rsidP="00E9600C">
      <w:pPr>
        <w:pStyle w:val="Bibliografie"/>
        <w:rPr>
          <w:lang w:val="en-GB"/>
        </w:rPr>
      </w:pPr>
      <w:r w:rsidRPr="00E9600C">
        <w:rPr>
          <w:lang w:val="en-GB"/>
        </w:rPr>
        <w:t xml:space="preserve">Heile, Bj?rn, Peter Elsdon, and Jenny Doctor. 2016. </w:t>
      </w:r>
      <w:r w:rsidRPr="00E9600C">
        <w:rPr>
          <w:i/>
          <w:iCs/>
          <w:lang w:val="en-GB"/>
        </w:rPr>
        <w:t>Watching Jazz: Encounters with Jazz Performance on Screen</w:t>
      </w:r>
      <w:r w:rsidRPr="00E9600C">
        <w:rPr>
          <w:lang w:val="en-GB"/>
        </w:rPr>
        <w:t>. Oxford: Oxford University Press.</w:t>
      </w:r>
    </w:p>
    <w:p w14:paraId="1B348A44" w14:textId="77777777" w:rsidR="00E9600C" w:rsidRPr="00E9600C" w:rsidRDefault="00E9600C" w:rsidP="00E9600C">
      <w:pPr>
        <w:pStyle w:val="Bibliografie"/>
        <w:rPr>
          <w:lang w:val="en-GB"/>
        </w:rPr>
      </w:pPr>
      <w:r w:rsidRPr="00E9600C">
        <w:rPr>
          <w:lang w:val="en-GB"/>
        </w:rPr>
        <w:t xml:space="preserve">Henare, Amiria, Martin Holbraad, and Sari Wastell, eds. 2007. </w:t>
      </w:r>
      <w:r w:rsidRPr="00E9600C">
        <w:rPr>
          <w:i/>
          <w:iCs/>
          <w:lang w:val="en-GB"/>
        </w:rPr>
        <w:t>Thinking Through Things: Theorising Artefacts Ethnographically</w:t>
      </w:r>
      <w:r w:rsidRPr="00E9600C">
        <w:rPr>
          <w:lang w:val="en-GB"/>
        </w:rPr>
        <w:t>. London: Routledge.</w:t>
      </w:r>
    </w:p>
    <w:p w14:paraId="49A91F5B" w14:textId="77777777" w:rsidR="00E9600C" w:rsidRPr="00E9600C" w:rsidRDefault="00E9600C" w:rsidP="00E9600C">
      <w:pPr>
        <w:pStyle w:val="Bibliografie"/>
        <w:rPr>
          <w:lang w:val="en-GB"/>
        </w:rPr>
      </w:pPr>
      <w:r w:rsidRPr="00E9600C">
        <w:rPr>
          <w:lang w:val="en-GB"/>
        </w:rPr>
        <w:t xml:space="preserve">Hennion, Antoine. 2015. </w:t>
      </w:r>
      <w:r w:rsidRPr="00E9600C">
        <w:rPr>
          <w:i/>
          <w:iCs/>
          <w:lang w:val="en-GB"/>
        </w:rPr>
        <w:t>The Passion for Music: A Sociology of Mediation</w:t>
      </w:r>
      <w:r w:rsidRPr="00E9600C">
        <w:rPr>
          <w:lang w:val="en-GB"/>
        </w:rPr>
        <w:t>. Translated by Margaret Rigaud and Collier. Farnham: Ashgate.</w:t>
      </w:r>
    </w:p>
    <w:p w14:paraId="7824B8ED" w14:textId="77777777" w:rsidR="00E9600C" w:rsidRPr="00E9600C" w:rsidRDefault="00E9600C" w:rsidP="00E9600C">
      <w:pPr>
        <w:pStyle w:val="Bibliografie"/>
        <w:rPr>
          <w:lang w:val="en-GB"/>
        </w:rPr>
      </w:pPr>
      <w:r w:rsidRPr="00E9600C">
        <w:rPr>
          <w:lang w:val="en-GB"/>
        </w:rPr>
        <w:t xml:space="preserve">Hicks, Dan. 2010. ‘The Material‐Cultural Turn: Event and Effect’. In </w:t>
      </w:r>
      <w:r w:rsidRPr="00E9600C">
        <w:rPr>
          <w:i/>
          <w:iCs/>
          <w:lang w:val="en-GB"/>
        </w:rPr>
        <w:t>The Oxford Handbook of Material Culture Studies</w:t>
      </w:r>
      <w:r w:rsidRPr="00E9600C">
        <w:rPr>
          <w:lang w:val="en-GB"/>
        </w:rPr>
        <w:t>, edited by Dan Hicks and Mary C. Beaudry, 25–98. Oxford: Oxford University Press. http://www.oxfordhandbooks.com/view/10.1093/oxfordhb/9780199218714.001.0001/oxfordhb-9780199218714-e-2.</w:t>
      </w:r>
    </w:p>
    <w:p w14:paraId="33D75841" w14:textId="77777777" w:rsidR="00E9600C" w:rsidRPr="00E9600C" w:rsidRDefault="00E9600C" w:rsidP="00E9600C">
      <w:pPr>
        <w:pStyle w:val="Bibliografie"/>
        <w:rPr>
          <w:lang w:val="en-GB"/>
        </w:rPr>
      </w:pPr>
      <w:r w:rsidRPr="00E9600C">
        <w:rPr>
          <w:lang w:val="en-GB"/>
        </w:rPr>
        <w:t xml:space="preserve">Hodder, Ian. 1982. </w:t>
      </w:r>
      <w:r w:rsidRPr="00E9600C">
        <w:rPr>
          <w:i/>
          <w:iCs/>
          <w:lang w:val="en-GB"/>
        </w:rPr>
        <w:t>Symbols in Action: Ethnoarchaeological Studies of Material Culture</w:t>
      </w:r>
      <w:r w:rsidRPr="00E9600C">
        <w:rPr>
          <w:lang w:val="en-GB"/>
        </w:rPr>
        <w:t>. Cambridge: Cambridge University Press.</w:t>
      </w:r>
    </w:p>
    <w:p w14:paraId="67618EB3" w14:textId="77777777" w:rsidR="00E9600C" w:rsidRPr="00E9600C" w:rsidRDefault="00E9600C" w:rsidP="00E9600C">
      <w:pPr>
        <w:pStyle w:val="Bibliografie"/>
        <w:rPr>
          <w:lang w:val="en-GB"/>
        </w:rPr>
      </w:pPr>
      <w:r w:rsidRPr="00E9600C">
        <w:rPr>
          <w:lang w:val="en-GB"/>
        </w:rPr>
        <w:t xml:space="preserve">Huhtamo, Erkki, and Jussi Parikka, eds. 2011. </w:t>
      </w:r>
      <w:r w:rsidRPr="00E9600C">
        <w:rPr>
          <w:i/>
          <w:iCs/>
          <w:lang w:val="en-GB"/>
        </w:rPr>
        <w:t>Media Archaeology: Approaches, Applications, and Implications</w:t>
      </w:r>
      <w:r w:rsidRPr="00E9600C">
        <w:rPr>
          <w:lang w:val="en-GB"/>
        </w:rPr>
        <w:t>. Berkeley: University of California Press.</w:t>
      </w:r>
    </w:p>
    <w:p w14:paraId="24AC681C" w14:textId="77777777" w:rsidR="00E9600C" w:rsidRPr="00E9600C" w:rsidRDefault="00E9600C" w:rsidP="00E9600C">
      <w:pPr>
        <w:pStyle w:val="Bibliografie"/>
        <w:rPr>
          <w:lang w:val="en-GB"/>
        </w:rPr>
      </w:pPr>
      <w:r w:rsidRPr="00E9600C">
        <w:rPr>
          <w:lang w:val="en-GB"/>
        </w:rPr>
        <w:t xml:space="preserve">Ingold, Tim. 2007. ‘Materials against Materiality’. </w:t>
      </w:r>
      <w:r w:rsidRPr="00E9600C">
        <w:rPr>
          <w:i/>
          <w:iCs/>
          <w:lang w:val="en-GB"/>
        </w:rPr>
        <w:t>Archaeological Dialogues</w:t>
      </w:r>
      <w:r w:rsidRPr="00E9600C">
        <w:rPr>
          <w:lang w:val="en-GB"/>
        </w:rPr>
        <w:t xml:space="preserve"> 14 (1): 1–16. https://doi.org/10.1017/S1380203807002127.</w:t>
      </w:r>
    </w:p>
    <w:p w14:paraId="0522B00D" w14:textId="77777777" w:rsidR="00E9600C" w:rsidRPr="00E9600C" w:rsidRDefault="00E9600C" w:rsidP="00E9600C">
      <w:pPr>
        <w:pStyle w:val="Bibliografie"/>
        <w:rPr>
          <w:lang w:val="en-GB"/>
        </w:rPr>
      </w:pPr>
      <w:r w:rsidRPr="00E9600C">
        <w:rPr>
          <w:lang w:val="en-GB"/>
        </w:rPr>
        <w:t xml:space="preserve">———. 2010. ‘The Textility of Making’. </w:t>
      </w:r>
      <w:r w:rsidRPr="00E9600C">
        <w:rPr>
          <w:i/>
          <w:iCs/>
          <w:lang w:val="en-GB"/>
        </w:rPr>
        <w:t>Cambridge Journal of Economics</w:t>
      </w:r>
      <w:r w:rsidRPr="00E9600C">
        <w:rPr>
          <w:lang w:val="en-GB"/>
        </w:rPr>
        <w:t xml:space="preserve"> 34 (1): 91–102. https://doi.org/10.1093/cje/bep042.</w:t>
      </w:r>
    </w:p>
    <w:p w14:paraId="1EC886D7" w14:textId="77777777" w:rsidR="00E9600C" w:rsidRPr="00E9600C" w:rsidRDefault="00E9600C" w:rsidP="00E9600C">
      <w:pPr>
        <w:pStyle w:val="Bibliografie"/>
        <w:rPr>
          <w:lang w:val="en-GB"/>
        </w:rPr>
      </w:pPr>
      <w:r w:rsidRPr="00E9600C">
        <w:rPr>
          <w:lang w:val="en-GB"/>
        </w:rPr>
        <w:t xml:space="preserve">———. 2011a. </w:t>
      </w:r>
      <w:r w:rsidRPr="00E9600C">
        <w:rPr>
          <w:i/>
          <w:iCs/>
          <w:lang w:val="en-GB"/>
        </w:rPr>
        <w:t>Being Alive: Essays on Movement, Knowledge and Description</w:t>
      </w:r>
      <w:r w:rsidRPr="00E9600C">
        <w:rPr>
          <w:lang w:val="en-GB"/>
        </w:rPr>
        <w:t>. Abingdon: Routledge.</w:t>
      </w:r>
    </w:p>
    <w:p w14:paraId="0DE9AEB7" w14:textId="77777777" w:rsidR="00E9600C" w:rsidRPr="00E9600C" w:rsidRDefault="00E9600C" w:rsidP="00E9600C">
      <w:pPr>
        <w:pStyle w:val="Bibliografie"/>
        <w:rPr>
          <w:lang w:val="en-GB"/>
        </w:rPr>
      </w:pPr>
      <w:r w:rsidRPr="00E9600C">
        <w:rPr>
          <w:lang w:val="en-GB"/>
        </w:rPr>
        <w:t xml:space="preserve">———. , ed. 2011b. </w:t>
      </w:r>
      <w:r w:rsidRPr="00E9600C">
        <w:rPr>
          <w:i/>
          <w:iCs/>
          <w:lang w:val="en-GB"/>
        </w:rPr>
        <w:t>Redrawing Anthropology: Materials, Movements, Lines</w:t>
      </w:r>
      <w:r w:rsidRPr="00E9600C">
        <w:rPr>
          <w:lang w:val="en-GB"/>
        </w:rPr>
        <w:t>. Ashgate Publishing, Ltd.</w:t>
      </w:r>
    </w:p>
    <w:p w14:paraId="58E05654" w14:textId="77777777" w:rsidR="00E9600C" w:rsidRPr="00E9600C" w:rsidRDefault="00E9600C" w:rsidP="00E9600C">
      <w:pPr>
        <w:pStyle w:val="Bibliografie"/>
        <w:rPr>
          <w:lang w:val="en-GB"/>
        </w:rPr>
      </w:pPr>
      <w:r w:rsidRPr="00E9600C">
        <w:rPr>
          <w:lang w:val="en-GB"/>
        </w:rPr>
        <w:lastRenderedPageBreak/>
        <w:t xml:space="preserve">———. 2012. ‘Toward an Ecology of Materials’. </w:t>
      </w:r>
      <w:r w:rsidRPr="00E9600C">
        <w:rPr>
          <w:i/>
          <w:iCs/>
          <w:lang w:val="en-GB"/>
        </w:rPr>
        <w:t>Annual Review of Anthropology</w:t>
      </w:r>
      <w:r w:rsidRPr="00E9600C">
        <w:rPr>
          <w:lang w:val="en-GB"/>
        </w:rPr>
        <w:t xml:space="preserve"> 41: 427–42.</w:t>
      </w:r>
    </w:p>
    <w:p w14:paraId="315CC908" w14:textId="77777777" w:rsidR="00E9600C" w:rsidRPr="00E9600C" w:rsidRDefault="00E9600C" w:rsidP="00E9600C">
      <w:pPr>
        <w:pStyle w:val="Bibliografie"/>
        <w:rPr>
          <w:lang w:val="en-GB"/>
        </w:rPr>
      </w:pPr>
      <w:r w:rsidRPr="00E9600C">
        <w:rPr>
          <w:lang w:val="en-GB"/>
        </w:rPr>
        <w:t xml:space="preserve">Jago, Marian. 2013. ‘What Is a Jazz Record Anyway? Lennie Tristano And The Use Of Extended Studio Techniques In Jazz’. </w:t>
      </w:r>
      <w:r w:rsidRPr="00E9600C">
        <w:rPr>
          <w:i/>
          <w:iCs/>
          <w:lang w:val="en-GB"/>
        </w:rPr>
        <w:t>Journal on the Art of Record Production</w:t>
      </w:r>
      <w:r w:rsidRPr="00E9600C">
        <w:rPr>
          <w:lang w:val="en-GB"/>
        </w:rPr>
        <w:t xml:space="preserve"> 8. http://arpjournal.com/what-is-a-jazz-record-anyway-lennie-tristano-and-the-use-of-extended-studio-techniques-in-jazz/.</w:t>
      </w:r>
    </w:p>
    <w:p w14:paraId="4F98FCB1" w14:textId="77777777" w:rsidR="00E9600C" w:rsidRPr="00E9600C" w:rsidRDefault="00E9600C" w:rsidP="00E9600C">
      <w:pPr>
        <w:pStyle w:val="Bibliografie"/>
        <w:rPr>
          <w:lang w:val="en-GB"/>
        </w:rPr>
      </w:pPr>
      <w:r w:rsidRPr="00E9600C">
        <w:rPr>
          <w:lang w:val="en-GB"/>
        </w:rPr>
        <w:t xml:space="preserve">Kahn, Ashley. 2000. </w:t>
      </w:r>
      <w:r w:rsidRPr="00E9600C">
        <w:rPr>
          <w:i/>
          <w:iCs/>
          <w:lang w:val="en-GB"/>
        </w:rPr>
        <w:t>Kind of Blue: The Making of the Miles Davis Masterpiece</w:t>
      </w:r>
      <w:r w:rsidRPr="00E9600C">
        <w:rPr>
          <w:lang w:val="en-GB"/>
        </w:rPr>
        <w:t>. New York: Da Capo Press.</w:t>
      </w:r>
    </w:p>
    <w:p w14:paraId="3B22E266" w14:textId="77777777" w:rsidR="00E9600C" w:rsidRPr="00E9600C" w:rsidRDefault="00E9600C" w:rsidP="00E9600C">
      <w:pPr>
        <w:pStyle w:val="Bibliografie"/>
        <w:rPr>
          <w:lang w:val="en-GB"/>
        </w:rPr>
      </w:pPr>
      <w:r w:rsidRPr="00E9600C">
        <w:rPr>
          <w:lang w:val="en-GB"/>
        </w:rPr>
        <w:t xml:space="preserve">Katz, Mark. 2010. </w:t>
      </w:r>
      <w:r w:rsidRPr="00E9600C">
        <w:rPr>
          <w:i/>
          <w:iCs/>
          <w:lang w:val="en-GB"/>
        </w:rPr>
        <w:t>Capturing Sound: How Technology Has Changed Music</w:t>
      </w:r>
      <w:r w:rsidRPr="00E9600C">
        <w:rPr>
          <w:lang w:val="en-GB"/>
        </w:rPr>
        <w:t>. Berkeley: University of California Press.</w:t>
      </w:r>
    </w:p>
    <w:p w14:paraId="44544390" w14:textId="77777777" w:rsidR="00E9600C" w:rsidRPr="00E9600C" w:rsidRDefault="00E9600C" w:rsidP="00E9600C">
      <w:pPr>
        <w:pStyle w:val="Bibliografie"/>
        <w:rPr>
          <w:lang w:val="en-GB"/>
        </w:rPr>
      </w:pPr>
      <w:r w:rsidRPr="00E9600C">
        <w:rPr>
          <w:lang w:val="en-GB"/>
        </w:rPr>
        <w:t xml:space="preserve">Kenney, William Howland. 2003. </w:t>
      </w:r>
      <w:r w:rsidRPr="00E9600C">
        <w:rPr>
          <w:i/>
          <w:iCs/>
          <w:lang w:val="en-GB"/>
        </w:rPr>
        <w:t>Recorded Music in American Life: The Phonograph and Popular Memory, 1890-1945</w:t>
      </w:r>
      <w:r w:rsidRPr="00E9600C">
        <w:rPr>
          <w:lang w:val="en-GB"/>
        </w:rPr>
        <w:t>. New York: Oxford University Press.</w:t>
      </w:r>
    </w:p>
    <w:p w14:paraId="6FB0C35A" w14:textId="77777777" w:rsidR="00E9600C" w:rsidRPr="00E9600C" w:rsidRDefault="00E9600C" w:rsidP="00E9600C">
      <w:pPr>
        <w:pStyle w:val="Bibliografie"/>
        <w:rPr>
          <w:lang w:val="en-GB"/>
        </w:rPr>
      </w:pPr>
      <w:r w:rsidRPr="00E9600C">
        <w:rPr>
          <w:lang w:val="en-GB"/>
        </w:rPr>
        <w:t xml:space="preserve">Kernfeld, Barry. 2006. </w:t>
      </w:r>
      <w:r w:rsidRPr="00E9600C">
        <w:rPr>
          <w:i/>
          <w:iCs/>
          <w:lang w:val="en-GB"/>
        </w:rPr>
        <w:t>The Story of Fake Books: Bootlegging Songs to Musicians</w:t>
      </w:r>
      <w:r w:rsidRPr="00E9600C">
        <w:rPr>
          <w:lang w:val="en-GB"/>
        </w:rPr>
        <w:t>. Lanham: Scarecrow Press.</w:t>
      </w:r>
    </w:p>
    <w:p w14:paraId="6B433DF1" w14:textId="77777777" w:rsidR="00E9600C" w:rsidRPr="00E9600C" w:rsidRDefault="00E9600C" w:rsidP="00E9600C">
      <w:pPr>
        <w:pStyle w:val="Bibliografie"/>
        <w:rPr>
          <w:lang w:val="en-GB"/>
        </w:rPr>
      </w:pPr>
      <w:r w:rsidRPr="00E9600C">
        <w:rPr>
          <w:lang w:val="en-GB"/>
        </w:rPr>
        <w:t xml:space="preserve">Kittler, Friedrich A. 1990. </w:t>
      </w:r>
      <w:r w:rsidRPr="00E9600C">
        <w:rPr>
          <w:i/>
          <w:iCs/>
          <w:lang w:val="en-GB"/>
        </w:rPr>
        <w:t>Discourse Networks 1800/1900</w:t>
      </w:r>
      <w:r w:rsidRPr="00E9600C">
        <w:rPr>
          <w:lang w:val="en-GB"/>
        </w:rPr>
        <w:t>. Translated by Michael Metteer. Stanford, CA: Stanford University Press.</w:t>
      </w:r>
    </w:p>
    <w:p w14:paraId="0DAC3646" w14:textId="77777777" w:rsidR="00E9600C" w:rsidRPr="00E9600C" w:rsidRDefault="00E9600C" w:rsidP="00E9600C">
      <w:pPr>
        <w:pStyle w:val="Bibliografie"/>
        <w:rPr>
          <w:lang w:val="en-GB"/>
        </w:rPr>
      </w:pPr>
      <w:r w:rsidRPr="00E9600C">
        <w:rPr>
          <w:lang w:val="en-GB"/>
        </w:rPr>
        <w:t xml:space="preserve">———. 1999. </w:t>
      </w:r>
      <w:r w:rsidRPr="00E9600C">
        <w:rPr>
          <w:i/>
          <w:iCs/>
          <w:lang w:val="en-GB"/>
        </w:rPr>
        <w:t>Gramophone, Film, Typewriter</w:t>
      </w:r>
      <w:r w:rsidRPr="00E9600C">
        <w:rPr>
          <w:lang w:val="en-GB"/>
        </w:rPr>
        <w:t>. Stanford University Press.</w:t>
      </w:r>
    </w:p>
    <w:p w14:paraId="22AAC850" w14:textId="77777777" w:rsidR="00E9600C" w:rsidRPr="00E9600C" w:rsidRDefault="00E9600C" w:rsidP="00E9600C">
      <w:pPr>
        <w:pStyle w:val="Bibliografie"/>
        <w:rPr>
          <w:lang w:val="en-GB"/>
        </w:rPr>
      </w:pPr>
      <w:r w:rsidRPr="00E9600C">
        <w:rPr>
          <w:lang w:val="en-GB"/>
        </w:rPr>
        <w:t xml:space="preserve">Knappett, Carl, and Lambros Malafouris, eds. 2008. </w:t>
      </w:r>
      <w:r w:rsidRPr="00E9600C">
        <w:rPr>
          <w:i/>
          <w:iCs/>
          <w:lang w:val="en-GB"/>
        </w:rPr>
        <w:t>Material Agency: Towards a Non-Anthropocentric Approach</w:t>
      </w:r>
      <w:r w:rsidRPr="00E9600C">
        <w:rPr>
          <w:lang w:val="en-GB"/>
        </w:rPr>
        <w:t>. New York: Springer.</w:t>
      </w:r>
    </w:p>
    <w:p w14:paraId="0CD37756" w14:textId="77777777" w:rsidR="00E9600C" w:rsidRPr="00E9600C" w:rsidRDefault="00E9600C" w:rsidP="00E9600C">
      <w:pPr>
        <w:pStyle w:val="Bibliografie"/>
        <w:rPr>
          <w:lang w:val="en-GB"/>
        </w:rPr>
      </w:pPr>
      <w:r w:rsidRPr="00E9600C">
        <w:rPr>
          <w:lang w:val="en-GB"/>
        </w:rPr>
        <w:t xml:space="preserve">Kopytoff, Igor. 1986. ‘The Cultural Biography of Things: Commiditization as Process’. In </w:t>
      </w:r>
      <w:r w:rsidRPr="00E9600C">
        <w:rPr>
          <w:i/>
          <w:iCs/>
          <w:lang w:val="en-GB"/>
        </w:rPr>
        <w:t>The Social Life of Things: Commodities in Cultural Perspective</w:t>
      </w:r>
      <w:r w:rsidRPr="00E9600C">
        <w:rPr>
          <w:lang w:val="en-GB"/>
        </w:rPr>
        <w:t>, edited by Arjun Appadurai, 64–91. Cambridge: Cambridge University Press.</w:t>
      </w:r>
    </w:p>
    <w:p w14:paraId="2795E2A7" w14:textId="77777777" w:rsidR="00E9600C" w:rsidRPr="00E9600C" w:rsidRDefault="00E9600C" w:rsidP="00E9600C">
      <w:pPr>
        <w:pStyle w:val="Bibliografie"/>
        <w:rPr>
          <w:lang w:val="en-GB"/>
        </w:rPr>
      </w:pPr>
      <w:r w:rsidRPr="00E9600C">
        <w:rPr>
          <w:lang w:val="en-GB"/>
        </w:rPr>
        <w:t xml:space="preserve">Lash, Dominic. 2011. ‘Derek Bailey’s Practice/Practise’. </w:t>
      </w:r>
      <w:r w:rsidRPr="00E9600C">
        <w:rPr>
          <w:i/>
          <w:iCs/>
          <w:lang w:val="en-GB"/>
        </w:rPr>
        <w:t>Perspectives of New Music</w:t>
      </w:r>
      <w:r w:rsidRPr="00E9600C">
        <w:rPr>
          <w:lang w:val="en-GB"/>
        </w:rPr>
        <w:t xml:space="preserve"> 49 (1): 143–71. https://doi.org/10.7757/persnewmusi.49.1.0143.</w:t>
      </w:r>
    </w:p>
    <w:p w14:paraId="3C24F44A" w14:textId="77777777" w:rsidR="00E9600C" w:rsidRPr="00E9600C" w:rsidRDefault="00E9600C" w:rsidP="00E9600C">
      <w:pPr>
        <w:pStyle w:val="Bibliografie"/>
        <w:rPr>
          <w:lang w:val="en-GB"/>
        </w:rPr>
      </w:pPr>
      <w:r w:rsidRPr="00E9600C">
        <w:rPr>
          <w:lang w:val="en-GB"/>
        </w:rPr>
        <w:t xml:space="preserve">Latour, Bruno. 1987. </w:t>
      </w:r>
      <w:r w:rsidRPr="00E9600C">
        <w:rPr>
          <w:i/>
          <w:iCs/>
          <w:lang w:val="en-GB"/>
        </w:rPr>
        <w:t>Science in Action: How to Follow Scientists and Engineers through Society</w:t>
      </w:r>
      <w:r w:rsidRPr="00E9600C">
        <w:rPr>
          <w:lang w:val="en-GB"/>
        </w:rPr>
        <w:t>. Cambridge, MA: Harvard University Press.</w:t>
      </w:r>
    </w:p>
    <w:p w14:paraId="70BC89A1" w14:textId="77777777" w:rsidR="00E9600C" w:rsidRPr="00E9600C" w:rsidRDefault="00E9600C" w:rsidP="00E9600C">
      <w:pPr>
        <w:pStyle w:val="Bibliografie"/>
        <w:rPr>
          <w:lang w:val="en-GB"/>
        </w:rPr>
      </w:pPr>
      <w:r w:rsidRPr="00E9600C">
        <w:rPr>
          <w:lang w:val="en-GB"/>
        </w:rPr>
        <w:t xml:space="preserve">———. 2005. </w:t>
      </w:r>
      <w:r w:rsidRPr="00E9600C">
        <w:rPr>
          <w:i/>
          <w:iCs/>
          <w:lang w:val="en-GB"/>
        </w:rPr>
        <w:t>Reassembling the Social: An Introduction to Actor-Network-Theory</w:t>
      </w:r>
      <w:r w:rsidRPr="00E9600C">
        <w:rPr>
          <w:lang w:val="en-GB"/>
        </w:rPr>
        <w:t>. Oxford: Oxford University Press.</w:t>
      </w:r>
    </w:p>
    <w:p w14:paraId="0BF8E206" w14:textId="77777777" w:rsidR="00E9600C" w:rsidRPr="00E9600C" w:rsidRDefault="00E9600C" w:rsidP="00E9600C">
      <w:pPr>
        <w:pStyle w:val="Bibliografie"/>
        <w:rPr>
          <w:lang w:val="en-GB"/>
        </w:rPr>
      </w:pPr>
      <w:r w:rsidRPr="00E9600C">
        <w:rPr>
          <w:lang w:val="en-GB"/>
        </w:rPr>
        <w:t xml:space="preserve">Lévi-Strauss, Claude. 1966. </w:t>
      </w:r>
      <w:r w:rsidRPr="00E9600C">
        <w:rPr>
          <w:i/>
          <w:iCs/>
          <w:lang w:val="en-GB"/>
        </w:rPr>
        <w:t>The Savage Mind</w:t>
      </w:r>
      <w:r w:rsidRPr="00E9600C">
        <w:rPr>
          <w:lang w:val="en-GB"/>
        </w:rPr>
        <w:t>. Chicago: University of Chicago Press.</w:t>
      </w:r>
    </w:p>
    <w:p w14:paraId="6603AF75" w14:textId="77777777" w:rsidR="00E9600C" w:rsidRPr="00E9600C" w:rsidRDefault="00E9600C" w:rsidP="00E9600C">
      <w:pPr>
        <w:pStyle w:val="Bibliografie"/>
        <w:rPr>
          <w:lang w:val="en-GB"/>
        </w:rPr>
      </w:pPr>
      <w:r w:rsidRPr="00E9600C">
        <w:rPr>
          <w:lang w:val="en-GB"/>
        </w:rPr>
        <w:t xml:space="preserve">Marsalis, Wynton. 1999. </w:t>
      </w:r>
      <w:r w:rsidRPr="00E9600C">
        <w:rPr>
          <w:i/>
          <w:iCs/>
          <w:lang w:val="en-GB"/>
        </w:rPr>
        <w:t>Mr. Jelly Lord - Standard Time Vol. 6</w:t>
      </w:r>
      <w:r w:rsidRPr="00E9600C">
        <w:rPr>
          <w:lang w:val="en-GB"/>
        </w:rPr>
        <w:t>. CD. Columbia Records.</w:t>
      </w:r>
    </w:p>
    <w:p w14:paraId="366F0CF2" w14:textId="77777777" w:rsidR="00E9600C" w:rsidRPr="00E9600C" w:rsidRDefault="00E9600C" w:rsidP="00E9600C">
      <w:pPr>
        <w:pStyle w:val="Bibliografie"/>
        <w:rPr>
          <w:lang w:val="en-GB"/>
        </w:rPr>
      </w:pPr>
      <w:r w:rsidRPr="00E9600C">
        <w:rPr>
          <w:lang w:val="en-GB"/>
        </w:rPr>
        <w:t xml:space="preserve">McGee, Kristin A. 2009. </w:t>
      </w:r>
      <w:r w:rsidRPr="00E9600C">
        <w:rPr>
          <w:i/>
          <w:iCs/>
          <w:lang w:val="en-GB"/>
        </w:rPr>
        <w:t>Some Liked It Hot: Jazz Women in Film and Television, 1928–1959</w:t>
      </w:r>
      <w:r w:rsidRPr="00E9600C">
        <w:rPr>
          <w:lang w:val="en-GB"/>
        </w:rPr>
        <w:t>. Middletown: Wesleyan University Press.</w:t>
      </w:r>
    </w:p>
    <w:p w14:paraId="5D5079E7" w14:textId="77777777" w:rsidR="00E9600C" w:rsidRPr="00E9600C" w:rsidRDefault="00E9600C" w:rsidP="00E9600C">
      <w:pPr>
        <w:pStyle w:val="Bibliografie"/>
        <w:rPr>
          <w:lang w:val="en-GB"/>
        </w:rPr>
      </w:pPr>
      <w:r w:rsidRPr="00E9600C">
        <w:rPr>
          <w:lang w:val="en-GB"/>
        </w:rPr>
        <w:t xml:space="preserve">Merriam, Alan P. 1964. </w:t>
      </w:r>
      <w:r w:rsidRPr="00E9600C">
        <w:rPr>
          <w:i/>
          <w:iCs/>
          <w:lang w:val="en-GB"/>
        </w:rPr>
        <w:t>The Anthropology of Music</w:t>
      </w:r>
      <w:r w:rsidRPr="00E9600C">
        <w:rPr>
          <w:lang w:val="en-GB"/>
        </w:rPr>
        <w:t>. Evanston: Northwestern University Press.</w:t>
      </w:r>
    </w:p>
    <w:p w14:paraId="73617286" w14:textId="77777777" w:rsidR="00E9600C" w:rsidRPr="00E9600C" w:rsidRDefault="00E9600C" w:rsidP="00E9600C">
      <w:pPr>
        <w:pStyle w:val="Bibliografie"/>
        <w:rPr>
          <w:lang w:val="en-GB"/>
        </w:rPr>
      </w:pPr>
      <w:r w:rsidRPr="00E9600C">
        <w:rPr>
          <w:lang w:val="en-GB"/>
        </w:rPr>
        <w:t>Miles Davis Estate. 2014. ‘Miles Davis Estate Official Statement | Miles Davis’. Miles Davis. 16 October 2014. http://www.milesdavis.com/news/miles-davis-estate-official-statement/.</w:t>
      </w:r>
    </w:p>
    <w:p w14:paraId="7C737630" w14:textId="77777777" w:rsidR="00E9600C" w:rsidRPr="00E9600C" w:rsidRDefault="00E9600C" w:rsidP="00E9600C">
      <w:pPr>
        <w:pStyle w:val="Bibliografie"/>
        <w:rPr>
          <w:lang w:val="en-GB"/>
        </w:rPr>
      </w:pPr>
      <w:r w:rsidRPr="00E9600C">
        <w:rPr>
          <w:lang w:val="en-GB"/>
        </w:rPr>
        <w:t xml:space="preserve">Miller, Daniel. 1987. </w:t>
      </w:r>
      <w:r w:rsidRPr="00E9600C">
        <w:rPr>
          <w:i/>
          <w:iCs/>
          <w:lang w:val="en-GB"/>
        </w:rPr>
        <w:t>Material Culture and Mass Consumption</w:t>
      </w:r>
      <w:r w:rsidRPr="00E9600C">
        <w:rPr>
          <w:lang w:val="en-GB"/>
        </w:rPr>
        <w:t>. Oxford: Basil Blackwell.</w:t>
      </w:r>
    </w:p>
    <w:p w14:paraId="748A04D9" w14:textId="77777777" w:rsidR="00E9600C" w:rsidRPr="00E9600C" w:rsidRDefault="00E9600C" w:rsidP="00E9600C">
      <w:pPr>
        <w:pStyle w:val="Bibliografie"/>
        <w:rPr>
          <w:lang w:val="en-GB"/>
        </w:rPr>
      </w:pPr>
      <w:r w:rsidRPr="00E9600C">
        <w:rPr>
          <w:lang w:val="en-GB"/>
        </w:rPr>
        <w:t xml:space="preserve">———. 2005. </w:t>
      </w:r>
      <w:r w:rsidRPr="00E9600C">
        <w:rPr>
          <w:i/>
          <w:iCs/>
          <w:lang w:val="en-GB"/>
        </w:rPr>
        <w:t>Materiality</w:t>
      </w:r>
      <w:r w:rsidRPr="00E9600C">
        <w:rPr>
          <w:lang w:val="en-GB"/>
        </w:rPr>
        <w:t>. Durham: Duke University Press.</w:t>
      </w:r>
    </w:p>
    <w:p w14:paraId="6DE8EAF2" w14:textId="77777777" w:rsidR="00E9600C" w:rsidRPr="00E9600C" w:rsidRDefault="00E9600C" w:rsidP="00E9600C">
      <w:pPr>
        <w:pStyle w:val="Bibliografie"/>
        <w:rPr>
          <w:lang w:val="en-GB"/>
        </w:rPr>
      </w:pPr>
      <w:r w:rsidRPr="00E9600C">
        <w:rPr>
          <w:lang w:val="en-GB"/>
        </w:rPr>
        <w:t xml:space="preserve">Miller, Daniel, and Christopher Tilley. 1996. ‘Editorial’. </w:t>
      </w:r>
      <w:r w:rsidRPr="00E9600C">
        <w:rPr>
          <w:i/>
          <w:iCs/>
          <w:lang w:val="en-GB"/>
        </w:rPr>
        <w:t>Journal of Material Culture</w:t>
      </w:r>
      <w:r w:rsidRPr="00E9600C">
        <w:rPr>
          <w:lang w:val="en-GB"/>
        </w:rPr>
        <w:t xml:space="preserve"> 1 (1): 5–14. https://doi.org/10.1177/135918359600100101.</w:t>
      </w:r>
    </w:p>
    <w:p w14:paraId="1B8A3855" w14:textId="77777777" w:rsidR="00E9600C" w:rsidRPr="00E9600C" w:rsidRDefault="00E9600C" w:rsidP="00E9600C">
      <w:pPr>
        <w:pStyle w:val="Bibliografie"/>
        <w:rPr>
          <w:lang w:val="en-GB"/>
        </w:rPr>
      </w:pPr>
      <w:r w:rsidRPr="00E9600C">
        <w:rPr>
          <w:lang w:val="en-GB"/>
        </w:rPr>
        <w:t xml:space="preserve">Monson, Ingrid. 1996. </w:t>
      </w:r>
      <w:r w:rsidRPr="00E9600C">
        <w:rPr>
          <w:i/>
          <w:iCs/>
          <w:lang w:val="en-GB"/>
        </w:rPr>
        <w:t>Saying Something: Jazz Improvisation and Interaction</w:t>
      </w:r>
      <w:r w:rsidRPr="00E9600C">
        <w:rPr>
          <w:lang w:val="en-GB"/>
        </w:rPr>
        <w:t>. Chicago: University of Chicago Press.</w:t>
      </w:r>
    </w:p>
    <w:p w14:paraId="209FD672" w14:textId="77777777" w:rsidR="00E9600C" w:rsidRPr="00E9600C" w:rsidRDefault="00E9600C" w:rsidP="00E9600C">
      <w:pPr>
        <w:pStyle w:val="Bibliografie"/>
        <w:rPr>
          <w:lang w:val="en-GB"/>
        </w:rPr>
      </w:pPr>
      <w:r w:rsidRPr="00E9600C">
        <w:rPr>
          <w:lang w:val="en-GB"/>
        </w:rPr>
        <w:t xml:space="preserve">Moseley, Roger. 2016. </w:t>
      </w:r>
      <w:r w:rsidRPr="00E9600C">
        <w:rPr>
          <w:i/>
          <w:iCs/>
          <w:lang w:val="en-GB"/>
        </w:rPr>
        <w:t>Keys to Play: Music as a Ludic Medium from Apollo to Nintendo</w:t>
      </w:r>
      <w:r w:rsidRPr="00E9600C">
        <w:rPr>
          <w:lang w:val="en-GB"/>
        </w:rPr>
        <w:t>. Berkeley: University of California Press.</w:t>
      </w:r>
    </w:p>
    <w:p w14:paraId="2EF2846B" w14:textId="77777777" w:rsidR="00E9600C" w:rsidRPr="00E9600C" w:rsidRDefault="00E9600C" w:rsidP="00E9600C">
      <w:pPr>
        <w:pStyle w:val="Bibliografie"/>
        <w:rPr>
          <w:lang w:val="en-GB"/>
        </w:rPr>
      </w:pPr>
      <w:r w:rsidRPr="00E9600C">
        <w:rPr>
          <w:lang w:val="en-GB"/>
        </w:rPr>
        <w:t xml:space="preserve">Mostly Other People Do The Killing. 2014. </w:t>
      </w:r>
      <w:r w:rsidRPr="00E9600C">
        <w:rPr>
          <w:i/>
          <w:iCs/>
          <w:lang w:val="en-GB"/>
        </w:rPr>
        <w:t>Blue</w:t>
      </w:r>
      <w:r w:rsidRPr="00E9600C">
        <w:rPr>
          <w:lang w:val="en-GB"/>
        </w:rPr>
        <w:t>. Hot Cup Records.</w:t>
      </w:r>
    </w:p>
    <w:p w14:paraId="28CECEC5" w14:textId="77777777" w:rsidR="00E9600C" w:rsidRPr="00E9600C" w:rsidRDefault="00E9600C" w:rsidP="00E9600C">
      <w:pPr>
        <w:pStyle w:val="Bibliografie"/>
        <w:rPr>
          <w:lang w:val="en-GB"/>
        </w:rPr>
      </w:pPr>
      <w:r w:rsidRPr="00E9600C">
        <w:rPr>
          <w:lang w:val="en-GB"/>
        </w:rPr>
        <w:t xml:space="preserve">Moten, Fred. 2003. </w:t>
      </w:r>
      <w:r w:rsidRPr="00E9600C">
        <w:rPr>
          <w:i/>
          <w:iCs/>
          <w:lang w:val="en-GB"/>
        </w:rPr>
        <w:t>In the Break: The Aesthetics of the Black Radical Tradition</w:t>
      </w:r>
      <w:r w:rsidRPr="00E9600C">
        <w:rPr>
          <w:lang w:val="en-GB"/>
        </w:rPr>
        <w:t>. Minneapolis: U of Minnesota Press.</w:t>
      </w:r>
    </w:p>
    <w:p w14:paraId="20DF2380" w14:textId="77777777" w:rsidR="00E9600C" w:rsidRPr="00E9600C" w:rsidRDefault="00E9600C" w:rsidP="00E9600C">
      <w:pPr>
        <w:pStyle w:val="Bibliografie"/>
        <w:rPr>
          <w:lang w:val="en-GB"/>
        </w:rPr>
      </w:pPr>
      <w:r w:rsidRPr="00E9600C">
        <w:rPr>
          <w:lang w:val="en-GB"/>
        </w:rPr>
        <w:t xml:space="preserve">Olsen, Bj?rnar. 2003. ‘Material Culture after Text: Re-Membering Things’. </w:t>
      </w:r>
      <w:r w:rsidRPr="00E9600C">
        <w:rPr>
          <w:i/>
          <w:iCs/>
          <w:lang w:val="en-GB"/>
        </w:rPr>
        <w:t>Norwegian Archaeological Review</w:t>
      </w:r>
      <w:r w:rsidRPr="00E9600C">
        <w:rPr>
          <w:lang w:val="en-GB"/>
        </w:rPr>
        <w:t xml:space="preserve"> 36 (2): 87–104.</w:t>
      </w:r>
    </w:p>
    <w:p w14:paraId="2B61A75D" w14:textId="77777777" w:rsidR="00E9600C" w:rsidRPr="00E9600C" w:rsidRDefault="00E9600C" w:rsidP="00E9600C">
      <w:pPr>
        <w:pStyle w:val="Bibliografie"/>
        <w:rPr>
          <w:lang w:val="en-GB"/>
        </w:rPr>
      </w:pPr>
      <w:r w:rsidRPr="00E9600C">
        <w:rPr>
          <w:lang w:val="en-GB"/>
        </w:rPr>
        <w:t xml:space="preserve">Orden, Kate van. 2015. </w:t>
      </w:r>
      <w:r w:rsidRPr="00E9600C">
        <w:rPr>
          <w:i/>
          <w:iCs/>
          <w:lang w:val="en-GB"/>
        </w:rPr>
        <w:t>Materialities: Books, Readers, and the Chanson in Sixteenth-Century Europe</w:t>
      </w:r>
      <w:r w:rsidRPr="00E9600C">
        <w:rPr>
          <w:lang w:val="en-GB"/>
        </w:rPr>
        <w:t>. Oxford University Press.</w:t>
      </w:r>
    </w:p>
    <w:p w14:paraId="5C5E67A9" w14:textId="77777777" w:rsidR="00E9600C" w:rsidRPr="00E9600C" w:rsidRDefault="00E9600C" w:rsidP="00E9600C">
      <w:pPr>
        <w:pStyle w:val="Bibliografie"/>
        <w:rPr>
          <w:lang w:val="en-GB"/>
        </w:rPr>
      </w:pPr>
      <w:r w:rsidRPr="00E9600C">
        <w:rPr>
          <w:lang w:val="en-GB"/>
        </w:rPr>
        <w:t xml:space="preserve">Parikka, Jussi. 2012. </w:t>
      </w:r>
      <w:r w:rsidRPr="00E9600C">
        <w:rPr>
          <w:i/>
          <w:iCs/>
          <w:lang w:val="en-GB"/>
        </w:rPr>
        <w:t>What Is Media Archaeology?</w:t>
      </w:r>
      <w:r w:rsidRPr="00E9600C">
        <w:rPr>
          <w:lang w:val="en-GB"/>
        </w:rPr>
        <w:t xml:space="preserve"> Cambridge: Polity Press.</w:t>
      </w:r>
    </w:p>
    <w:p w14:paraId="2CBBA62C" w14:textId="77777777" w:rsidR="00E9600C" w:rsidRPr="00E9600C" w:rsidRDefault="00E9600C" w:rsidP="00E9600C">
      <w:pPr>
        <w:pStyle w:val="Bibliografie"/>
        <w:rPr>
          <w:lang w:val="en-GB"/>
        </w:rPr>
      </w:pPr>
      <w:r w:rsidRPr="00E9600C">
        <w:rPr>
          <w:lang w:val="en-GB"/>
        </w:rPr>
        <w:t xml:space="preserve">Pearce, Susan. 2013. </w:t>
      </w:r>
      <w:r w:rsidRPr="00E9600C">
        <w:rPr>
          <w:i/>
          <w:iCs/>
          <w:lang w:val="en-GB"/>
        </w:rPr>
        <w:t>On Collecting: An Investigation Into Collecting in the European Tradition</w:t>
      </w:r>
      <w:r w:rsidRPr="00E9600C">
        <w:rPr>
          <w:lang w:val="en-GB"/>
        </w:rPr>
        <w:t>. London: Routledge.</w:t>
      </w:r>
    </w:p>
    <w:p w14:paraId="35E2AF6A" w14:textId="77777777" w:rsidR="00E9600C" w:rsidRPr="00E9600C" w:rsidRDefault="00E9600C" w:rsidP="00E9600C">
      <w:pPr>
        <w:pStyle w:val="Bibliografie"/>
        <w:rPr>
          <w:lang w:val="en-GB"/>
        </w:rPr>
      </w:pPr>
      <w:r w:rsidRPr="00E9600C">
        <w:rPr>
          <w:lang w:val="en-GB"/>
        </w:rPr>
        <w:lastRenderedPageBreak/>
        <w:t xml:space="preserve">Peirce, Charles Sanders. 1991. ‘On a New List of Categories’. In </w:t>
      </w:r>
      <w:r w:rsidRPr="00E9600C">
        <w:rPr>
          <w:i/>
          <w:iCs/>
          <w:lang w:val="en-GB"/>
        </w:rPr>
        <w:t>Peirce on Signs: Writings on Semiotic by Charles Sanders Peirce</w:t>
      </w:r>
      <w:r w:rsidRPr="00E9600C">
        <w:rPr>
          <w:lang w:val="en-GB"/>
        </w:rPr>
        <w:t>, edited by James Hoopes, 23–33. London: University of North Carolina Press.</w:t>
      </w:r>
    </w:p>
    <w:p w14:paraId="54704FA5" w14:textId="77777777" w:rsidR="00E9600C" w:rsidRPr="00E9600C" w:rsidRDefault="00E9600C" w:rsidP="00E9600C">
      <w:pPr>
        <w:pStyle w:val="Bibliografie"/>
        <w:rPr>
          <w:lang w:val="en-GB"/>
        </w:rPr>
      </w:pPr>
      <w:r w:rsidRPr="00E9600C">
        <w:rPr>
          <w:lang w:val="en-GB"/>
        </w:rPr>
        <w:t xml:space="preserve">Perchard, Tom. 2017. ‘Mid-Century Modern Jazz: Music and Design in the Postwar Home’. </w:t>
      </w:r>
      <w:r w:rsidRPr="00E9600C">
        <w:rPr>
          <w:i/>
          <w:iCs/>
          <w:lang w:val="en-GB"/>
        </w:rPr>
        <w:t>Popular Music</w:t>
      </w:r>
      <w:r w:rsidRPr="00E9600C">
        <w:rPr>
          <w:lang w:val="en-GB"/>
        </w:rPr>
        <w:t xml:space="preserve"> 36 (1): 55–74. https://doi.org/10.1017/S0261143016000672.</w:t>
      </w:r>
    </w:p>
    <w:p w14:paraId="73AC5A7C" w14:textId="77777777" w:rsidR="00E9600C" w:rsidRPr="00E9600C" w:rsidRDefault="00E9600C" w:rsidP="00E9600C">
      <w:pPr>
        <w:pStyle w:val="Bibliografie"/>
        <w:rPr>
          <w:lang w:val="en-GB"/>
        </w:rPr>
      </w:pPr>
      <w:r w:rsidRPr="00E9600C">
        <w:rPr>
          <w:lang w:val="en-GB"/>
        </w:rPr>
        <w:t xml:space="preserve">Piekut, Benjamin. 2011. </w:t>
      </w:r>
      <w:r w:rsidRPr="00E9600C">
        <w:rPr>
          <w:i/>
          <w:iCs/>
          <w:lang w:val="en-GB"/>
        </w:rPr>
        <w:t>Experimentalism Otherwise: The New York Avant-Garde and Its Limits</w:t>
      </w:r>
      <w:r w:rsidRPr="00E9600C">
        <w:rPr>
          <w:lang w:val="en-GB"/>
        </w:rPr>
        <w:t>. Berkeley: University of California Press.</w:t>
      </w:r>
    </w:p>
    <w:p w14:paraId="36183651" w14:textId="77777777" w:rsidR="00E9600C" w:rsidRPr="00E9600C" w:rsidRDefault="00E9600C" w:rsidP="00E9600C">
      <w:pPr>
        <w:pStyle w:val="Bibliografie"/>
        <w:rPr>
          <w:lang w:val="en-GB"/>
        </w:rPr>
      </w:pPr>
      <w:r w:rsidRPr="00E9600C">
        <w:rPr>
          <w:lang w:val="en-GB"/>
        </w:rPr>
        <w:t xml:space="preserve">Pinch, Trevor. 2010. ‘On Making Infrastructure Visible: Putting the Non-Humans to Rights’. </w:t>
      </w:r>
      <w:r w:rsidRPr="00E9600C">
        <w:rPr>
          <w:i/>
          <w:iCs/>
          <w:lang w:val="en-GB"/>
        </w:rPr>
        <w:t>Cambridge Journal of Economics</w:t>
      </w:r>
      <w:r w:rsidRPr="00E9600C">
        <w:rPr>
          <w:lang w:val="en-GB"/>
        </w:rPr>
        <w:t xml:space="preserve"> 34 (1): 77–89. https://doi.org/10.1093/cje/bep044.</w:t>
      </w:r>
    </w:p>
    <w:p w14:paraId="59E89139" w14:textId="77777777" w:rsidR="00E9600C" w:rsidRPr="00E9600C" w:rsidRDefault="00E9600C" w:rsidP="00E9600C">
      <w:pPr>
        <w:pStyle w:val="Bibliografie"/>
        <w:rPr>
          <w:lang w:val="en-GB"/>
        </w:rPr>
      </w:pPr>
      <w:r w:rsidRPr="00E9600C">
        <w:rPr>
          <w:lang w:val="en-GB"/>
        </w:rPr>
        <w:t xml:space="preserve">Pinch, Trevor, and Wiebe E. Bijker. 1984. ‘The Social Construction of Facts and Artefacts: Or How the Sociology of Science and the Sociology of Technology Might Benefit Each Other’. </w:t>
      </w:r>
      <w:r w:rsidRPr="00E9600C">
        <w:rPr>
          <w:i/>
          <w:iCs/>
          <w:lang w:val="en-GB"/>
        </w:rPr>
        <w:t>Social Studies of Science</w:t>
      </w:r>
      <w:r w:rsidRPr="00E9600C">
        <w:rPr>
          <w:lang w:val="en-GB"/>
        </w:rPr>
        <w:t xml:space="preserve"> 14 (3): 399–441.</w:t>
      </w:r>
    </w:p>
    <w:p w14:paraId="4A1822B4" w14:textId="77777777" w:rsidR="00E9600C" w:rsidRPr="00E9600C" w:rsidRDefault="00E9600C" w:rsidP="00E9600C">
      <w:pPr>
        <w:pStyle w:val="Bibliografie"/>
        <w:rPr>
          <w:lang w:val="en-GB"/>
        </w:rPr>
      </w:pPr>
      <w:r w:rsidRPr="00E9600C">
        <w:rPr>
          <w:lang w:val="en-GB"/>
        </w:rPr>
        <w:t xml:space="preserve">Pinch, Trevor, and Frank Trocco. 2002. </w:t>
      </w:r>
      <w:r w:rsidRPr="00E9600C">
        <w:rPr>
          <w:i/>
          <w:iCs/>
          <w:lang w:val="en-GB"/>
        </w:rPr>
        <w:t>Analog Days: The Invention and Impact of the Moog Synthesizer</w:t>
      </w:r>
      <w:r w:rsidRPr="00E9600C">
        <w:rPr>
          <w:lang w:val="en-GB"/>
        </w:rPr>
        <w:t>. Cambridge, MA: Harvard University Press.</w:t>
      </w:r>
    </w:p>
    <w:p w14:paraId="1AF83BEB" w14:textId="77777777" w:rsidR="00E9600C" w:rsidRPr="00E9600C" w:rsidRDefault="00E9600C" w:rsidP="00E9600C">
      <w:pPr>
        <w:pStyle w:val="Bibliografie"/>
        <w:rPr>
          <w:lang w:val="en-GB"/>
        </w:rPr>
      </w:pPr>
      <w:r w:rsidRPr="00E9600C">
        <w:rPr>
          <w:lang w:val="en-GB"/>
        </w:rPr>
        <w:t xml:space="preserve">Prouty, Ken. 2006. ‘Orality, Literacy, and Mediating Musical Experience: Rethinking Oral Tradition in the Learning of Jazz Improvisation’. </w:t>
      </w:r>
      <w:r w:rsidRPr="00E9600C">
        <w:rPr>
          <w:i/>
          <w:iCs/>
          <w:lang w:val="en-GB"/>
        </w:rPr>
        <w:t>Popular Music and Society</w:t>
      </w:r>
      <w:r w:rsidRPr="00E9600C">
        <w:rPr>
          <w:lang w:val="en-GB"/>
        </w:rPr>
        <w:t xml:space="preserve"> 29 (3): 317–34. https://doi.org/10.1080/03007760600670372.</w:t>
      </w:r>
    </w:p>
    <w:p w14:paraId="401F68C2" w14:textId="77777777" w:rsidR="00E9600C" w:rsidRPr="00E9600C" w:rsidRDefault="00E9600C" w:rsidP="00E9600C">
      <w:pPr>
        <w:pStyle w:val="Bibliografie"/>
        <w:rPr>
          <w:lang w:val="en-GB"/>
        </w:rPr>
      </w:pPr>
      <w:r w:rsidRPr="00E9600C">
        <w:rPr>
          <w:lang w:val="en-GB"/>
        </w:rPr>
        <w:t xml:space="preserve">———. 2012. </w:t>
      </w:r>
      <w:r w:rsidRPr="00E9600C">
        <w:rPr>
          <w:i/>
          <w:iCs/>
          <w:lang w:val="en-GB"/>
        </w:rPr>
        <w:t>Knowing Jazz: Community, Pedagogy, and Canon in the Information Age</w:t>
      </w:r>
      <w:r w:rsidRPr="00E9600C">
        <w:rPr>
          <w:lang w:val="en-GB"/>
        </w:rPr>
        <w:t>. American Made Music Series. Jackson: University Press of Mississippi.</w:t>
      </w:r>
    </w:p>
    <w:p w14:paraId="1002B1C5" w14:textId="77777777" w:rsidR="00E9600C" w:rsidRPr="00E9600C" w:rsidRDefault="00E9600C" w:rsidP="00E9600C">
      <w:pPr>
        <w:pStyle w:val="Bibliografie"/>
        <w:rPr>
          <w:lang w:val="en-GB"/>
        </w:rPr>
      </w:pPr>
      <w:r w:rsidRPr="00E9600C">
        <w:rPr>
          <w:lang w:val="en-GB"/>
        </w:rPr>
        <w:t xml:space="preserve">Qureshi, Regula. 2000. ‘How Does Music Mean? Embodied Memories and the Politics of Affect in the Indian “Sarangi”’. </w:t>
      </w:r>
      <w:r w:rsidRPr="00E9600C">
        <w:rPr>
          <w:i/>
          <w:iCs/>
          <w:lang w:val="en-GB"/>
        </w:rPr>
        <w:t>American Ethnologist</w:t>
      </w:r>
      <w:r w:rsidRPr="00E9600C">
        <w:rPr>
          <w:lang w:val="en-GB"/>
        </w:rPr>
        <w:t xml:space="preserve"> 27 (4): 805–38.</w:t>
      </w:r>
    </w:p>
    <w:p w14:paraId="526A9D7E" w14:textId="77777777" w:rsidR="00E9600C" w:rsidRPr="00E9600C" w:rsidRDefault="00E9600C" w:rsidP="00E9600C">
      <w:pPr>
        <w:pStyle w:val="Bibliografie"/>
        <w:rPr>
          <w:lang w:val="en-GB"/>
        </w:rPr>
      </w:pPr>
      <w:r w:rsidRPr="00E9600C">
        <w:rPr>
          <w:lang w:val="en-GB"/>
        </w:rPr>
        <w:t xml:space="preserve">Rasula, Jed. 1995. ‘The Media of Memory: The Seductive Menace of Records in Jazz History’. In </w:t>
      </w:r>
      <w:r w:rsidRPr="00E9600C">
        <w:rPr>
          <w:i/>
          <w:iCs/>
          <w:lang w:val="en-GB"/>
        </w:rPr>
        <w:t>Jazz Among the Discourses</w:t>
      </w:r>
      <w:r w:rsidRPr="00E9600C">
        <w:rPr>
          <w:lang w:val="en-GB"/>
        </w:rPr>
        <w:t>, edited by Krin Gabbard, 134–62. Durham: Duke University Press.</w:t>
      </w:r>
    </w:p>
    <w:p w14:paraId="5F28DD30" w14:textId="77777777" w:rsidR="00E9600C" w:rsidRPr="00E9600C" w:rsidRDefault="00E9600C" w:rsidP="00E9600C">
      <w:pPr>
        <w:pStyle w:val="Bibliografie"/>
        <w:rPr>
          <w:lang w:val="en-GB"/>
        </w:rPr>
      </w:pPr>
      <w:r w:rsidRPr="00E9600C">
        <w:rPr>
          <w:lang w:val="en-GB"/>
        </w:rPr>
        <w:t xml:space="preserve">Rehding, Alexander. 2016. ‘Instruments of Music Theory’. </w:t>
      </w:r>
      <w:r w:rsidRPr="00E9600C">
        <w:rPr>
          <w:i/>
          <w:iCs/>
          <w:lang w:val="en-GB"/>
        </w:rPr>
        <w:t>Music Theory Online</w:t>
      </w:r>
      <w:r w:rsidRPr="00E9600C">
        <w:rPr>
          <w:lang w:val="en-GB"/>
        </w:rPr>
        <w:t xml:space="preserve"> 22 (4). http://mtosmt.org/issues/mto.16.22.4/mto.16.22.4.rehding.html.</w:t>
      </w:r>
    </w:p>
    <w:p w14:paraId="3DBA624A" w14:textId="77777777" w:rsidR="00E9600C" w:rsidRPr="00E9600C" w:rsidRDefault="00E9600C" w:rsidP="00E9600C">
      <w:pPr>
        <w:pStyle w:val="Bibliografie"/>
        <w:rPr>
          <w:lang w:val="en-GB"/>
        </w:rPr>
      </w:pPr>
      <w:r w:rsidRPr="00E9600C">
        <w:rPr>
          <w:lang w:val="en-GB"/>
        </w:rPr>
        <w:t xml:space="preserve">Roda, P. Allen. 2014. ‘Tabla Tuning on the Workshop Stage: Toward a Materialist Musical Ethnography’. </w:t>
      </w:r>
      <w:r w:rsidRPr="00E9600C">
        <w:rPr>
          <w:i/>
          <w:iCs/>
          <w:lang w:val="en-GB"/>
        </w:rPr>
        <w:t>Ethnomusicology Forum</w:t>
      </w:r>
      <w:r w:rsidRPr="00E9600C">
        <w:rPr>
          <w:lang w:val="en-GB"/>
        </w:rPr>
        <w:t xml:space="preserve"> 23 (3): 360–82. https://doi.org/10.1080/17411912.2014.919871.</w:t>
      </w:r>
    </w:p>
    <w:p w14:paraId="32598148" w14:textId="77777777" w:rsidR="00E9600C" w:rsidRPr="00E9600C" w:rsidRDefault="00E9600C" w:rsidP="00E9600C">
      <w:pPr>
        <w:pStyle w:val="Bibliografie"/>
        <w:rPr>
          <w:lang w:val="en-GB"/>
        </w:rPr>
      </w:pPr>
      <w:r w:rsidRPr="00E9600C">
        <w:rPr>
          <w:lang w:val="en-GB"/>
        </w:rPr>
        <w:t xml:space="preserve">Roy, Elodie A. 2016. </w:t>
      </w:r>
      <w:r w:rsidRPr="00E9600C">
        <w:rPr>
          <w:i/>
          <w:iCs/>
          <w:lang w:val="en-GB"/>
        </w:rPr>
        <w:t>Media, Materiality and Memory: Grounding the Groove</w:t>
      </w:r>
      <w:r w:rsidRPr="00E9600C">
        <w:rPr>
          <w:lang w:val="en-GB"/>
        </w:rPr>
        <w:t>. London: Routledge.</w:t>
      </w:r>
    </w:p>
    <w:p w14:paraId="2EC17D2D" w14:textId="77777777" w:rsidR="00E9600C" w:rsidRPr="00E9600C" w:rsidRDefault="00E9600C" w:rsidP="00E9600C">
      <w:pPr>
        <w:pStyle w:val="Bibliografie"/>
        <w:rPr>
          <w:lang w:val="en-GB"/>
        </w:rPr>
      </w:pPr>
      <w:r w:rsidRPr="00E9600C">
        <w:rPr>
          <w:lang w:val="en-GB"/>
        </w:rPr>
        <w:t xml:space="preserve">Schuiling, Floris. forthcoming. ‘The Ontology of Instant Composition: The ICP Orchestra and the Relationality of Improvisation’. In </w:t>
      </w:r>
      <w:r w:rsidRPr="00E9600C">
        <w:rPr>
          <w:i/>
          <w:iCs/>
          <w:lang w:val="en-GB"/>
        </w:rPr>
        <w:t>Sound Changes: Improvisation, Social Practice, and Cultural Difference</w:t>
      </w:r>
      <w:r w:rsidRPr="00E9600C">
        <w:rPr>
          <w:lang w:val="en-GB"/>
        </w:rPr>
        <w:t>, edited by Daniel Fischlin and Eric Porter. Durham: Duke University Press.</w:t>
      </w:r>
    </w:p>
    <w:p w14:paraId="4FEBEEE7" w14:textId="77777777" w:rsidR="00E9600C" w:rsidRPr="00E9600C" w:rsidRDefault="00E9600C" w:rsidP="00E9600C">
      <w:pPr>
        <w:pStyle w:val="Bibliografie"/>
        <w:rPr>
          <w:lang w:val="en-GB"/>
        </w:rPr>
      </w:pPr>
      <w:r w:rsidRPr="00E9600C">
        <w:rPr>
          <w:lang w:val="en-GB"/>
        </w:rPr>
        <w:t xml:space="preserve">———. 2016. ‘The Instant Composers Pool: Music Notation and the Mediation of Improvising Agency’. </w:t>
      </w:r>
      <w:r w:rsidRPr="00E9600C">
        <w:rPr>
          <w:i/>
          <w:iCs/>
          <w:lang w:val="en-GB"/>
        </w:rPr>
        <w:t>Cadernos de Arte e Antropologia</w:t>
      </w:r>
      <w:r w:rsidRPr="00E9600C">
        <w:rPr>
          <w:lang w:val="en-GB"/>
        </w:rPr>
        <w:t>, no. Vol. 5, No 1 (April): 39–58. https://doi.org/10.4000/cadernosaa.1028.</w:t>
      </w:r>
    </w:p>
    <w:p w14:paraId="2938FFAB" w14:textId="77777777" w:rsidR="00E9600C" w:rsidRPr="00E9600C" w:rsidRDefault="00E9600C" w:rsidP="00E9600C">
      <w:pPr>
        <w:pStyle w:val="Bibliografie"/>
        <w:rPr>
          <w:lang w:val="en-GB"/>
        </w:rPr>
      </w:pPr>
      <w:r w:rsidRPr="00E9600C">
        <w:rPr>
          <w:lang w:val="en-GB"/>
        </w:rPr>
        <w:t xml:space="preserve">Silverstone, Roger, and Eric Hirsch, eds. 1992. </w:t>
      </w:r>
      <w:r w:rsidRPr="00E9600C">
        <w:rPr>
          <w:i/>
          <w:iCs/>
          <w:lang w:val="en-GB"/>
        </w:rPr>
        <w:t>Consuming Technologies: Media and Information in Domestic Spaces</w:t>
      </w:r>
      <w:r w:rsidRPr="00E9600C">
        <w:rPr>
          <w:lang w:val="en-GB"/>
        </w:rPr>
        <w:t>. London: Routledge.</w:t>
      </w:r>
    </w:p>
    <w:p w14:paraId="0AB4FE3E" w14:textId="77777777" w:rsidR="00E9600C" w:rsidRPr="00E9600C" w:rsidRDefault="00E9600C" w:rsidP="00E9600C">
      <w:pPr>
        <w:pStyle w:val="Bibliografie"/>
        <w:rPr>
          <w:lang w:val="en-GB"/>
        </w:rPr>
      </w:pPr>
      <w:r w:rsidRPr="00E9600C">
        <w:rPr>
          <w:lang w:val="en-GB"/>
        </w:rPr>
        <w:t xml:space="preserve">Skea, Dan. 2001. ‘Rudy van Gelder in Hackensack: Defining the Jazz Sound in the 1950s’. </w:t>
      </w:r>
      <w:r w:rsidRPr="00E9600C">
        <w:rPr>
          <w:i/>
          <w:iCs/>
          <w:lang w:val="en-GB"/>
        </w:rPr>
        <w:t>Current Musicology</w:t>
      </w:r>
      <w:r w:rsidRPr="00E9600C">
        <w:rPr>
          <w:lang w:val="en-GB"/>
        </w:rPr>
        <w:t xml:space="preserve"> 71–73: 54–76.</w:t>
      </w:r>
    </w:p>
    <w:p w14:paraId="5C8A5010" w14:textId="77777777" w:rsidR="00E9600C" w:rsidRPr="00E9600C" w:rsidRDefault="00E9600C" w:rsidP="00E9600C">
      <w:pPr>
        <w:pStyle w:val="Bibliografie"/>
        <w:rPr>
          <w:lang w:val="en-GB"/>
        </w:rPr>
      </w:pPr>
      <w:r w:rsidRPr="00E9600C">
        <w:rPr>
          <w:lang w:val="en-GB"/>
        </w:rPr>
        <w:t xml:space="preserve">Smith, Merritt Roe, and Leo Marx, eds. 1994. </w:t>
      </w:r>
      <w:r w:rsidRPr="00E9600C">
        <w:rPr>
          <w:i/>
          <w:iCs/>
          <w:lang w:val="en-GB"/>
        </w:rPr>
        <w:t>Does Technology Drive History?: The Dilemma of Technological Determinism</w:t>
      </w:r>
      <w:r w:rsidRPr="00E9600C">
        <w:rPr>
          <w:lang w:val="en-GB"/>
        </w:rPr>
        <w:t>. MIT Press.</w:t>
      </w:r>
    </w:p>
    <w:p w14:paraId="412E50DA" w14:textId="77777777" w:rsidR="00E9600C" w:rsidRPr="00E9600C" w:rsidRDefault="00E9600C" w:rsidP="00E9600C">
      <w:pPr>
        <w:pStyle w:val="Bibliografie"/>
        <w:rPr>
          <w:lang w:val="en-GB"/>
        </w:rPr>
      </w:pPr>
      <w:r w:rsidRPr="00E9600C">
        <w:rPr>
          <w:lang w:val="en-GB"/>
        </w:rPr>
        <w:t xml:space="preserve">Solis, Gabriel. 2004. ‘“A Unique Chunk of Jazz Reality”: Authorship, Musical Work Concepts, and Thelonious Monk’s Live Recordings from the Five Spot, 1958’. </w:t>
      </w:r>
      <w:r w:rsidRPr="00E9600C">
        <w:rPr>
          <w:i/>
          <w:iCs/>
          <w:lang w:val="en-GB"/>
        </w:rPr>
        <w:t>Ethnomusicology</w:t>
      </w:r>
      <w:r w:rsidRPr="00E9600C">
        <w:rPr>
          <w:lang w:val="en-GB"/>
        </w:rPr>
        <w:t xml:space="preserve"> 48 (3): 315–47.</w:t>
      </w:r>
    </w:p>
    <w:p w14:paraId="28E08946" w14:textId="77777777" w:rsidR="00E9600C" w:rsidRPr="00E9600C" w:rsidRDefault="00E9600C" w:rsidP="00E9600C">
      <w:pPr>
        <w:pStyle w:val="Bibliografie"/>
        <w:rPr>
          <w:lang w:val="en-GB"/>
        </w:rPr>
      </w:pPr>
      <w:r w:rsidRPr="00E9600C">
        <w:rPr>
          <w:lang w:val="en-GB"/>
        </w:rPr>
        <w:t xml:space="preserve">Souza, Jonathan De. 2017. </w:t>
      </w:r>
      <w:r w:rsidRPr="00E9600C">
        <w:rPr>
          <w:i/>
          <w:iCs/>
          <w:lang w:val="en-GB"/>
        </w:rPr>
        <w:t>Music at Hand: Instruments, Bodies, and Cognition</w:t>
      </w:r>
      <w:r w:rsidRPr="00E9600C">
        <w:rPr>
          <w:lang w:val="en-GB"/>
        </w:rPr>
        <w:t>. Oxford: Oxford University Press.</w:t>
      </w:r>
    </w:p>
    <w:p w14:paraId="48FF003F" w14:textId="77777777" w:rsidR="00E9600C" w:rsidRPr="00E9600C" w:rsidRDefault="00E9600C" w:rsidP="00E9600C">
      <w:pPr>
        <w:pStyle w:val="Bibliografie"/>
        <w:rPr>
          <w:lang w:val="en-GB"/>
        </w:rPr>
      </w:pPr>
      <w:r w:rsidRPr="00E9600C">
        <w:rPr>
          <w:lang w:val="en-GB"/>
        </w:rPr>
        <w:t xml:space="preserve">Stanyek, Jason, and Benjamin Piekut. 2010. ‘Deadness: Technologies of the Intermundane’. </w:t>
      </w:r>
      <w:r w:rsidRPr="00E9600C">
        <w:rPr>
          <w:i/>
          <w:iCs/>
          <w:lang w:val="en-GB"/>
        </w:rPr>
        <w:t>TDR: The Drama Review</w:t>
      </w:r>
      <w:r w:rsidRPr="00E9600C">
        <w:rPr>
          <w:lang w:val="en-GB"/>
        </w:rPr>
        <w:t xml:space="preserve"> 54 (1): 14–38.</w:t>
      </w:r>
    </w:p>
    <w:p w14:paraId="79B9451A" w14:textId="77777777" w:rsidR="00E9600C" w:rsidRPr="00E9600C" w:rsidRDefault="00E9600C" w:rsidP="00E9600C">
      <w:pPr>
        <w:pStyle w:val="Bibliografie"/>
        <w:rPr>
          <w:lang w:val="en-GB"/>
        </w:rPr>
      </w:pPr>
      <w:r w:rsidRPr="00E9600C">
        <w:rPr>
          <w:lang w:val="en-GB"/>
        </w:rPr>
        <w:t xml:space="preserve">Sterne, Jonathan. 2003. </w:t>
      </w:r>
      <w:r w:rsidRPr="00E9600C">
        <w:rPr>
          <w:i/>
          <w:iCs/>
          <w:lang w:val="en-GB"/>
        </w:rPr>
        <w:t>The Audible Past: Cultural Origins of Sound Reproduction</w:t>
      </w:r>
      <w:r w:rsidRPr="00E9600C">
        <w:rPr>
          <w:lang w:val="en-GB"/>
        </w:rPr>
        <w:t>. Durham: Duke University Press.</w:t>
      </w:r>
    </w:p>
    <w:p w14:paraId="539CFCF1" w14:textId="77777777" w:rsidR="00E9600C" w:rsidRPr="00E9600C" w:rsidRDefault="00E9600C" w:rsidP="00E9600C">
      <w:pPr>
        <w:pStyle w:val="Bibliografie"/>
        <w:rPr>
          <w:lang w:val="en-GB"/>
        </w:rPr>
      </w:pPr>
      <w:r w:rsidRPr="00E9600C">
        <w:rPr>
          <w:lang w:val="en-GB"/>
        </w:rPr>
        <w:t xml:space="preserve">Stewart, Susan. 1984. </w:t>
      </w:r>
      <w:r w:rsidRPr="00E9600C">
        <w:rPr>
          <w:i/>
          <w:iCs/>
          <w:lang w:val="en-GB"/>
        </w:rPr>
        <w:t>On Longing: Narratives of the Miniature, the Gigantic, the Souvenir, the Collection</w:t>
      </w:r>
      <w:r w:rsidRPr="00E9600C">
        <w:rPr>
          <w:lang w:val="en-GB"/>
        </w:rPr>
        <w:t>. Durham: Duke University Press.</w:t>
      </w:r>
    </w:p>
    <w:p w14:paraId="48A08530" w14:textId="77777777" w:rsidR="00E9600C" w:rsidRPr="00E9600C" w:rsidRDefault="00E9600C" w:rsidP="00E9600C">
      <w:pPr>
        <w:pStyle w:val="Bibliografie"/>
        <w:rPr>
          <w:lang w:val="en-GB"/>
        </w:rPr>
      </w:pPr>
      <w:r w:rsidRPr="00E9600C">
        <w:rPr>
          <w:lang w:val="en-GB"/>
        </w:rPr>
        <w:lastRenderedPageBreak/>
        <w:t xml:space="preserve">Stowe, David W. 1996. </w:t>
      </w:r>
      <w:r w:rsidRPr="00E9600C">
        <w:rPr>
          <w:i/>
          <w:iCs/>
          <w:lang w:val="en-GB"/>
        </w:rPr>
        <w:t>Swing Changes: Big-Band Jazz in New Deal America</w:t>
      </w:r>
      <w:r w:rsidRPr="00E9600C">
        <w:rPr>
          <w:lang w:val="en-GB"/>
        </w:rPr>
        <w:t>. Cambridge, MA: Harvard University Press.</w:t>
      </w:r>
    </w:p>
    <w:p w14:paraId="512261E5" w14:textId="77777777" w:rsidR="00E9600C" w:rsidRPr="00E9600C" w:rsidRDefault="00E9600C" w:rsidP="00E9600C">
      <w:pPr>
        <w:pStyle w:val="Bibliografie"/>
        <w:rPr>
          <w:lang w:val="en-GB"/>
        </w:rPr>
      </w:pPr>
      <w:r w:rsidRPr="00E9600C">
        <w:rPr>
          <w:lang w:val="en-GB"/>
        </w:rPr>
        <w:t xml:space="preserve">Straw, Will. 2000. ‘Exhausted Commodities: The Material Culture of Music’. </w:t>
      </w:r>
      <w:r w:rsidRPr="00E9600C">
        <w:rPr>
          <w:i/>
          <w:iCs/>
          <w:lang w:val="en-GB"/>
        </w:rPr>
        <w:t>Canadian Journal of Communication</w:t>
      </w:r>
      <w:r w:rsidRPr="00E9600C">
        <w:rPr>
          <w:lang w:val="en-GB"/>
        </w:rPr>
        <w:t xml:space="preserve"> 25 (1): 175–85.</w:t>
      </w:r>
    </w:p>
    <w:p w14:paraId="2F1277C4" w14:textId="77777777" w:rsidR="00E9600C" w:rsidRPr="00E9600C" w:rsidRDefault="00E9600C" w:rsidP="00E9600C">
      <w:pPr>
        <w:pStyle w:val="Bibliografie"/>
        <w:rPr>
          <w:lang w:val="en-GB"/>
        </w:rPr>
      </w:pPr>
      <w:r w:rsidRPr="00E9600C">
        <w:rPr>
          <w:lang w:val="en-GB"/>
        </w:rPr>
        <w:t xml:space="preserve">———. 2002. ‘Music as Commodity and Material Culture’. </w:t>
      </w:r>
      <w:r w:rsidRPr="00E9600C">
        <w:rPr>
          <w:i/>
          <w:iCs/>
          <w:lang w:val="en-GB"/>
        </w:rPr>
        <w:t>Repercussions</w:t>
      </w:r>
      <w:r w:rsidRPr="00E9600C">
        <w:rPr>
          <w:lang w:val="en-GB"/>
        </w:rPr>
        <w:t xml:space="preserve"> 7–8: 147–72.</w:t>
      </w:r>
    </w:p>
    <w:p w14:paraId="7289716B" w14:textId="77777777" w:rsidR="00E9600C" w:rsidRPr="00E9600C" w:rsidRDefault="00E9600C" w:rsidP="00E9600C">
      <w:pPr>
        <w:pStyle w:val="Bibliografie"/>
        <w:rPr>
          <w:lang w:val="en-GB"/>
        </w:rPr>
      </w:pPr>
      <w:r w:rsidRPr="00E9600C">
        <w:rPr>
          <w:lang w:val="en-GB"/>
        </w:rPr>
        <w:t xml:space="preserve">———. 2012. ‘Music and Material Culture’. In </w:t>
      </w:r>
      <w:r w:rsidRPr="00E9600C">
        <w:rPr>
          <w:i/>
          <w:iCs/>
          <w:lang w:val="en-GB"/>
        </w:rPr>
        <w:t>The Cultural Study of Music: A Critical Introduction</w:t>
      </w:r>
      <w:r w:rsidRPr="00E9600C">
        <w:rPr>
          <w:lang w:val="en-GB"/>
        </w:rPr>
        <w:t>, edited by Martin Clayton, Trevor Herbert, and Richard Middleton, 2nd Edition, 227–36. New York: Routledge.</w:t>
      </w:r>
    </w:p>
    <w:p w14:paraId="1DD10032" w14:textId="77777777" w:rsidR="00E9600C" w:rsidRPr="00E9600C" w:rsidRDefault="00E9600C" w:rsidP="00E9600C">
      <w:pPr>
        <w:pStyle w:val="Bibliografie"/>
        <w:rPr>
          <w:lang w:val="en-GB"/>
        </w:rPr>
      </w:pPr>
      <w:r w:rsidRPr="00E9600C">
        <w:rPr>
          <w:lang w:val="en-GB"/>
        </w:rPr>
        <w:t xml:space="preserve">Suchman, Lucy. 2007. </w:t>
      </w:r>
      <w:r w:rsidRPr="00E9600C">
        <w:rPr>
          <w:i/>
          <w:iCs/>
          <w:lang w:val="en-GB"/>
        </w:rPr>
        <w:t>Human-Machine Reconfigurations: Plans and Situated Actions</w:t>
      </w:r>
      <w:r w:rsidRPr="00E9600C">
        <w:rPr>
          <w:lang w:val="en-GB"/>
        </w:rPr>
        <w:t>. Vol. 2nd Edition. Cambridge: Cambridge University Press.</w:t>
      </w:r>
    </w:p>
    <w:p w14:paraId="76014E69" w14:textId="77777777" w:rsidR="00E9600C" w:rsidRPr="00E9600C" w:rsidRDefault="00E9600C" w:rsidP="00E9600C">
      <w:pPr>
        <w:pStyle w:val="Bibliografie"/>
        <w:rPr>
          <w:lang w:val="en-GB"/>
        </w:rPr>
      </w:pPr>
      <w:r w:rsidRPr="00E9600C">
        <w:rPr>
          <w:lang w:val="en-GB"/>
        </w:rPr>
        <w:t xml:space="preserve">Tackley, Catherine. 2010. ‘Jazz Recordings as Social Texts’. In </w:t>
      </w:r>
      <w:r w:rsidRPr="00E9600C">
        <w:rPr>
          <w:i/>
          <w:iCs/>
          <w:lang w:val="en-GB"/>
        </w:rPr>
        <w:t>Recorded Music: Performance, Culture and Technology</w:t>
      </w:r>
      <w:r w:rsidRPr="00E9600C">
        <w:rPr>
          <w:lang w:val="en-GB"/>
        </w:rPr>
        <w:t>, edited by Amanda Bayley, 167–86. Cambridge: Cambridge University Press.</w:t>
      </w:r>
    </w:p>
    <w:p w14:paraId="2B2A0097" w14:textId="77777777" w:rsidR="00E9600C" w:rsidRPr="00E9600C" w:rsidRDefault="00E9600C" w:rsidP="00E9600C">
      <w:pPr>
        <w:pStyle w:val="Bibliografie"/>
        <w:rPr>
          <w:lang w:val="en-GB"/>
        </w:rPr>
      </w:pPr>
      <w:r w:rsidRPr="00E9600C">
        <w:rPr>
          <w:lang w:val="en-GB"/>
        </w:rPr>
        <w:t xml:space="preserve">Taylor, Timothy D. 2001. </w:t>
      </w:r>
      <w:r w:rsidRPr="00E9600C">
        <w:rPr>
          <w:i/>
          <w:iCs/>
          <w:lang w:val="en-GB"/>
        </w:rPr>
        <w:t>Strange Sounds: Music, Technology and Culture</w:t>
      </w:r>
      <w:r w:rsidRPr="00E9600C">
        <w:rPr>
          <w:lang w:val="en-GB"/>
        </w:rPr>
        <w:t>. New York: Routledge.</w:t>
      </w:r>
    </w:p>
    <w:p w14:paraId="056570CF" w14:textId="77777777" w:rsidR="00E9600C" w:rsidRPr="00E9600C" w:rsidRDefault="00E9600C" w:rsidP="00E9600C">
      <w:pPr>
        <w:pStyle w:val="Bibliografie"/>
        <w:rPr>
          <w:lang w:val="en-GB"/>
        </w:rPr>
      </w:pPr>
      <w:r w:rsidRPr="00E9600C">
        <w:rPr>
          <w:lang w:val="en-GB"/>
        </w:rPr>
        <w:t xml:space="preserve">Théberge, Paul. 1997. </w:t>
      </w:r>
      <w:r w:rsidRPr="00E9600C">
        <w:rPr>
          <w:i/>
          <w:iCs/>
          <w:lang w:val="en-GB"/>
        </w:rPr>
        <w:t>Any Sound You Can Imagine: Making Music/Consuming Technology</w:t>
      </w:r>
      <w:r w:rsidRPr="00E9600C">
        <w:rPr>
          <w:lang w:val="en-GB"/>
        </w:rPr>
        <w:t>. Middletown: Wesleyan University Press.</w:t>
      </w:r>
    </w:p>
    <w:p w14:paraId="1FA56169" w14:textId="77777777" w:rsidR="00E9600C" w:rsidRPr="00E9600C" w:rsidRDefault="00E9600C" w:rsidP="00E9600C">
      <w:pPr>
        <w:pStyle w:val="Bibliografie"/>
        <w:rPr>
          <w:lang w:val="en-GB"/>
        </w:rPr>
      </w:pPr>
      <w:r w:rsidRPr="00E9600C">
        <w:rPr>
          <w:lang w:val="en-GB"/>
        </w:rPr>
        <w:t xml:space="preserve">Thompson, Emily. 1995. ‘Machines, Music, and the Quest for Fidelity: Marketing the Edison Phonograph in America, 1877-1925’. </w:t>
      </w:r>
      <w:r w:rsidRPr="00E9600C">
        <w:rPr>
          <w:i/>
          <w:iCs/>
          <w:lang w:val="en-GB"/>
        </w:rPr>
        <w:t>The Musical Quarterly</w:t>
      </w:r>
      <w:r w:rsidRPr="00E9600C">
        <w:rPr>
          <w:lang w:val="en-GB"/>
        </w:rPr>
        <w:t xml:space="preserve"> 79 (1): 131–71.</w:t>
      </w:r>
    </w:p>
    <w:p w14:paraId="2696B311" w14:textId="77777777" w:rsidR="00E9600C" w:rsidRPr="00E9600C" w:rsidRDefault="00E9600C" w:rsidP="00E9600C">
      <w:pPr>
        <w:pStyle w:val="Bibliografie"/>
        <w:rPr>
          <w:lang w:val="en-GB"/>
        </w:rPr>
      </w:pPr>
      <w:r w:rsidRPr="00E9600C">
        <w:rPr>
          <w:lang w:val="en-GB"/>
        </w:rPr>
        <w:t xml:space="preserve">Tilley, Christopher Y. 1991. </w:t>
      </w:r>
      <w:r w:rsidRPr="00E9600C">
        <w:rPr>
          <w:i/>
          <w:iCs/>
          <w:lang w:val="en-GB"/>
        </w:rPr>
        <w:t>Material Culture and Text: The Art of Ambiguity</w:t>
      </w:r>
      <w:r w:rsidRPr="00E9600C">
        <w:rPr>
          <w:lang w:val="en-GB"/>
        </w:rPr>
        <w:t>. London: Routledge.</w:t>
      </w:r>
    </w:p>
    <w:p w14:paraId="7E60564F" w14:textId="77777777" w:rsidR="00E9600C" w:rsidRPr="00E9600C" w:rsidRDefault="00E9600C" w:rsidP="00E9600C">
      <w:pPr>
        <w:pStyle w:val="Bibliografie"/>
        <w:rPr>
          <w:lang w:val="en-GB"/>
        </w:rPr>
      </w:pPr>
      <w:r w:rsidRPr="00E9600C">
        <w:rPr>
          <w:lang w:val="en-GB"/>
        </w:rPr>
        <w:t xml:space="preserve">Tomlinson, Gary. 1991. ‘Cultural Dialogics and Jazz: A White Historian Signifies’. </w:t>
      </w:r>
      <w:r w:rsidRPr="00E9600C">
        <w:rPr>
          <w:i/>
          <w:iCs/>
          <w:lang w:val="en-GB"/>
        </w:rPr>
        <w:t>Black Music Research Journal</w:t>
      </w:r>
      <w:r w:rsidRPr="00E9600C">
        <w:rPr>
          <w:lang w:val="en-GB"/>
        </w:rPr>
        <w:t xml:space="preserve"> 11 (2): 229–64. https://doi.org/10.2307/779268.</w:t>
      </w:r>
    </w:p>
    <w:p w14:paraId="50DC0B4F" w14:textId="77777777" w:rsidR="00E9600C" w:rsidRPr="00E9600C" w:rsidRDefault="00E9600C" w:rsidP="00E9600C">
      <w:pPr>
        <w:pStyle w:val="Bibliografie"/>
        <w:rPr>
          <w:lang w:val="en-GB"/>
        </w:rPr>
      </w:pPr>
      <w:r w:rsidRPr="00E9600C">
        <w:rPr>
          <w:lang w:val="en-GB"/>
        </w:rPr>
        <w:t xml:space="preserve">Tresch, John, and Emily Dolan. 2013. ‘Toward a New Organology: Instruments of Music and Science’. </w:t>
      </w:r>
      <w:r w:rsidRPr="00E9600C">
        <w:rPr>
          <w:i/>
          <w:iCs/>
          <w:lang w:val="en-GB"/>
        </w:rPr>
        <w:t>Osiris</w:t>
      </w:r>
      <w:r w:rsidRPr="00E9600C">
        <w:rPr>
          <w:lang w:val="en-GB"/>
        </w:rPr>
        <w:t xml:space="preserve"> 28 (1): 278–98. https://doi.org/10.1086/671381.</w:t>
      </w:r>
    </w:p>
    <w:p w14:paraId="24AAC438" w14:textId="77777777" w:rsidR="00E9600C" w:rsidRPr="00E9600C" w:rsidRDefault="00E9600C" w:rsidP="00E9600C">
      <w:pPr>
        <w:pStyle w:val="Bibliografie"/>
        <w:rPr>
          <w:lang w:val="en-GB"/>
        </w:rPr>
      </w:pPr>
      <w:r w:rsidRPr="00E9600C">
        <w:rPr>
          <w:lang w:val="en-GB"/>
        </w:rPr>
        <w:t xml:space="preserve">Tucker, Mark. 1985. ‘Count Basie and the Piano That Swings the Band’. </w:t>
      </w:r>
      <w:r w:rsidRPr="00E9600C">
        <w:rPr>
          <w:i/>
          <w:iCs/>
          <w:lang w:val="en-GB"/>
        </w:rPr>
        <w:t>Popular Music</w:t>
      </w:r>
      <w:r w:rsidRPr="00E9600C">
        <w:rPr>
          <w:lang w:val="en-GB"/>
        </w:rPr>
        <w:t xml:space="preserve"> 5 (January): 45–79. https://doi.org/10.1017/S0261143000001926.</w:t>
      </w:r>
    </w:p>
    <w:p w14:paraId="46366F1C" w14:textId="77777777" w:rsidR="00E9600C" w:rsidRPr="00E9600C" w:rsidRDefault="00E9600C" w:rsidP="00E9600C">
      <w:pPr>
        <w:pStyle w:val="Bibliografie"/>
        <w:rPr>
          <w:lang w:val="en-GB"/>
        </w:rPr>
      </w:pPr>
      <w:r w:rsidRPr="00E9600C">
        <w:rPr>
          <w:lang w:val="en-GB"/>
        </w:rPr>
        <w:t xml:space="preserve">Tucker, Sherrie. 2000. </w:t>
      </w:r>
      <w:r w:rsidRPr="00E9600C">
        <w:rPr>
          <w:i/>
          <w:iCs/>
          <w:lang w:val="en-GB"/>
        </w:rPr>
        <w:t>Swing Shift: “All-Girl” Bands of the 1940s</w:t>
      </w:r>
      <w:r w:rsidRPr="00E9600C">
        <w:rPr>
          <w:lang w:val="en-GB"/>
        </w:rPr>
        <w:t>. Durham: Duke University Press.</w:t>
      </w:r>
    </w:p>
    <w:p w14:paraId="31516C0D" w14:textId="77777777" w:rsidR="00E9600C" w:rsidRPr="00E9600C" w:rsidRDefault="00E9600C" w:rsidP="00E9600C">
      <w:pPr>
        <w:pStyle w:val="Bibliografie"/>
        <w:rPr>
          <w:lang w:val="en-GB"/>
        </w:rPr>
      </w:pPr>
      <w:r w:rsidRPr="00E9600C">
        <w:rPr>
          <w:lang w:val="en-GB"/>
        </w:rPr>
        <w:t xml:space="preserve">Vestberg, Nina Lager. 2008. ‘Archival Value’. </w:t>
      </w:r>
      <w:r w:rsidRPr="00E9600C">
        <w:rPr>
          <w:i/>
          <w:iCs/>
          <w:lang w:val="en-GB"/>
        </w:rPr>
        <w:t>Photographies</w:t>
      </w:r>
      <w:r w:rsidRPr="00E9600C">
        <w:rPr>
          <w:lang w:val="en-GB"/>
        </w:rPr>
        <w:t xml:space="preserve"> 1 (1): 49–65. https://doi.org/10.1080/17540760701786725.</w:t>
      </w:r>
    </w:p>
    <w:p w14:paraId="1BAAF143" w14:textId="77777777" w:rsidR="00E9600C" w:rsidRPr="00E9600C" w:rsidRDefault="00E9600C" w:rsidP="00E9600C">
      <w:pPr>
        <w:pStyle w:val="Bibliografie"/>
        <w:rPr>
          <w:lang w:val="en-GB"/>
        </w:rPr>
      </w:pPr>
      <w:r w:rsidRPr="00E9600C">
        <w:rPr>
          <w:lang w:val="en-GB"/>
        </w:rPr>
        <w:t xml:space="preserve">Waksman, Steve. 2001. </w:t>
      </w:r>
      <w:r w:rsidRPr="00E9600C">
        <w:rPr>
          <w:i/>
          <w:iCs/>
          <w:lang w:val="en-GB"/>
        </w:rPr>
        <w:t>Instruments of Desire: The Electric Guitar and the Shaping of Musical Experience</w:t>
      </w:r>
      <w:r w:rsidRPr="00E9600C">
        <w:rPr>
          <w:lang w:val="en-GB"/>
        </w:rPr>
        <w:t>. Harvard University Press.</w:t>
      </w:r>
    </w:p>
    <w:p w14:paraId="07F65635" w14:textId="77777777" w:rsidR="00E9600C" w:rsidRPr="00E9600C" w:rsidRDefault="00E9600C" w:rsidP="00E9600C">
      <w:pPr>
        <w:pStyle w:val="Bibliografie"/>
        <w:rPr>
          <w:lang w:val="en-GB"/>
        </w:rPr>
      </w:pPr>
      <w:r w:rsidRPr="00E9600C">
        <w:rPr>
          <w:lang w:val="en-GB"/>
        </w:rPr>
        <w:t xml:space="preserve">Walser, Robert. 1995. ‘Out of Notes: Signification, Interpretation, and the Problem of Miles Davis’. In </w:t>
      </w:r>
      <w:r w:rsidRPr="00E9600C">
        <w:rPr>
          <w:i/>
          <w:iCs/>
          <w:lang w:val="en-GB"/>
        </w:rPr>
        <w:t>Jazz Among the Discourses</w:t>
      </w:r>
      <w:r w:rsidRPr="00E9600C">
        <w:rPr>
          <w:lang w:val="en-GB"/>
        </w:rPr>
        <w:t>, edited by Krin Gabbard, 165–88. Durham: Duke University Press.</w:t>
      </w:r>
    </w:p>
    <w:p w14:paraId="1055F1F1" w14:textId="77777777" w:rsidR="00E9600C" w:rsidRPr="00E9600C" w:rsidRDefault="00E9600C" w:rsidP="00E9600C">
      <w:pPr>
        <w:pStyle w:val="Bibliografie"/>
        <w:rPr>
          <w:lang w:val="en-GB"/>
        </w:rPr>
      </w:pPr>
      <w:r w:rsidRPr="00E9600C">
        <w:rPr>
          <w:lang w:val="en-GB"/>
        </w:rPr>
        <w:t xml:space="preserve">Weheliye, Alexander G. 2005. </w:t>
      </w:r>
      <w:r w:rsidRPr="00E9600C">
        <w:rPr>
          <w:i/>
          <w:iCs/>
          <w:lang w:val="en-GB"/>
        </w:rPr>
        <w:t>Phonographies: Grooves in Sonic Afro-Modernity</w:t>
      </w:r>
      <w:r w:rsidRPr="00E9600C">
        <w:rPr>
          <w:lang w:val="en-GB"/>
        </w:rPr>
        <w:t>. Durham: Duke University Press.</w:t>
      </w:r>
    </w:p>
    <w:p w14:paraId="4C2F775A" w14:textId="77777777" w:rsidR="00E9600C" w:rsidRPr="00E9600C" w:rsidRDefault="00E9600C" w:rsidP="00E9600C">
      <w:pPr>
        <w:pStyle w:val="Bibliografie"/>
        <w:rPr>
          <w:lang w:val="en-GB"/>
        </w:rPr>
      </w:pPr>
      <w:r w:rsidRPr="00E9600C">
        <w:rPr>
          <w:lang w:val="en-GB"/>
        </w:rPr>
        <w:t xml:space="preserve">Whitehead, Alfred North. 1926. </w:t>
      </w:r>
      <w:r w:rsidRPr="00E9600C">
        <w:rPr>
          <w:i/>
          <w:iCs/>
          <w:lang w:val="en-GB"/>
        </w:rPr>
        <w:t>Science and the Modern World</w:t>
      </w:r>
      <w:r w:rsidRPr="00E9600C">
        <w:rPr>
          <w:lang w:val="en-GB"/>
        </w:rPr>
        <w:t>. Cambridge: Cambridge University Press.</w:t>
      </w:r>
    </w:p>
    <w:p w14:paraId="54029880" w14:textId="77777777" w:rsidR="00E9600C" w:rsidRPr="00E9600C" w:rsidRDefault="00E9600C" w:rsidP="00E9600C">
      <w:pPr>
        <w:pStyle w:val="Bibliografie"/>
        <w:rPr>
          <w:lang w:val="en-GB"/>
        </w:rPr>
      </w:pPr>
      <w:r w:rsidRPr="00E9600C">
        <w:rPr>
          <w:lang w:val="en-GB"/>
        </w:rPr>
        <w:t>Wilburn Jr., Vince. 2014. ‘Facebook Post’. https://www.facebook.com/permalink.php?story_fbid=818935024824160&amp;id=100001230099055.</w:t>
      </w:r>
    </w:p>
    <w:p w14:paraId="02A15A6B" w14:textId="77777777" w:rsidR="00E9600C" w:rsidRPr="00E9600C" w:rsidRDefault="00E9600C" w:rsidP="00E9600C">
      <w:pPr>
        <w:pStyle w:val="Bibliografie"/>
        <w:rPr>
          <w:lang w:val="en-GB"/>
        </w:rPr>
      </w:pPr>
      <w:r w:rsidRPr="00E9600C">
        <w:rPr>
          <w:lang w:val="en-GB"/>
        </w:rPr>
        <w:t xml:space="preserve">Wilf, Eitan. 2014. ‘Semiotic Dimensions of Creativity’. </w:t>
      </w:r>
      <w:r w:rsidRPr="00E9600C">
        <w:rPr>
          <w:i/>
          <w:iCs/>
          <w:lang w:val="en-GB"/>
        </w:rPr>
        <w:t>Annual Review of Anthropology</w:t>
      </w:r>
      <w:r w:rsidRPr="00E9600C">
        <w:rPr>
          <w:lang w:val="en-GB"/>
        </w:rPr>
        <w:t xml:space="preserve"> 43: 397–412.</w:t>
      </w:r>
    </w:p>
    <w:p w14:paraId="03166E47" w14:textId="77777777" w:rsidR="00E9600C" w:rsidRPr="00E9600C" w:rsidRDefault="00E9600C" w:rsidP="00E9600C">
      <w:pPr>
        <w:pStyle w:val="Bibliografie"/>
        <w:rPr>
          <w:lang w:val="en-GB"/>
        </w:rPr>
      </w:pPr>
      <w:r w:rsidRPr="00E9600C">
        <w:rPr>
          <w:lang w:val="en-GB"/>
        </w:rPr>
        <w:t xml:space="preserve">Wyatt, Sally. 2008. ‘Technological Determinism Is Dead; Long Live Technological Determinism’. In </w:t>
      </w:r>
      <w:r w:rsidRPr="00E9600C">
        <w:rPr>
          <w:i/>
          <w:iCs/>
          <w:lang w:val="en-GB"/>
        </w:rPr>
        <w:t>The Handbook of Science and Technology Studies</w:t>
      </w:r>
      <w:r w:rsidRPr="00E9600C">
        <w:rPr>
          <w:lang w:val="en-GB"/>
        </w:rPr>
        <w:t>, edited by Edward J. Hackett, Olga Amsterdamska, Michael Lynch, and Judy Wajcman, 3rd edition:165–80. Cambridge, MA: MIT Press.</w:t>
      </w:r>
    </w:p>
    <w:p w14:paraId="468505BC" w14:textId="29867B23" w:rsidR="00333635" w:rsidRDefault="00E9600C" w:rsidP="002C7484">
      <w:pPr>
        <w:pStyle w:val="Bibliografie"/>
        <w:rPr>
          <w:rFonts w:ascii="Times New Roman" w:hAnsi="Times New Roman" w:cs="Times New Roman"/>
          <w:b/>
          <w:sz w:val="24"/>
          <w:szCs w:val="24"/>
          <w:lang w:val="en-GB"/>
        </w:rPr>
      </w:pPr>
      <w:r w:rsidRPr="00E9600C">
        <w:rPr>
          <w:lang w:val="en-GB"/>
        </w:rPr>
        <w:t xml:space="preserve">Zielinski, Siegfried. 2008. </w:t>
      </w:r>
      <w:r w:rsidRPr="00E9600C">
        <w:rPr>
          <w:i/>
          <w:iCs/>
          <w:lang w:val="en-GB"/>
        </w:rPr>
        <w:t>Deep Time of the Media: Toward an Archaeology of Hearing and Seeing by Technical Means</w:t>
      </w:r>
      <w:r w:rsidRPr="00E9600C">
        <w:rPr>
          <w:lang w:val="en-GB"/>
        </w:rPr>
        <w:t xml:space="preserve">. </w:t>
      </w:r>
      <w:r>
        <w:t>Cambridge, MA: MIT Press.</w:t>
      </w:r>
      <w:r w:rsidR="00333635">
        <w:rPr>
          <w:rFonts w:ascii="Times New Roman" w:hAnsi="Times New Roman" w:cs="Times New Roman"/>
          <w:b/>
          <w:sz w:val="24"/>
          <w:szCs w:val="24"/>
          <w:lang w:val="en-GB"/>
        </w:rPr>
        <w:fldChar w:fldCharType="end"/>
      </w:r>
    </w:p>
    <w:p w14:paraId="272EB187" w14:textId="77777777" w:rsidR="002C7484" w:rsidRDefault="002C7484" w:rsidP="002C7484">
      <w:pPr>
        <w:rPr>
          <w:lang w:val="en-GB"/>
        </w:rPr>
      </w:pPr>
    </w:p>
    <w:p w14:paraId="455D4A48" w14:textId="77777777" w:rsidR="002C7484" w:rsidRPr="002C7484" w:rsidRDefault="002C7484" w:rsidP="002C7484">
      <w:pPr>
        <w:rPr>
          <w:lang w:val="en-GB"/>
        </w:rPr>
      </w:pPr>
    </w:p>
    <w:p w14:paraId="7EC1A0CC" w14:textId="77777777" w:rsidR="002C7484" w:rsidRDefault="002C7484" w:rsidP="00333635">
      <w:pPr>
        <w:spacing w:after="0" w:line="360" w:lineRule="auto"/>
        <w:rPr>
          <w:rFonts w:ascii="Times New Roman" w:hAnsi="Times New Roman" w:cs="Times New Roman"/>
          <w:b/>
          <w:sz w:val="24"/>
          <w:szCs w:val="24"/>
          <w:lang w:val="en-GB"/>
        </w:rPr>
      </w:pPr>
    </w:p>
    <w:p w14:paraId="6542BCA6" w14:textId="77777777" w:rsidR="002C7484" w:rsidRPr="00333635" w:rsidRDefault="002C7484" w:rsidP="00333635">
      <w:pPr>
        <w:spacing w:after="0" w:line="360" w:lineRule="auto"/>
        <w:rPr>
          <w:rFonts w:ascii="Times New Roman" w:hAnsi="Times New Roman" w:cs="Times New Roman"/>
          <w:b/>
          <w:sz w:val="24"/>
          <w:szCs w:val="24"/>
          <w:lang w:val="en-GB"/>
        </w:rPr>
      </w:pPr>
    </w:p>
    <w:p w14:paraId="6B79D04D" w14:textId="3B3915E8" w:rsidR="00333635" w:rsidRPr="00333635" w:rsidRDefault="00333635" w:rsidP="00333635">
      <w:pPr>
        <w:spacing w:after="0" w:line="360" w:lineRule="auto"/>
        <w:rPr>
          <w:rFonts w:ascii="Times New Roman" w:hAnsi="Times New Roman" w:cs="Times New Roman"/>
          <w:b/>
          <w:sz w:val="24"/>
          <w:szCs w:val="24"/>
          <w:lang w:val="en-GB"/>
        </w:rPr>
      </w:pPr>
      <w:r>
        <w:rPr>
          <w:rFonts w:ascii="Times New Roman" w:hAnsi="Times New Roman" w:cs="Times New Roman"/>
          <w:b/>
          <w:sz w:val="24"/>
          <w:szCs w:val="24"/>
          <w:lang w:val="en-GB"/>
        </w:rPr>
        <w:lastRenderedPageBreak/>
        <w:t>Notes</w:t>
      </w:r>
    </w:p>
    <w:sectPr w:rsidR="00333635" w:rsidRPr="00333635">
      <w:footerReference w:type="default" r:id="rId8"/>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D5FCD4" w14:textId="77777777" w:rsidR="00982393" w:rsidRDefault="00982393" w:rsidP="006F5D72">
      <w:pPr>
        <w:spacing w:after="0" w:line="240" w:lineRule="auto"/>
      </w:pPr>
      <w:r>
        <w:separator/>
      </w:r>
    </w:p>
  </w:endnote>
  <w:endnote w:type="continuationSeparator" w:id="0">
    <w:p w14:paraId="24C2B8BF" w14:textId="77777777" w:rsidR="00982393" w:rsidRDefault="00982393" w:rsidP="006F5D72">
      <w:pPr>
        <w:spacing w:after="0" w:line="240" w:lineRule="auto"/>
      </w:pPr>
      <w:r>
        <w:continuationSeparator/>
      </w:r>
    </w:p>
  </w:endnote>
  <w:endnote w:id="1">
    <w:p w14:paraId="232218F3" w14:textId="4680EBF0" w:rsidR="00996481" w:rsidRPr="00333635" w:rsidRDefault="00996481" w:rsidP="00333635">
      <w:pPr>
        <w:pStyle w:val="Eindnoottekst"/>
        <w:spacing w:line="360" w:lineRule="auto"/>
        <w:rPr>
          <w:rFonts w:ascii="Times New Roman" w:hAnsi="Times New Roman" w:cs="Times New Roman"/>
          <w:sz w:val="24"/>
          <w:szCs w:val="24"/>
          <w:lang w:val="en-GB"/>
        </w:rPr>
      </w:pPr>
      <w:r w:rsidRPr="00333635">
        <w:rPr>
          <w:rStyle w:val="Eindnootmarkering"/>
          <w:rFonts w:ascii="Times New Roman" w:hAnsi="Times New Roman" w:cs="Times New Roman"/>
          <w:sz w:val="24"/>
          <w:szCs w:val="24"/>
        </w:rPr>
        <w:endnoteRef/>
      </w:r>
      <w:r w:rsidRPr="00333635">
        <w:rPr>
          <w:rFonts w:ascii="Times New Roman" w:hAnsi="Times New Roman" w:cs="Times New Roman"/>
          <w:sz w:val="24"/>
          <w:szCs w:val="24"/>
          <w:lang w:val="en-GB"/>
        </w:rPr>
        <w:t xml:space="preserve"> </w:t>
      </w:r>
      <w:r w:rsidR="009B4924" w:rsidRPr="00333635">
        <w:rPr>
          <w:rFonts w:ascii="Times New Roman" w:hAnsi="Times New Roman" w:cs="Times New Roman"/>
          <w:sz w:val="24"/>
          <w:szCs w:val="24"/>
          <w:lang w:val="en-GB"/>
        </w:rPr>
        <w:t xml:space="preserve">For a detailed overview of the history of material culture in Archaeology and Anthropology, see </w:t>
      </w:r>
      <w:r w:rsidRPr="00333635">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{"citationID":"TRVW0wnl","properties":{"formattedCitation":"(Hicks 2010)","plainCitation":"(Hicks 2010)","dontUpdate":true,"noteIndex":1},"citationItems":[{"id":363,"uris":["http://zotero.org/users/4953069/items/D8DUTCKE"],"uri":["http://zotero.org/users/4953069/items/D8DUTCKE"],"itemData":{"id":363,"type":"chapter","title":"The Material‐Cultural Turn: Event and Effect","container-title":"The Oxford Handbook of Material Culture Studies","publisher":"Oxford University Press","publisher-place":"Oxford","page":"25-98","source":"libsta28.lib.cam.ac.uk:2461","event-place":"Oxford","abstract":"The terms ‘material culture’ and ‘material culture studies’ emerged, one after another, during the twentieth century in the disciplines of archaeology and socio-cultural anthropology, and especially in the place of intersection between the two: anthropological archaeology. The purpose of this article, however, is to excavate the idea of ‘material culture studies’, rather than to bury it. Excavation examines the remains of the past in the present and for the present. It proceeds down from the surface, but the archaeological convention is to reverse this sequence in writing: from the past to the present. In the discussion of the history of ideas and theories, a major risk of such a chronological framework is that new ideas are narrated progressively, as paradigm shifts. The main argument of the article relates to the distinctive form taken by the ‘cultural turn’ in British archaeology and anthropology during the 1980s and 1990s.","URL":"http://www.oxfordhandbooks.com/view/10.1093/oxfordhb/9780199218714.001.0001/oxfordhb-9780199218714-e-2","author":[{"family":"Hicks","given":"Dan"}],"editor":[{"family":"Hicks","given":"Dan"},{"family":"Beaudry","given":"Mary C."}],"issued":{"date-parts":[["2010"]]},"accessed":{"date-parts":[["2017",2,2]]}}}],"schema":"https://github.com/citation-style-language/schema/raw/master/csl-citation.json"} </w:instrText>
      </w:r>
      <w:r w:rsidRPr="00333635">
        <w:rPr>
          <w:rFonts w:ascii="Times New Roman" w:hAnsi="Times New Roman" w:cs="Times New Roman"/>
          <w:sz w:val="24"/>
          <w:szCs w:val="24"/>
          <w:lang w:val="en-GB"/>
        </w:rPr>
        <w:fldChar w:fldCharType="separate"/>
      </w:r>
      <w:r w:rsidRPr="00333635">
        <w:rPr>
          <w:rFonts w:ascii="Times New Roman" w:hAnsi="Times New Roman" w:cs="Times New Roman"/>
          <w:sz w:val="24"/>
          <w:szCs w:val="24"/>
          <w:lang w:val="en-GB"/>
        </w:rPr>
        <w:t>Hicks 2010</w:t>
      </w:r>
      <w:r w:rsidRPr="00333635">
        <w:rPr>
          <w:rFonts w:ascii="Times New Roman" w:hAnsi="Times New Roman" w:cs="Times New Roman"/>
          <w:sz w:val="24"/>
          <w:szCs w:val="24"/>
          <w:lang w:val="en-GB"/>
        </w:rPr>
        <w:fldChar w:fldCharType="end"/>
      </w:r>
      <w:r w:rsidRPr="00333635">
        <w:rPr>
          <w:rFonts w:ascii="Times New Roman" w:hAnsi="Times New Roman" w:cs="Times New Roman"/>
          <w:sz w:val="24"/>
          <w:szCs w:val="24"/>
          <w:lang w:val="en-GB"/>
        </w:rPr>
        <w:t xml:space="preserve">. </w:t>
      </w:r>
      <w:r w:rsidR="009B4924" w:rsidRPr="00333635">
        <w:rPr>
          <w:rFonts w:ascii="Times New Roman" w:hAnsi="Times New Roman" w:cs="Times New Roman"/>
          <w:sz w:val="24"/>
          <w:szCs w:val="24"/>
          <w:lang w:val="en-GB"/>
        </w:rPr>
        <w:t>In these fields, the topic of materiality enjoyed a surge of interest through the work of</w:t>
      </w:r>
      <w:r w:rsidR="00DE41D8" w:rsidRPr="00333635">
        <w:rPr>
          <w:rFonts w:ascii="Times New Roman" w:hAnsi="Times New Roman" w:cs="Times New Roman"/>
          <w:sz w:val="24"/>
          <w:szCs w:val="24"/>
          <w:lang w:val="en-GB"/>
        </w:rPr>
        <w:t xml:space="preserve"> people such as</w:t>
      </w:r>
      <w:r w:rsidR="009B4924" w:rsidRPr="00333635">
        <w:rPr>
          <w:rFonts w:ascii="Times New Roman" w:hAnsi="Times New Roman" w:cs="Times New Roman"/>
          <w:sz w:val="24"/>
          <w:szCs w:val="24"/>
          <w:lang w:val="en-GB"/>
        </w:rPr>
        <w:t xml:space="preserve"> </w:t>
      </w:r>
      <w:r w:rsidR="00DE41D8" w:rsidRPr="00333635">
        <w:rPr>
          <w:rFonts w:ascii="Times New Roman" w:hAnsi="Times New Roman" w:cs="Times New Roman"/>
          <w:sz w:val="24"/>
          <w:szCs w:val="24"/>
          <w:lang w:val="en-GB"/>
        </w:rPr>
        <w:t>Ian Hodder (</w:t>
      </w:r>
      <w:r w:rsidR="00DE41D8" w:rsidRPr="00333635">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{"citationID":"wNuGboxN","properties":{"formattedCitation":"(Hodder 1982; Appadurai 1986; Miller 1987; Tilley 1991)","plainCitation":"(Hodder 1982; Appadurai 1986; Miller 1987; Tilley 1991)","dontUpdate":true,"noteIndex":1},"citationItems":[{"id":113,"uris":["http://zotero.org/users/4953069/items/B83376JN"],"uri":["http://zotero.org/users/4953069/items/B83376JN"],"itemData":{"id":113,"type":"book","title":"Symbols in Action: Ethnoarchaeological Studies of Material Culture","publisher":"Cambridge University Press","publisher-place":"Cambridge","number-of-pages":"266","source":"Google Books","event-place":"Cambridge","abstract":"Material culture - the objects made by man - provides the primary data from which archaeologists have to infer the economies, technologies, social organization and ritual practices of extinct societies. The analysis and interpretation ofmaterial culture is therefore central to any concern with archaeological theory and methodology, and in order to understand better the relationship between material culture and human behaviour, archaeologists need to draw upon models derived from the study of ethnographic societies. First published in 1982, this book presents the results of a series of field investigations carried out in Kenya, Zambia and the Sudan into the 'archaeological' remains and material culture of contemporary small-scale societies, and demonstrates the way in which objects are used as symbols within social action and within particular world views and ideologies.","ISBN":"978-0-521-24176-2","note":"Google-Books-ID: TSE9AAAAIAAJ","shortTitle":"Symbols in Action","language":"en","author":[{"family":"Hodder","given":"Ian"}],"issued":{"date-parts":[["1982",1,14]]}}},{"id":670,"uris":["http://zotero.org/users/4953069/items/P96G4NDS"],"uri":["http://zotero.org/users/4953069/items/P96G4NDS"],"itemData":{"id":670,"type":"chapter","title":"The cultural biography of things: commiditization as process","container-title":"The Social Life of Things: Commodities in Cultural Perspective","publisher":"Cambridge University Press","publisher-place":"Cambridge","page":"64-91","event-place":"Cambridge","editor":[{"family":"Appadurai","given":"Arjun"}],"author":[{"family":"Kopytoff","given":"Igor"}],"issued":{"date-parts":[["1986"]]}}},{"id":366,"uris":["http://zotero.org/users/4953069/items/CX8SFMDI"],"uri":["http://zotero.org/users/4953069/items/CX8SFMDI"],"itemData":{"id":366,"type":"book","title":"Material Culture and Mass Consumption","publisher":"Basil Blackwell","publisher-place":"Oxford","event-place":"Oxford","author":[{"family":"Miller","given":"Daniel"}],"issued":{"date-parts":[["1987"]]}}},{"id":112,"uris":["http://zotero.org/users/4953069/items/ZZG7NKX5"],"uri":["http://zotero.org/users/4953069/items/ZZG7NKX5"],"itemData":{"id":112,"type":"book","title":"Material Culture and Text: The Art of Ambiguity","publisher":"Routledge","publisher-place":"London","number-of-pages":"216","source":"Google Books","event-place":"London","ISBN":"978-0-415-05588-8","note":"Google-Books-ID: 1t0OAAAAQAAJ","shortTitle":"Material Culture and Text","language":"en","author":[{"family":"Tilley","given":"Christopher Y."}],"issued":{"date-parts":[["1991",1,1]]}}}],"schema":"https://github.com/citation-style-language/schema/raw/master/csl-citation.json"} </w:instrText>
      </w:r>
      <w:r w:rsidR="00DE41D8" w:rsidRPr="00333635">
        <w:rPr>
          <w:rFonts w:ascii="Times New Roman" w:hAnsi="Times New Roman" w:cs="Times New Roman"/>
          <w:sz w:val="24"/>
          <w:szCs w:val="24"/>
          <w:lang w:val="en-GB"/>
        </w:rPr>
        <w:fldChar w:fldCharType="separate"/>
      </w:r>
      <w:r w:rsidR="00DE41D8" w:rsidRPr="00333635">
        <w:rPr>
          <w:rFonts w:ascii="Times New Roman" w:hAnsi="Times New Roman" w:cs="Times New Roman"/>
          <w:sz w:val="24"/>
          <w:szCs w:val="24"/>
          <w:lang w:val="en-GB"/>
        </w:rPr>
        <w:t>1982), Arjun Appadurai (1986) Daniel Miller (1987) and Christopher Tilley (1991)</w:t>
      </w:r>
      <w:r w:rsidR="00DE41D8" w:rsidRPr="00333635">
        <w:rPr>
          <w:rFonts w:ascii="Times New Roman" w:hAnsi="Times New Roman" w:cs="Times New Roman"/>
          <w:sz w:val="24"/>
          <w:szCs w:val="24"/>
          <w:lang w:val="en-GB"/>
        </w:rPr>
        <w:fldChar w:fldCharType="end"/>
      </w:r>
      <w:r w:rsidR="00DE41D8" w:rsidRPr="00333635">
        <w:rPr>
          <w:rFonts w:ascii="Times New Roman" w:hAnsi="Times New Roman" w:cs="Times New Roman"/>
          <w:sz w:val="24"/>
          <w:szCs w:val="24"/>
          <w:lang w:val="en-GB"/>
        </w:rPr>
        <w:t xml:space="preserve">. Around the same time, the topic was also being discussed in media studies </w:t>
      </w:r>
      <w:r w:rsidRPr="00333635">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{"citationID":"z0NpsAq2","properties":{"formattedCitation":"(Gumbrecht and Pfeiffer 1988; Kittler 1999)","plainCitation":"(Gumbrecht and Pfeiffer 1988; Kittler 1999)","noteIndex":1},"citationItems":[{"id":362,"uris":["http://zotero.org/users/4953069/items/3NEJWMFG"],"uri":["http://zotero.org/users/4953069/items/3NEJWMFG"],"itemData":{"id":362,"type":"book","title":"Materialities of Communication","publisher":"Stanford University Press","number-of-pages":"480","source":"Google Books","abstract":"The essays in this volume refers to an epistemological borderline, a stage of transition in Western thought. Within the academic field of the humanities, this transition can be described as a movement away from the identification of meaning toward problems concerning the conditions and forms of meaning-constitution.","ISBN":"978-0-8047-2263-6","note":"Google-Books-ID: WDmrAAAAIAAJ","language":"en","author":[{"family":"Gumbrecht","given":"Hans Ulrich"},{"family":"Pfeiffer","given":"Karl Ludwig"}],"issued":{"date-parts":[["1988"]]}}},{"id":361,"uris":["http://zotero.org/users/4953069/items/RXWXCE4U"],"uri":["http://zotero.org/users/4953069/items/RXWXCE4U"],"itemData":{"id":361,"type":"book","title":"Gramophone, Film, Typewriter","publisher":"Stanford University Press","number-of-pages":"364","source":"Google Books","abstract":"Toward the end of the nineteenth century, the hegemony of the printed word was shattered by the arrival of new media technologies that offered novel ways of communicating and storing data. Previously, writing had operated by way of symbolic mediation--all data had to pass through the needle&amp;#39;s eye of the written signifier--but phonography, photography, and cinematography stored physical effects of the real in the shape of sound waves and light. The entire question of referentiality had to be recast in light of these new media technologies; in addition, the use of the typewriter changed the perception of writing from that of a unique expression of a literate individual to that of a sequence of naked material signifiers.  Part technological history of the emergent new media in the late nineteenth century, part theoretical discussion of the responses to these media--including texts by Rilke, Kafka, and Heidegger, as well as elaborations by Edison, Bell, Turing, and other innovators--Gramophone, Film, Typewriter analyzes this momentous shift using insights from the work of Foucault, Lacan, and McLuhan. Fusing discourse analysis, structuralist psychoanalysis, and media theory, the author adds a vital historical dimension to the current debates over the relationship between electronic literacy and poststructuralism, and the extent to which we are constituted by our technologies. The book ties the establishment of new discursive practices to the introduction of new media technologies, and it shows how both determine the ways in which psychoanalysis conceives of the psychic apparatus in terms of information machines.  Gramophone, Film, Typewriter is, among other things, a continuation as well as a detailed elaboration of the second part of the author&amp;#39;s Discourse Networks, 1800/1900 (Stanford, 1990). As such, it bridges the gap between Kittler&amp;#39;s discourse analysis of the 1980&amp;#39;s and his increasingly computer-oriented work of the 1990&amp;#39;s.","ISBN":"978-0-8047-3233-8","note":"Google-Books-ID: zSrte54_9ZwC","language":"en","author":[{"family":"Kittler","given":"Friedrich A."}],"issued":{"date-parts":[["1999"]]}}}],"schema":"https://github.com/citation-style-language/schema/raw/master/csl-citation.json"} </w:instrText>
      </w:r>
      <w:r w:rsidRPr="00333635">
        <w:rPr>
          <w:rFonts w:ascii="Times New Roman" w:hAnsi="Times New Roman" w:cs="Times New Roman"/>
          <w:sz w:val="24"/>
          <w:szCs w:val="24"/>
          <w:lang w:val="en-GB"/>
        </w:rPr>
        <w:fldChar w:fldCharType="separate"/>
      </w:r>
      <w:r w:rsidRPr="00333635">
        <w:rPr>
          <w:rFonts w:ascii="Times New Roman" w:hAnsi="Times New Roman" w:cs="Times New Roman"/>
          <w:sz w:val="24"/>
          <w:szCs w:val="24"/>
          <w:lang w:val="en-GB"/>
        </w:rPr>
        <w:t>(Gumbrecht and Pfeiffer 1988; Kittler 1999)</w:t>
      </w:r>
      <w:r w:rsidRPr="00333635">
        <w:rPr>
          <w:rFonts w:ascii="Times New Roman" w:hAnsi="Times New Roman" w:cs="Times New Roman"/>
          <w:sz w:val="24"/>
          <w:szCs w:val="24"/>
          <w:lang w:val="en-GB"/>
        </w:rPr>
        <w:fldChar w:fldCharType="end"/>
      </w:r>
      <w:r w:rsidRPr="00333635">
        <w:rPr>
          <w:rFonts w:ascii="Times New Roman" w:hAnsi="Times New Roman" w:cs="Times New Roman"/>
          <w:sz w:val="24"/>
          <w:szCs w:val="24"/>
          <w:lang w:val="en-GB"/>
        </w:rPr>
        <w:t xml:space="preserve"> and science and technology studies </w:t>
      </w:r>
      <w:r w:rsidRPr="00333635">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{"citationID":"qagORywU","properties":{"formattedCitation":"(Pinch and Bijker 1984; Latour 1987; Bijker and Law 1992)","plainCitation":"(Pinch and Bijker 1984; Latour 1987; Bijker and Law 1992)","noteIndex":1},"citationItems":[{"id":158,"uris":["http://zotero.org/users/4953069/items/5NJEAPC3"],"uri":["http://zotero.org/users/4953069/items/5NJEAPC3"],"itemData":{"id":158,"type":"article-journal","title":"The Social Construction of Facts and Artefacts: Or How the Sociology of Science and the Sociology of Technology Might Benefit Each Other","container-title":"Social Studies of Science","page":"399-441","volume":"14","issue":"3","source":"JSTOR","abstract":"The need for an integrated social constructivist approach towards the study of science and technology is outlined. Within such a programme both scientific facts and technological artefacts are to be understood as social constructs. Literature on the sociology of science, the science-technology relationship, and technology studies is reviewed. The empirical programme of relativism within the sociology of scientific knowledge and a recent study of the social construction of technological artefacts are combined to produce the new approach. The concepts of 'interpretative flexibility' and 'closure mechanism', and the notion of 'social group' are developed and illustrated by reference to a study of solar physics and a study of the development of the bicycle. The paper concludes by setting out some of the terrain to be explored in future studies.","ISSN":"0306-3127","shortTitle":"The Social Construction of Facts and Artefacts","author":[{"family":"Pinch","given":"Trevor"},{"family":"Bijker","given":"Wiebe E."}],"issued":{"date-parts":[["1984"]]}}},{"id":357,"uris":["http://zotero.org/users/4953069/items/HMR3SNWN"],"uri":["http://zotero.org/users/4953069/items/HMR3SNWN"],"itemData":{"id":357,"type":"book","title":"Science in Action: How to Follow Scientists and Engineers through Society","publisher":"Harvard University Press","publisher-place":"Cambridge, MA","event-place":"Cambridge, MA","author":[{"family":"Latour","given":"Bruno"}],"issued":{"date-parts":[["1987"]]}}},{"id":356,"uris":["http://zotero.org/users/4953069/items/TMJ3ZXK4"],"uri":["http://zotero.org/users/4953069/items/TMJ3ZXK4"],"itemData":{"id":356,"type":"book","title":"Shaping Technology/building Society: Studies in Sociotechnical Change","publisher":"MIT Press","number-of-pages":"341","source":"Google Books","abstract":"Technology is everywhere, yet a theory of technology and its social dimension remainsto be fully developed. Building on the influential book The Social Construction of TechnologicalSystems, this volume carries forward the project of creating a theory of technological developmentand implementation that is strongly grounded in both sociology and history. The 12 essays addressthe central question of how technologies become stabilized, how they attain a final form and usethat is generally accepted. The essays are tied together by a general introduction, partintroductions, and a theoretical conclusion.The first part of the book examines and criticizes theidea that technologies have common life cycles; three case studies cover the history of a successfulbut never produced British jet fighter, the manipulation of patents by a French R&amp;D company togain a market foothold, and the managed development of high-intensity fluorescent lighting to servethe interests of electricity suppliers as well as the producing company.The second part looks atbroader interactions shaping technology and its social context: the question of who was to define\"steel,\" the determination of what constitutes radioactive waste and its proper disposal, and thesocial construction of motion pictures as exemplified by Thomas Edison's successful development ofthe medium and its commercial failure.The last part offers theoretical studies suggestingalternative approaches to sociotechnologies; two studies argue for a strong sociotechnology in whichartifact and social context are viewed as a single seamless web, while the third looks at the waysin which a social program is a technology.Wiebe E. Bijker is Associate Professor at the Universityof Limburg, The Netherlands. John Law is Professor in Sociology at the University of Keele,Staffordshire, England.","ISBN":"978-0-262-52194-9","note":"Google-Books-ID: ifoKnwEACAAJ","shortTitle":"Shaping Technology/building Society","language":"en","author":[{"family":"Bijker","given":"Wiebe E."},{"family":"Law","given":"John"}],"issued":{"date-parts":[["1992"]]}}}],"schema":"https://github.com/citation-style-language/schema/raw/master/csl-citation.json"} </w:instrText>
      </w:r>
      <w:r w:rsidRPr="00333635">
        <w:rPr>
          <w:rFonts w:ascii="Times New Roman" w:hAnsi="Times New Roman" w:cs="Times New Roman"/>
          <w:sz w:val="24"/>
          <w:szCs w:val="24"/>
          <w:lang w:val="en-GB"/>
        </w:rPr>
        <w:fldChar w:fldCharType="separate"/>
      </w:r>
      <w:r w:rsidRPr="00333635">
        <w:rPr>
          <w:rFonts w:ascii="Times New Roman" w:hAnsi="Times New Roman" w:cs="Times New Roman"/>
          <w:sz w:val="24"/>
          <w:szCs w:val="24"/>
          <w:lang w:val="en-GB"/>
        </w:rPr>
        <w:t>(Pinch and Bijker 1984; Latour 1987; Bijker and Law 1992)</w:t>
      </w:r>
      <w:r w:rsidRPr="00333635">
        <w:rPr>
          <w:rFonts w:ascii="Times New Roman" w:hAnsi="Times New Roman" w:cs="Times New Roman"/>
          <w:sz w:val="24"/>
          <w:szCs w:val="24"/>
          <w:lang w:val="en-GB"/>
        </w:rPr>
        <w:fldChar w:fldCharType="end"/>
      </w:r>
      <w:r w:rsidR="00DE41D8" w:rsidRPr="00333635">
        <w:rPr>
          <w:rFonts w:ascii="Times New Roman" w:hAnsi="Times New Roman" w:cs="Times New Roman"/>
          <w:sz w:val="24"/>
          <w:szCs w:val="24"/>
          <w:lang w:val="en-GB"/>
        </w:rPr>
        <w:t xml:space="preserve">. It is mainly to the interdisciplinary spread of these </w:t>
      </w:r>
      <w:proofErr w:type="spellStart"/>
      <w:r w:rsidR="00DE41D8" w:rsidRPr="00333635">
        <w:rPr>
          <w:rFonts w:ascii="Times New Roman" w:hAnsi="Times New Roman" w:cs="Times New Roman"/>
          <w:sz w:val="24"/>
          <w:szCs w:val="24"/>
          <w:lang w:val="en-GB"/>
        </w:rPr>
        <w:t>subdisciplinary</w:t>
      </w:r>
      <w:proofErr w:type="spellEnd"/>
      <w:r w:rsidR="00DE41D8" w:rsidRPr="00333635">
        <w:rPr>
          <w:rFonts w:ascii="Times New Roman" w:hAnsi="Times New Roman" w:cs="Times New Roman"/>
          <w:sz w:val="24"/>
          <w:szCs w:val="24"/>
          <w:lang w:val="en-GB"/>
        </w:rPr>
        <w:t xml:space="preserve"> movements that we can trace back the current “material turn”. Of course, there are important differences between them; for one, in anthropology</w:t>
      </w:r>
      <w:r w:rsidRPr="00333635">
        <w:rPr>
          <w:rFonts w:ascii="Times New Roman" w:hAnsi="Times New Roman" w:cs="Times New Roman"/>
          <w:sz w:val="24"/>
          <w:szCs w:val="24"/>
          <w:lang w:val="en-GB"/>
        </w:rPr>
        <w:t xml:space="preserve"> scholars argued that objects are not just what humans make of them, and there was a reorientation towards the “materiality” of objects </w:t>
      </w:r>
      <w:r w:rsidRPr="00333635">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{"citationID":"mre5FUug","properties":{"formattedCitation":"(Buchli 1995; Olsen 2003; Miller 2005)","plainCitation":"(Buchli 1995; Olsen 2003; Miller 2005)","noteIndex":1},"citationItems":[{"id":139,"uris":["http://zotero.org/users/4953069/items/MTMR54XM"],"uri":["http://zotero.org/users/4953069/items/MTMR54XM"],"itemData":{"id":139,"type":"chapter","title":"Interpreting Material Culture: the Trouble with Text","container-title":"Interpreting Archaeology","publisher":"Routledge","publisher-place":"London","page":"181-193","source":"discovery.ucl.ac.uk","event-place":"London","abstract":"UCL Discovery is UCL's open access repository, showcasing and providing access to UCL research outputs from all UCL disciplines.","URL":"http://discovery.ucl.ac.uk/1452933/","shortTitle":"Interpreting Material Culture","author":[{"family":"Buchli","given":"V. A."}],"editor":[{"family":"Hodder","given":"I.","dropping-particle":"et al"}],"issued":{"date-parts":[["1995"]]},"accessed":{"date-parts":[["2017",2,6]]}}},{"id":137,"uris":["http://zotero.org/users/4953069/items/UNVM2PCH"],"uri":["http://zotero.org/users/4953069/items/UNVM2PCH"],"itemData":{"id":137,"type":"article-journal","title":"Material Culture after Text: Re-Membering Things","container-title":"Norwegian Archaeological Review","page":"87-104","volume":"36","issue":"2","author":[{"family":"Olsen","given":"Bj?rnar"}],"issued":{"date-parts":[["2003"]]}}},{"id":138,"uris":["http://zotero.org/users/4953069/items/FZHW5W7Z"],"uri":["http://zotero.org/users/4953069/items/FZHW5W7Z"],"itemData":{"id":138,"type":"book","title":"Materiality","publisher":"Duke University Press","publisher-place":"Durham","number-of-pages":"303","source":"Google Books","event-place":"Durham","abstract":"Throughout history and across social and cultural contexts, most systems of belief—whether religious or secular—have ascribed wisdom to those who see reality as that which transcends the merely material. Yet, as the studies collected here show, the immaterial is not easily separated from the material. Humans are defined, to an extraordinary degree, by their expressions of immaterial ideals through material forms. The essays in Materiality explore varied manifestations of materiality from ancient times to the present. In assessing the fundamental role of materiality in shaping humanity, they signal the need to decenter the social within social anthropology in order to make room for the material.Considering topics as diverse as theology, technology, finance, and art, the contributors—most of whom are anthropologists—examine the many different ways in which materiality has been understood and the consequences of these differences. Their case studies show that the latest forms of financial trading instruments can be compared with the oldest ideals of ancient Egypt, that the promise of software can be compared with an age-old desire for an unmediated relationship to divinity. Whether focusing on the theology of Islamic banking, Australian Aboriginal art, derivatives trading in Japan, or textiles that respond directly to their environment, each essay adds depth and nuance to the project that Materiality advances: a profound acknowledgment and rethinking of one of the basic properties of being human.Contributors. Matthew Engelke, Webb Keane, Susanne Küchler, Bill Maurer, Lynn Meskell, Daniel Miller, Hirokazu Miyazaki, Fred Myers, Christopher Pinney, Michael Rowlands, Nigel Thrift","ISBN":"978-0-8223-8671-1","language":"en","author":[{"family":"Miller","given":"Daniel"}],"issued":{"date-parts":[["2005",6,27]]}}}],"schema":"https://github.com/citation-style-language/schema/raw/master/csl-citation.json"} </w:instrText>
      </w:r>
      <w:r w:rsidRPr="00333635">
        <w:rPr>
          <w:rFonts w:ascii="Times New Roman" w:hAnsi="Times New Roman" w:cs="Times New Roman"/>
          <w:sz w:val="24"/>
          <w:szCs w:val="24"/>
          <w:lang w:val="en-GB"/>
        </w:rPr>
        <w:fldChar w:fldCharType="separate"/>
      </w:r>
      <w:r w:rsidRPr="00333635">
        <w:rPr>
          <w:rFonts w:ascii="Times New Roman" w:hAnsi="Times New Roman" w:cs="Times New Roman"/>
          <w:sz w:val="24"/>
          <w:szCs w:val="24"/>
          <w:lang w:val="en-GB"/>
        </w:rPr>
        <w:t>(Buchli 1995; Olsen 2003; Miller 2005)</w:t>
      </w:r>
      <w:r w:rsidRPr="00333635">
        <w:rPr>
          <w:rFonts w:ascii="Times New Roman" w:hAnsi="Times New Roman" w:cs="Times New Roman"/>
          <w:sz w:val="24"/>
          <w:szCs w:val="24"/>
          <w:lang w:val="en-GB"/>
        </w:rPr>
        <w:fldChar w:fldCharType="end"/>
      </w:r>
      <w:r w:rsidR="00333635">
        <w:rPr>
          <w:rFonts w:ascii="Times New Roman" w:hAnsi="Times New Roman" w:cs="Times New Roman"/>
          <w:sz w:val="24"/>
          <w:szCs w:val="24"/>
          <w:lang w:val="en-GB"/>
        </w:rPr>
        <w:t xml:space="preserve">, while </w:t>
      </w:r>
      <w:r w:rsidRPr="00333635">
        <w:rPr>
          <w:rFonts w:ascii="Times New Roman" w:hAnsi="Times New Roman" w:cs="Times New Roman"/>
          <w:sz w:val="24"/>
          <w:szCs w:val="24"/>
          <w:lang w:val="en-GB"/>
        </w:rPr>
        <w:t>scholars in media studies and science and technology studies</w:t>
      </w:r>
      <w:r w:rsidR="00333635">
        <w:rPr>
          <w:rFonts w:ascii="Times New Roman" w:hAnsi="Times New Roman" w:cs="Times New Roman"/>
          <w:sz w:val="24"/>
          <w:szCs w:val="24"/>
          <w:lang w:val="en-GB"/>
        </w:rPr>
        <w:t>, moving in the opposite direction,</w:t>
      </w:r>
      <w:r w:rsidRPr="00333635">
        <w:rPr>
          <w:rFonts w:ascii="Times New Roman" w:hAnsi="Times New Roman" w:cs="Times New Roman"/>
          <w:sz w:val="24"/>
          <w:szCs w:val="24"/>
          <w:lang w:val="en-GB"/>
        </w:rPr>
        <w:t xml:space="preserve"> increasingly turned against the perceived “technological determinism” of such important figures like Marshall McLuhan and Langdon Winner </w:t>
      </w:r>
      <w:r w:rsidRPr="00333635">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{"citationID":"EnqDvwQY","properties":{"formattedCitation":"(Smith and Marx 1994; Wyatt 2008)","plainCitation":"(Smith and Marx 1994; Wyatt 2008)","noteIndex":1},"citationItems":[{"id":351,"uris":["http://zotero.org/users/4953069/items/9576D9VU"],"uri":["http://zotero.org/users/4953069/items/9576D9VU"],"itemData":{"id":351,"type":"book","title":"Does Technology Drive History?: The Dilemma of Technological Determinism","publisher":"MIT Press","number-of-pages":"304","source":"Google Books","abstract":"These thirteen essays explore a crucial historical question that has been notoriously hard to pin down: To what extent, and by what means, does a society's technology determine its political, social, economic, and cultural forms?  Karl Marx launched the modern debate on determinism with his provocative remark that \"the hand-mill gives you society with the feudal lord; the steam-mill, society with the industrial capitalist, \" and a classic article by Robert Heilbroner (reprinted here) renewed the debate within the context of the history of technology. This book clarifies the debate and carries it forward.  Marx's position has become embedded in our culture, in the form of constant reminders as to how our fast-changing technologies will alter our lives. Yet historians who have looked closely at where technologies really come from generally support the proposition that technologies are not autonomous but are social products, susceptible to democratic controls. The issue is crucial for democratic theory. These essays tackle it head-on, offering a deep look at all the shadings of determinism and assessing determinist models in a wide variety of historical contexts. Contributors: Bruce Bimber. Richard W. Bulliet. Robert L. Heilbroner. Thomas P. Hughes. Leo Marx. Thomas J. Misa. Peter C. Perdue. Philip Scranton. Merritt Roe Smith. Michael L. Smith. John M. Staudenmaier. Rosalind Williams.","ISBN":"978-0-262-69167-3","shortTitle":"Does Technology Drive History?","language":"en","editor":[{"family":"Smith","given":"Merritt Roe"},{"family":"Marx","given":"Leo"}],"issued":{"date-parts":[["1994"]]}}},{"id":161,"uris":["http://zotero.org/users/4953069/items/VKWVABIZ"],"uri":["http://zotero.org/users/4953069/items/VKWVABIZ"],"itemData":{"id":161,"type":"chapter","title":"Technological Determinism is Dead; Long Live Technological Determinism","container-title":"The Handbook of Science and Technology Studies","publisher":"MIT Press","publisher-place":"Cambridge, MA","page":"165-180","volume":"3rd edition","event-place":"Cambridge, MA","author":[{"family":"Wyatt","given":"Sally"}],"editor":[{"family":"Hackett","given":"Edward J."},{"family":"Amsterdamska","given":"Olga"},{"family":"Lynch","given":"Michael"},{"family":"Wajcman","given":"Judy"}],"issued":{"date-parts":[["2008"]]}}}],"schema":"https://github.com/citation-style-language/schema/raw/master/csl-citation.json"} </w:instrText>
      </w:r>
      <w:r w:rsidRPr="00333635">
        <w:rPr>
          <w:rFonts w:ascii="Times New Roman" w:hAnsi="Times New Roman" w:cs="Times New Roman"/>
          <w:sz w:val="24"/>
          <w:szCs w:val="24"/>
          <w:lang w:val="en-GB"/>
        </w:rPr>
        <w:fldChar w:fldCharType="separate"/>
      </w:r>
      <w:r w:rsidRPr="00333635">
        <w:rPr>
          <w:rFonts w:ascii="Times New Roman" w:hAnsi="Times New Roman" w:cs="Times New Roman"/>
          <w:sz w:val="24"/>
          <w:szCs w:val="24"/>
          <w:lang w:val="en-GB"/>
        </w:rPr>
        <w:t>(Smith and Marx 1994; Wyatt 2008)</w:t>
      </w:r>
      <w:r w:rsidRPr="00333635">
        <w:rPr>
          <w:rFonts w:ascii="Times New Roman" w:hAnsi="Times New Roman" w:cs="Times New Roman"/>
          <w:sz w:val="24"/>
          <w:szCs w:val="24"/>
          <w:lang w:val="en-GB"/>
        </w:rPr>
        <w:fldChar w:fldCharType="end"/>
      </w:r>
      <w:r w:rsidR="00DE41D8" w:rsidRPr="00333635">
        <w:rPr>
          <w:rFonts w:ascii="Times New Roman" w:hAnsi="Times New Roman" w:cs="Times New Roman"/>
          <w:sz w:val="24"/>
          <w:szCs w:val="24"/>
          <w:lang w:val="en-GB"/>
        </w:rPr>
        <w:t>. In this chapter I will generally refer to interdisciplinary work in the “material turn” as studies of “material culture”, even though many of the authors and approaches I discuss would not usually be categorized under the concept, or indeed have positioned themselves against the traditional archaeological concept of material culture. This also implies my discussion represents the field as being rather more homogeneous than it actually is</w:t>
      </w:r>
      <w:r w:rsidRPr="00333635">
        <w:rPr>
          <w:rFonts w:ascii="Times New Roman" w:hAnsi="Times New Roman" w:cs="Times New Roman"/>
          <w:sz w:val="24"/>
          <w:szCs w:val="24"/>
          <w:lang w:val="en-GB"/>
        </w:rPr>
        <w:t xml:space="preserve"> (somebody like Graham Harman</w:t>
      </w:r>
      <w:r w:rsidRPr="00333635">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{"citationID":"ia1slV08","properties":{"formattedCitation":"(Harman 2002)","plainCitation":"(Harman 2002)","dontUpdate":true,"noteIndex":1},"citationItems":[{"id":346,"uris":["http://zotero.org/users/4953069/items/RQUUUKUC"],"uri":["http://zotero.org/users/4953069/items/RQUUUKUC"],"itemData":{"id":346,"type":"book","title":"Tool-Being: Heidegger and the Metaphysics of Objects","publisher":"Open Court","publisher-place":"Chicago","number-of-pages":"344","source":"Google Books","event-place":"Chicago","abstract":"Tool-Being offers a new assessment of Martin Heidegger's famous tool-analysis, and with it, an audacious reappraisal of Heidegger's legacy to twenty-first-century philosophy.Every reader of Being and Time is familiar with the opposition between readiness-to-hand (Zuhandenheit) and presence-at-hand (Vorhandenheit), but commentators usually follow Heidegger's wishes in giving this distinction a limited scope, as if it applied only to tools in a narrow sense. Graham Harman contests Heidegger's own interpretation of tool-being, arguing that the opposition between tool and broken tool is not merely a provisional stage in his philosophy, but rather its living core. The extended concept of tool-being developed here leads us not to a theory of human practical activity but to an ontology of objects themselves.Tool-Being urges a fresh and concrete research into the secret contours of objects. Written in a lively and colorful style, it will be of great interest to anyone intrigued by Heidegger and anyone open to new trends in present-day philosophy.","ISBN":"978-0-8126-9773-5","shortTitle":"Tool-Being","language":"en","author":[{"family":"Harman","given":"Graham"}],"issued":{"date-parts":[["2002"]]}}}],"schema":"https://github.com/citation-style-language/schema/raw/master/csl-citation.json"} </w:instrText>
      </w:r>
      <w:r w:rsidRPr="00333635">
        <w:rPr>
          <w:rFonts w:ascii="Times New Roman" w:hAnsi="Times New Roman" w:cs="Times New Roman"/>
          <w:sz w:val="24"/>
          <w:szCs w:val="24"/>
          <w:lang w:val="en-GB"/>
        </w:rPr>
        <w:fldChar w:fldCharType="separate"/>
      </w:r>
      <w:r w:rsidRPr="00333635">
        <w:rPr>
          <w:rFonts w:ascii="Times New Roman" w:hAnsi="Times New Roman" w:cs="Times New Roman"/>
          <w:sz w:val="24"/>
          <w:szCs w:val="24"/>
          <w:lang w:val="en-GB"/>
        </w:rPr>
        <w:t xml:space="preserve"> [2002</w:t>
      </w:r>
      <w:r w:rsidRPr="00333635">
        <w:rPr>
          <w:rFonts w:ascii="Times New Roman" w:hAnsi="Times New Roman" w:cs="Times New Roman"/>
          <w:sz w:val="24"/>
          <w:szCs w:val="24"/>
          <w:lang w:val="en-GB"/>
        </w:rPr>
        <w:fldChar w:fldCharType="end"/>
      </w:r>
      <w:r w:rsidRPr="00333635">
        <w:rPr>
          <w:rFonts w:ascii="Times New Roman" w:hAnsi="Times New Roman" w:cs="Times New Roman"/>
          <w:sz w:val="24"/>
          <w:szCs w:val="24"/>
          <w:lang w:val="en-GB"/>
        </w:rPr>
        <w:t xml:space="preserve">] would disagree with virtually every point mentioned in </w:t>
      </w:r>
      <w:r w:rsidR="00DE41D8" w:rsidRPr="00333635">
        <w:rPr>
          <w:rFonts w:ascii="Times New Roman" w:hAnsi="Times New Roman" w:cs="Times New Roman"/>
          <w:sz w:val="24"/>
          <w:szCs w:val="24"/>
          <w:lang w:val="en-GB"/>
        </w:rPr>
        <w:t>my summary above).</w:t>
      </w:r>
      <w:r w:rsidRPr="00333635">
        <w:rPr>
          <w:rFonts w:ascii="Times New Roman" w:hAnsi="Times New Roman" w:cs="Times New Roman"/>
          <w:sz w:val="24"/>
          <w:szCs w:val="24"/>
          <w:lang w:val="en-GB"/>
        </w:rPr>
        <w:t xml:space="preserve"> I will be theoretically and methodologically promiscuous and draw on ideas that are sometimes deemed to be incompatible. That being said, I do think there is much to be gained from a stronger engagement with some of the proposed methodologies—for instance, it is striking how despite the currency of actor-network theory and its concept of material agency, very few scholars have employed the technical vocabulary for describing its various ways in which agency might be mediated by material objects </w:t>
      </w:r>
      <w:r w:rsidRPr="00333635">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{"citationID":"U09rTcMq","properties":{"formattedCitation":"(Akrich and Latour 1992)","plainCitation":"(Akrich and Latour 1992)","noteIndex":1},"citationItems":[{"id":345,"uris":["http://zotero.org/users/4953069/items/AN6W9EKR"],"uri":["http://zotero.org/users/4953069/items/AN6W9EKR"],"itemData":{"id":345,"type":"chapter","title":"A Summary of a Convenient Vocabulary for the Semiotics of Human and Nonhuman Assemblies","container-title":"Shaping Technology/Building Society: Studies in Sociotechnical Change","publisher":"MIT Press","publisher-place":"Cambridge, MA","page":"259-264","event-place":"Cambridge, MA","author":[{"family":"Akrich","given":"Madeleine"},{"family":"Latour","given":"Bruno"}],"editor":[{"family":"Bijker","given":"Wiebe E."},{"family":"Law","given":"John"}],"issued":{"date-parts":[["1992"]]}}}],"schema":"https://github.com/citation-style-language/schema/raw/master/csl-citation.json"} </w:instrText>
      </w:r>
      <w:r w:rsidRPr="00333635">
        <w:rPr>
          <w:rFonts w:ascii="Times New Roman" w:hAnsi="Times New Roman" w:cs="Times New Roman"/>
          <w:sz w:val="24"/>
          <w:szCs w:val="24"/>
          <w:lang w:val="en-GB"/>
        </w:rPr>
        <w:fldChar w:fldCharType="separate"/>
      </w:r>
      <w:r w:rsidRPr="00333635">
        <w:rPr>
          <w:rFonts w:ascii="Times New Roman" w:hAnsi="Times New Roman" w:cs="Times New Roman"/>
          <w:sz w:val="24"/>
          <w:szCs w:val="24"/>
          <w:lang w:val="en-GB"/>
        </w:rPr>
        <w:t>(Akrich and Latour 1992)</w:t>
      </w:r>
      <w:r w:rsidRPr="00333635">
        <w:rPr>
          <w:rFonts w:ascii="Times New Roman" w:hAnsi="Times New Roman" w:cs="Times New Roman"/>
          <w:sz w:val="24"/>
          <w:szCs w:val="24"/>
          <w:lang w:val="en-GB"/>
        </w:rPr>
        <w:fldChar w:fldCharType="end"/>
      </w:r>
      <w:r w:rsidRPr="00333635">
        <w:rPr>
          <w:rFonts w:ascii="Times New Roman" w:hAnsi="Times New Roman" w:cs="Times New Roman"/>
          <w:sz w:val="24"/>
          <w:szCs w:val="24"/>
          <w:lang w:val="en-GB"/>
        </w:rPr>
        <w:t xml:space="preserve">. At the same time, the engagement of humans with material objects is always situated and specific to particular contexts, and so are our theories about them, and so rather than engaging </w:t>
      </w:r>
      <w:r w:rsidR="00333635">
        <w:rPr>
          <w:rFonts w:ascii="Times New Roman" w:hAnsi="Times New Roman" w:cs="Times New Roman"/>
          <w:sz w:val="24"/>
          <w:szCs w:val="24"/>
          <w:lang w:val="en-GB"/>
        </w:rPr>
        <w:t xml:space="preserve">too much </w:t>
      </w:r>
      <w:r w:rsidRPr="00333635">
        <w:rPr>
          <w:rFonts w:ascii="Times New Roman" w:hAnsi="Times New Roman" w:cs="Times New Roman"/>
          <w:sz w:val="24"/>
          <w:szCs w:val="24"/>
          <w:lang w:val="en-GB"/>
        </w:rPr>
        <w:t>in theoretical speculation I would advocate a commitment to empirical, ethnographic, and historical investigation of these situated</w:t>
      </w:r>
      <w:r w:rsidR="00DE41D8" w:rsidRPr="00333635">
        <w:rPr>
          <w:rFonts w:ascii="Times New Roman" w:hAnsi="Times New Roman" w:cs="Times New Roman"/>
          <w:sz w:val="24"/>
          <w:szCs w:val="24"/>
          <w:lang w:val="en-GB"/>
        </w:rPr>
        <w:t xml:space="preserve"> practices.</w:t>
      </w:r>
    </w:p>
  </w:endnote>
  <w:endnote w:id="2">
    <w:p w14:paraId="5AA25E1C" w14:textId="101DAA84" w:rsidR="00996481" w:rsidRPr="00333635" w:rsidRDefault="00996481" w:rsidP="00333635">
      <w:pPr>
        <w:pStyle w:val="Eindnoottekst"/>
        <w:spacing w:line="360" w:lineRule="auto"/>
        <w:rPr>
          <w:rFonts w:ascii="Times New Roman" w:hAnsi="Times New Roman" w:cs="Times New Roman"/>
          <w:sz w:val="24"/>
          <w:szCs w:val="24"/>
          <w:lang w:val="en-GB"/>
        </w:rPr>
      </w:pPr>
      <w:r w:rsidRPr="00333635">
        <w:rPr>
          <w:rStyle w:val="Eindnootmarkering"/>
          <w:rFonts w:ascii="Times New Roman" w:hAnsi="Times New Roman" w:cs="Times New Roman"/>
          <w:sz w:val="24"/>
          <w:szCs w:val="24"/>
        </w:rPr>
        <w:endnoteRef/>
      </w:r>
      <w:r w:rsidRPr="00333635">
        <w:rPr>
          <w:rFonts w:ascii="Times New Roman" w:hAnsi="Times New Roman" w:cs="Times New Roman"/>
          <w:sz w:val="24"/>
          <w:szCs w:val="24"/>
          <w:lang w:val="en-GB"/>
        </w:rPr>
        <w:t xml:space="preserve"> On sound recording and memory see </w:t>
      </w:r>
      <w:r w:rsidRPr="00333635">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{"citationID":"IssTDyUf","properties":{"formattedCitation":"(Kenney 2003; Bijsterveld and Dijck 2009; Roy 2016)","plainCitation":"(Kenney 2003; Bijsterveld and Dijck 2009; Roy 2016)","dontUpdate":true,"noteIndex":2},"citationItems":[{"id":201,"uris":["http://zotero.org/users/4953069/items/UG3IQN5M"],"uri":["http://zotero.org/users/4953069/items/UG3IQN5M"],"itemData":{"id":201,"type":"book","title":"Recorded Music in American Life: the Phonograph and Popular Memory, 1890-1945","publisher":"Oxford University Press","publisher-place":"New York","number-of-pages":"1","source":"aleph.library.uu.nl Library Catalog","event-place":"New York","abstract":"Kenney examines the interplay between recorded music and the key social, political, and economic forces in America during the era of the phonograph's rise and decline as the dominant medium of popular recorded sound: from the appearance of the first commercial recordings to the postwar years when the industry became more complex and less powerful","ISBN":"978-0-19-802604-4","call-number":"306.4840973 306.484","note":"OCLC: 476011450","shortTitle":"Recorded Music in American Life","author":[{"family":"Kenney","given":"William Howland"}],"issued":{"date-parts":[["2003"]]}}},{"id":315,"uris":["http://zotero.org/users/4953069/items/K4NQRW4E"],"uri":["http://zotero.org/users/4953069/items/K4NQRW4E"],"itemData":{"id":315,"type":"book","title":"Sound souvenirs: audio technologies, memory and cultural practices","collection-title":"Transformations in art and culture","publisher":"Amsterdam Univ. Press","publisher-place":"Amsterdam","number-of-pages":"218","source":"aleph.library.uu.nl Library Catalog","event-place":"Amsterdam","ISBN":"978-90-8964-132-8","call-number":"24.42 |2 bcl","shortTitle":"Sound souvenirs","language":"eng","editor":[{"family":"Bijsterveld","given":"Karin Theda"},{"family":"Dijck","given":"José","dropping-particle":"van"}],"issued":{"date-parts":[["2009"]]}}},{"id":157,"uris":["http://zotero.org/users/4953069/items/3EDVASS3"],"uri":["http://zotero.org/users/4953069/items/3EDVASS3"],"itemData":{"id":157,"type":"book","title":"Media, Materiality and Memory: Grounding the Groove","publisher":"Routledge","publisher-place":"London","number-of-pages":"234","source":"Google Books","event-place":"London","abstract":"Media, Materiality and Memory: Grounding the Groove examines the entwinement of material music objects, technology and memory in relation to a range of independent record labels, including Sarah Records, Ghost Box and Finders Keepers. Moving from Edison’s phonograph to digital music files, from record collections to online archives, Roy argues that materiality plays a crucial role in constructing and understanding the territory of recorded sound. How do musical objects ‘write’ cultural narratives? How can we unearth and reactivate past histories by looking at yesterday’s media formats? What is the nature, and fate, of the physical archive in an increasingly dematerialized world? In what ways do physical and digital musical objects coexist and intersect? With its innovative theoretical approach, the book explores the implications of materialization in the fashioning of a musical world and its cultural transmission. A substantial contribution to the field of music and material culture studies, Media, Materiality and Memory also provides a nuanced and timely reflection on nostalgia and forgetting in the digital age.","ISBN":"978-1-317-09874-4","note":"Google-Books-ID: 1Z21CwAAQBAJ","shortTitle":"Media, Materiality and Memory","language":"en","author":[{"family":"Roy","given":"Elodie A."}],"issued":{"date-parts":[["2016",3,9]]}}}],"schema":"https://github.com/citation-style-language/schema/raw/master/csl-citation.json"} </w:instrText>
      </w:r>
      <w:r w:rsidRPr="00333635">
        <w:rPr>
          <w:rFonts w:ascii="Times New Roman" w:hAnsi="Times New Roman" w:cs="Times New Roman"/>
          <w:sz w:val="24"/>
          <w:szCs w:val="24"/>
          <w:lang w:val="en-GB"/>
        </w:rPr>
        <w:fldChar w:fldCharType="separate"/>
      </w:r>
      <w:r w:rsidRPr="00333635">
        <w:rPr>
          <w:rFonts w:ascii="Times New Roman" w:hAnsi="Times New Roman" w:cs="Times New Roman"/>
          <w:sz w:val="24"/>
          <w:szCs w:val="24"/>
          <w:lang w:val="en-GB"/>
        </w:rPr>
        <w:t>Kenney 2003; Bijsterveld and Dijck 2009; Roy 2016</w:t>
      </w:r>
      <w:r w:rsidRPr="00333635">
        <w:rPr>
          <w:rFonts w:ascii="Times New Roman" w:hAnsi="Times New Roman" w:cs="Times New Roman"/>
          <w:sz w:val="24"/>
          <w:szCs w:val="24"/>
          <w:lang w:val="en-GB"/>
        </w:rPr>
        <w:fldChar w:fldCharType="end"/>
      </w:r>
      <w:r w:rsidRPr="00333635">
        <w:rPr>
          <w:rFonts w:ascii="Times New Roman" w:hAnsi="Times New Roman" w:cs="Times New Roman"/>
          <w:sz w:val="24"/>
          <w:szCs w:val="24"/>
          <w:lang w:val="en-GB"/>
        </w:rPr>
        <w:t>.</w:t>
      </w:r>
    </w:p>
  </w:endnote>
  <w:endnote w:id="3">
    <w:p w14:paraId="1ABEDEF4" w14:textId="291278F7" w:rsidR="00996481" w:rsidRPr="00333635" w:rsidRDefault="00996481" w:rsidP="00333635">
      <w:pPr>
        <w:pStyle w:val="Eindnoottekst"/>
        <w:spacing w:line="360" w:lineRule="auto"/>
        <w:rPr>
          <w:rFonts w:ascii="Times New Roman" w:hAnsi="Times New Roman" w:cs="Times New Roman"/>
          <w:sz w:val="24"/>
          <w:szCs w:val="24"/>
          <w:lang w:val="en-GB"/>
        </w:rPr>
      </w:pPr>
      <w:r w:rsidRPr="00333635">
        <w:rPr>
          <w:rStyle w:val="Eindnootmarkering"/>
          <w:rFonts w:ascii="Times New Roman" w:hAnsi="Times New Roman" w:cs="Times New Roman"/>
          <w:sz w:val="24"/>
          <w:szCs w:val="24"/>
        </w:rPr>
        <w:endnoteRef/>
      </w:r>
      <w:r w:rsidRPr="00333635">
        <w:rPr>
          <w:rFonts w:ascii="Times New Roman" w:hAnsi="Times New Roman" w:cs="Times New Roman"/>
          <w:sz w:val="24"/>
          <w:szCs w:val="24"/>
          <w:lang w:val="en-GB"/>
        </w:rPr>
        <w:t xml:space="preserve"> The “index” is a semiotic concept drawn from the work of C.S. Peirce </w:t>
      </w:r>
      <w:r w:rsidRPr="00333635">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{"citationID":"LUNS42DJ","properties":{"formattedCitation":"(Peirce 1991)","plainCitation":"(Peirce 1991)","noteIndex":3},"citationItems":[{"id":155,"uris":["http://zotero.org/users/4953069/items/ZRGBUR7R"],"uri":["http://zotero.org/users/4953069/items/ZRGBUR7R"],"itemData":{"id":155,"type":"chapter","title":"On a New List of Categories","container-title":"Peirce on Signs: Writings on Semiotic by Charles Sanders Peirce","publisher":"University of North Carolina Press","publisher-place":"London","page":"23-33","event-place":"London","author":[{"family":"Peirce","given":"Charles Sanders"}],"editor":[{"family":"Hoopes","given":"James"}],"issued":{"date-parts":[["1991"]]}}}],"schema":"https://github.com/citation-style-language/schema/raw/master/csl-citation.json"} </w:instrText>
      </w:r>
      <w:r w:rsidRPr="00333635">
        <w:rPr>
          <w:rFonts w:ascii="Times New Roman" w:hAnsi="Times New Roman" w:cs="Times New Roman"/>
          <w:sz w:val="24"/>
          <w:szCs w:val="24"/>
          <w:lang w:val="en-GB"/>
        </w:rPr>
        <w:fldChar w:fldCharType="separate"/>
      </w:r>
      <w:r w:rsidRPr="00333635">
        <w:rPr>
          <w:rFonts w:ascii="Times New Roman" w:hAnsi="Times New Roman" w:cs="Times New Roman"/>
          <w:sz w:val="24"/>
          <w:szCs w:val="24"/>
          <w:lang w:val="en-GB"/>
        </w:rPr>
        <w:t>(Peirce 1991)</w:t>
      </w:r>
      <w:r w:rsidRPr="00333635">
        <w:rPr>
          <w:rFonts w:ascii="Times New Roman" w:hAnsi="Times New Roman" w:cs="Times New Roman"/>
          <w:sz w:val="24"/>
          <w:szCs w:val="24"/>
          <w:lang w:val="en-GB"/>
        </w:rPr>
        <w:fldChar w:fldCharType="end"/>
      </w:r>
      <w:r w:rsidRPr="00333635">
        <w:rPr>
          <w:rFonts w:ascii="Times New Roman" w:hAnsi="Times New Roman" w:cs="Times New Roman"/>
          <w:sz w:val="24"/>
          <w:szCs w:val="24"/>
          <w:lang w:val="en-GB"/>
        </w:rPr>
        <w:t>, signifying a relation of sign to signified dependent on causation  or contiguity; smoke is an index of fire (causation), but a pointing finger is also an index of the thing at which it points (contiguity).</w:t>
      </w:r>
    </w:p>
  </w:endnote>
  <w:endnote w:id="4">
    <w:p w14:paraId="2CF8C508" w14:textId="580A6C5D" w:rsidR="00996481" w:rsidRPr="00333635" w:rsidRDefault="00996481" w:rsidP="00333635">
      <w:pPr>
        <w:pStyle w:val="Eindnoottekst"/>
        <w:spacing w:line="360" w:lineRule="auto"/>
        <w:rPr>
          <w:rFonts w:ascii="Times New Roman" w:hAnsi="Times New Roman" w:cs="Times New Roman"/>
          <w:sz w:val="24"/>
          <w:szCs w:val="24"/>
          <w:lang w:val="en-GB"/>
        </w:rPr>
      </w:pPr>
      <w:r w:rsidRPr="00333635">
        <w:rPr>
          <w:rStyle w:val="Eindnootmarkering"/>
          <w:rFonts w:ascii="Times New Roman" w:hAnsi="Times New Roman" w:cs="Times New Roman"/>
          <w:sz w:val="24"/>
          <w:szCs w:val="24"/>
        </w:rPr>
        <w:endnoteRef/>
      </w:r>
      <w:r w:rsidRPr="00333635">
        <w:rPr>
          <w:rFonts w:ascii="Times New Roman" w:hAnsi="Times New Roman" w:cs="Times New Roman"/>
          <w:sz w:val="24"/>
          <w:szCs w:val="24"/>
          <w:lang w:val="en-GB"/>
        </w:rPr>
        <w:t xml:space="preserve"> Of course such concepts of realism and fidelity are themselves subject to historical variation, see </w:t>
      </w:r>
      <w:r w:rsidRPr="00333635">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{"citationID":"2V2bzPdM","properties":{"formattedCitation":"(Thompson 1995)","plainCitation":"(Thompson 1995)","dontUpdate":true,"noteIndex":4},"citationItems":[{"id":370,"uris":["http://zotero.org/users/4953069/items/9FRKNS5H"],"uri":["http://zotero.org/users/4953069/items/9FRKNS5H"],"itemData":{"id":370,"type":"article-journal","title":"Machines, Music, and the Quest for Fidelity: Marketing the Edison Phonograph in America, 1877-1925","container-title":"The Musical Quarterly","page":"131-171","volume":"79","issue":"1","source":"JSTOR","ISSN":"0027-4631","shortTitle":"Machines, Music, and the Quest for Fidelity","author":[{"family":"Thompson","given":"Emily"}],"issued":{"date-parts":[["1995"]]}}}],"schema":"https://github.com/citation-style-language/schema/raw/master/csl-citation.json"} </w:instrText>
      </w:r>
      <w:r w:rsidRPr="00333635">
        <w:rPr>
          <w:rFonts w:ascii="Times New Roman" w:hAnsi="Times New Roman" w:cs="Times New Roman"/>
          <w:sz w:val="24"/>
          <w:szCs w:val="24"/>
          <w:lang w:val="en-GB"/>
        </w:rPr>
        <w:fldChar w:fldCharType="separate"/>
      </w:r>
      <w:r w:rsidRPr="00333635">
        <w:rPr>
          <w:rFonts w:ascii="Times New Roman" w:hAnsi="Times New Roman" w:cs="Times New Roman"/>
          <w:sz w:val="24"/>
          <w:szCs w:val="24"/>
          <w:lang w:val="en-GB"/>
        </w:rPr>
        <w:t>for instance Thompson 1995</w:t>
      </w:r>
      <w:r w:rsidRPr="00333635">
        <w:rPr>
          <w:rFonts w:ascii="Times New Roman" w:hAnsi="Times New Roman" w:cs="Times New Roman"/>
          <w:sz w:val="24"/>
          <w:szCs w:val="24"/>
          <w:lang w:val="en-GB"/>
        </w:rPr>
        <w:fldChar w:fldCharType="end"/>
      </w:r>
      <w:r w:rsidRPr="00333635">
        <w:rPr>
          <w:rFonts w:ascii="Times New Roman" w:hAnsi="Times New Roman" w:cs="Times New Roman"/>
          <w:sz w:val="24"/>
          <w:szCs w:val="24"/>
          <w:lang w:val="en-GB"/>
        </w:rPr>
        <w:t>.</w:t>
      </w:r>
    </w:p>
  </w:endnote>
  <w:endnote w:id="5">
    <w:p w14:paraId="55FFDD81" w14:textId="774657F9" w:rsidR="00996481" w:rsidRPr="00333635" w:rsidRDefault="00996481" w:rsidP="00333635">
      <w:pPr>
        <w:pStyle w:val="Eindnoottekst"/>
        <w:spacing w:line="360" w:lineRule="auto"/>
        <w:rPr>
          <w:rFonts w:ascii="Times New Roman" w:hAnsi="Times New Roman" w:cs="Times New Roman"/>
          <w:sz w:val="24"/>
          <w:szCs w:val="24"/>
          <w:lang w:val="en-GB"/>
        </w:rPr>
      </w:pPr>
      <w:r w:rsidRPr="00333635">
        <w:rPr>
          <w:rStyle w:val="Eindnootmarkering"/>
          <w:rFonts w:ascii="Times New Roman" w:hAnsi="Times New Roman" w:cs="Times New Roman"/>
          <w:sz w:val="24"/>
          <w:szCs w:val="24"/>
        </w:rPr>
        <w:endnoteRef/>
      </w:r>
      <w:r w:rsidRPr="00333635">
        <w:rPr>
          <w:rFonts w:ascii="Times New Roman" w:hAnsi="Times New Roman" w:cs="Times New Roman"/>
          <w:sz w:val="24"/>
          <w:szCs w:val="24"/>
          <w:lang w:val="en-GB"/>
        </w:rPr>
        <w:t xml:space="preserve"> This may has to do with the nostalgia and fantasy identified by </w:t>
      </w:r>
      <w:proofErr w:type="spellStart"/>
      <w:r w:rsidRPr="00333635">
        <w:rPr>
          <w:rFonts w:ascii="Times New Roman" w:hAnsi="Times New Roman" w:cs="Times New Roman"/>
          <w:sz w:val="24"/>
          <w:szCs w:val="24"/>
          <w:lang w:val="en-GB"/>
        </w:rPr>
        <w:t>Rasula</w:t>
      </w:r>
      <w:proofErr w:type="spellEnd"/>
      <w:r w:rsidRPr="00333635">
        <w:rPr>
          <w:rFonts w:ascii="Times New Roman" w:hAnsi="Times New Roman" w:cs="Times New Roman"/>
          <w:sz w:val="24"/>
          <w:szCs w:val="24"/>
          <w:lang w:val="en-GB"/>
        </w:rPr>
        <w:t xml:space="preserve">; nostalgia and colonial fantasies are important themes in studies of collection as they represent a “longing for an impossibly pure context of lived experience at a place of origin, […] a past which has only ideological reality.” </w:t>
      </w:r>
      <w:r w:rsidRPr="00333635">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{"citationID":"UsVy4fkH","properties":{"formattedCitation":"(Stewart 1984)","plainCitation":"(Stewart 1984)","dontUpdate":true,"noteIndex":5},"citationItems":[{"id":320,"uris":["http://zotero.org/users/4953069/items/CB26XNCC"],"uri":["http://zotero.org/users/4953069/items/CB26XNCC"],"itemData":{"id":320,"type":"book","title":"On Longing: Narratives of the Miniature, the Gigantic, the Souvenir, the Collection","publisher":"Duke University Press","publisher-place":"Durham","number-of-pages":"236","source":"Google Books","event-place":"Durham","abstract":"Miniature books, eighteenth-century novels, Tom Thumb weddings, tall tales, and objects of tourism and nostalgia: this diverse group of cultural forms is the subject of On Longing, a fascinating analysis of the ways in which everyday objects are narrated to animate or realize certain versions of the world. Originally published in 1984 (Johns Hopkins University Press), and now available in paperback for the first time, this highly original book draws on insights from semiotics and from psychoanalytic, feminist, and Marxist criticism. Addressing the relations of language to experience, the body to scale, and narratives to objects, Susan Stewart looks at the \"miniature\" as a metaphor for interiority and at the \"gigantic\" as an exaggeration of aspects of the exterior. In the final part of her essay Stewart examines the ways in which the \"souvenir\" and the \"collection\" are objects mediating experience in time and space.","ISBN":"978-0-8223-1366-3","note":"Google-Books-ID: DtLTTAYvBFkC","shortTitle":"On Longing","language":"en","author":[{"family":"Stewart","given":"Susan"}],"issued":{"date-parts":[["1984"]]}}}],"schema":"https://github.com/citation-style-language/schema/raw/master/csl-citation.json"} </w:instrText>
      </w:r>
      <w:r w:rsidRPr="00333635">
        <w:rPr>
          <w:rFonts w:ascii="Times New Roman" w:hAnsi="Times New Roman" w:cs="Times New Roman"/>
          <w:sz w:val="24"/>
          <w:szCs w:val="24"/>
          <w:lang w:val="en-GB"/>
        </w:rPr>
        <w:fldChar w:fldCharType="separate"/>
      </w:r>
      <w:r w:rsidRPr="00333635">
        <w:rPr>
          <w:rFonts w:ascii="Times New Roman" w:hAnsi="Times New Roman" w:cs="Times New Roman"/>
          <w:sz w:val="24"/>
          <w:szCs w:val="24"/>
        </w:rPr>
        <w:t>(Stewart 1984: 23,</w:t>
      </w:r>
      <w:r w:rsidRPr="00333635">
        <w:rPr>
          <w:rFonts w:ascii="Times New Roman" w:hAnsi="Times New Roman" w:cs="Times New Roman"/>
          <w:sz w:val="24"/>
          <w:szCs w:val="24"/>
          <w:lang w:val="en-GB"/>
        </w:rPr>
        <w:fldChar w:fldCharType="end"/>
      </w:r>
      <w:r w:rsidRPr="00333635">
        <w:rPr>
          <w:rFonts w:ascii="Times New Roman" w:hAnsi="Times New Roman" w:cs="Times New Roman"/>
          <w:sz w:val="24"/>
          <w:szCs w:val="24"/>
          <w:lang w:val="en-GB"/>
        </w:rPr>
        <w:t xml:space="preserve"> see also </w:t>
      </w:r>
      <w:r w:rsidRPr="00333635">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{"citationID":"iA6Aw8MK","properties":{"formattedCitation":"(Clifford 1988; Cardinal 2004; Pearce 2013)","plainCitation":"(Clifford 1988; Cardinal 2004; Pearce 2013)","dontUpdate":true,"noteIndex":5},"citationItems":[{"id":318,"uris":["http://zotero.org/users/4953069/items/5TGQH6VB"],"uri":["http://zotero.org/users/4953069/items/5TGQH6VB"],"itemData":{"id":318,"type":"chapter","title":"On Collecting Art and Culture","container-title":"The Predicament of Culture","publisher":"Harvard University Press","publisher-place":"Cambridge, MA","page":"215-251","source":"Google Books","event-place":"Cambridge, MA","abstract":"The Predicament of Culture is a critical ethnography of the West in its changing relations with other societies. Analyzing cultural practices such as anthropology, travel writing, collecting, and museum displays of tribal art, Clifford shows authoritative accounts of other ways of life to be contingent fictions, now actively contested in postcolonial contexts. In discussions of ethnography, surrealism, museums, and emergent tribal arts, Clifford probes the late twentieth-century predicament of living simultaneously within, between, and after culture.","ISBN":"978-0-674-69843-7","note":"Google-Books-ID: vvQXBAAAQBAJ","language":"en","author":[{"family":"Clifford","given":"James"}],"issued":{"date-parts":[["1988",5,18]]}}},{"id":153,"uris":["http://zotero.org/users/4953069/items/SSBXEGHW"],"uri":["http://zotero.org/users/4953069/items/SSBXEGHW"],"itemData":{"id":153,"type":"book","title":"Cultures of Collecting","publisher":"Reaktion Books","publisher-place":"London","number-of-pages":"453","source":"Google Books","event-place":"London","abstract":"This book traces the psychology, history and theory of the compulsion to collect, focusing not just on the normative collections of the Western canon, but also on collections that reflect a fascination with the \"Other\" and the marginal – the ephemeral, exotic, or just plain curious.  There are essays on the Neoclassical architect Sir John Soane, Sigmund Freud and Kurt Schwitters, one of the masters of collage. Others examine imperialist encounters with remote cultures – the consquitadors in America in the sixteenth century, and the British in the Pacific in the eighteenth – and the more recent collectors of popular culture, be they of Swatch watches, Elvis Presley memorabilia or of packaging and advertising.  With essays by Jean Baudrillard, Thomas DaCosta Kaufmann, Nicholas Thomas, Mieke Bal, John Forrester, John Windsor, Naomi Schor, Susan Stewart, Anthony Alan Shelton, John Elsner, Roger Cardinal and an interview with Robert Opie.","ISBN":"978-1-86189-421-2","language":"en","editor":[{"family":"Elsner","given":"John"},{"family":"Cardinal","given":"Roger"}],"issued":{"date-parts":[["2004",9,2]]}}},{"id":319,"uris":["http://zotero.org/users/4953069/items/WN6EHKEJ"],"uri":["http://zotero.org/users/4953069/items/WN6EHKEJ"],"itemData":{"id":319,"type":"book","title":"On Collecting: An Investigation Into Collecting in the European Tradition","publisher":"Routledge","publisher-place":"London","number-of-pages":"448","source":"Google Books","event-place":"London","abstract":"On Collecting examines the nature of collecting both in Europe and among people living within the European tradition elsewhere.Susan Pearce looks at the way we collect and what this tells us about ourselves and our society. She also explores the psychology of collecting: why do we bestow value on certain objects and how does this add meaning to our lives? Do men and women collect differently? How do we use objects to construct our identity?This book breaks new ground in its analysis of our relationship to the material world.","ISBN":"978-1-135-90809-6","note":"Google-Books-ID: mdXWAQAAQBAJ","shortTitle":"On Collecting","language":"en","author":[{"family":"Pearce","given":"Susan"}],"issued":{"date-parts":[["2013",10,28]]}}}],"schema":"https://github.com/citation-style-language/schema/raw/master/csl-citation.json"} </w:instrText>
      </w:r>
      <w:r w:rsidRPr="00333635">
        <w:rPr>
          <w:rFonts w:ascii="Times New Roman" w:hAnsi="Times New Roman" w:cs="Times New Roman"/>
          <w:sz w:val="24"/>
          <w:szCs w:val="24"/>
          <w:lang w:val="en-GB"/>
        </w:rPr>
        <w:fldChar w:fldCharType="separate"/>
      </w:r>
      <w:r w:rsidRPr="00333635">
        <w:rPr>
          <w:rFonts w:ascii="Times New Roman" w:hAnsi="Times New Roman" w:cs="Times New Roman"/>
          <w:sz w:val="24"/>
          <w:szCs w:val="24"/>
          <w:lang w:val="en-GB"/>
        </w:rPr>
        <w:t>Clifford 1988; Elsner and Cardinal 2004; Pearce 2013)</w:t>
      </w:r>
      <w:r w:rsidRPr="00333635">
        <w:rPr>
          <w:rFonts w:ascii="Times New Roman" w:hAnsi="Times New Roman" w:cs="Times New Roman"/>
          <w:sz w:val="24"/>
          <w:szCs w:val="24"/>
          <w:lang w:val="en-GB"/>
        </w:rPr>
        <w:fldChar w:fldCharType="end"/>
      </w:r>
      <w:r w:rsidRPr="00333635">
        <w:rPr>
          <w:rFonts w:ascii="Times New Roman" w:hAnsi="Times New Roman" w:cs="Times New Roman"/>
          <w:sz w:val="24"/>
          <w:szCs w:val="24"/>
          <w:lang w:val="en-GB"/>
        </w:rPr>
        <w:t>.</w:t>
      </w:r>
    </w:p>
  </w:endnote>
  <w:endnote w:id="6">
    <w:p w14:paraId="0B178ADD" w14:textId="61279C35" w:rsidR="00996481" w:rsidRPr="00333635" w:rsidRDefault="00996481" w:rsidP="00333635">
      <w:pPr>
        <w:pStyle w:val="Eindnoottekst"/>
        <w:spacing w:line="360" w:lineRule="auto"/>
        <w:rPr>
          <w:rFonts w:ascii="Times New Roman" w:hAnsi="Times New Roman" w:cs="Times New Roman"/>
          <w:sz w:val="24"/>
          <w:szCs w:val="24"/>
          <w:lang w:val="en-GB"/>
        </w:rPr>
      </w:pPr>
      <w:r w:rsidRPr="00333635">
        <w:rPr>
          <w:rStyle w:val="Eindnootmarkering"/>
          <w:rFonts w:ascii="Times New Roman" w:hAnsi="Times New Roman" w:cs="Times New Roman"/>
          <w:sz w:val="24"/>
          <w:szCs w:val="24"/>
        </w:rPr>
        <w:endnoteRef/>
      </w:r>
      <w:r w:rsidRPr="00333635">
        <w:rPr>
          <w:rFonts w:ascii="Times New Roman" w:hAnsi="Times New Roman" w:cs="Times New Roman"/>
          <w:sz w:val="24"/>
          <w:szCs w:val="24"/>
          <w:lang w:val="en-GB"/>
        </w:rPr>
        <w:t xml:space="preserve"> Recent work on the materiality of photography, which concerns itself not with photography as representation but with photographs as objects that are cherished, collected, and exchanged, has similarly sought such a grounded understanding of archives. From this work, the photographic archive—as might the jazz archive—emerges not just as a site of “disciplinary regulation and enclosure” </w:t>
      </w:r>
      <w:r w:rsidRPr="00333635">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{"citationID":"IYxm9JlJ","properties":{"formattedCitation":"(Edwards 2001)","plainCitation":"(Edwards 2001)","dontUpdate":true,"noteIndex":6},"citationItems":[{"id":314,"uris":["http://zotero.org/users/4953069/items/Z3HXSKI4"],"uri":["http://zotero.org/users/4953069/items/Z3HXSKI4"],"itemData":{"id":314,"type":"book","title":"Raw Histories: Photographs, Anthropology and Museums","publisher":"Bloomsbury Academic","publisher-place":"New York","number-of-pages":"292","source":"Google Books","event-place":"New York","abstract":"Photographs have had an integral and complex role in many anthropological contexts, from fieldwork to museum exhibitions. This book explores how approaching anthropological photographs as 'history' can offer both theoretical and empirical insights into these roles. Photographs are thought to make problematic history because of their ambiguity and 'rawness'. In short, they have too many meanings. The author refutes this prejudice by exploring, through a series of case studies, precisely the potential of this raw quality to open up new perspectives.Taking the nature of photography as her starting point, the author argues that photographs are not merely pictures of things but are part of a dynamic and fluid historical dialogue, which is active not only in the creation of the photograph but in its subsequent social biography in archive and museum spaces, past and present. In this context, the book challenges any uniform view of anthropological photography and its resulting archives. Drawing on a variety of examples, largely from the Pacific, the book demonstrates how close readings of photographs reveal not only western agendas, but also many layers of differing historical and cross-cultural experiences. That is, photographs can 'spring leaks' to show an alternative viewpoint. These themes are developed further by examining the dynamics of photographs and issues around them as used by contemporary artists and curators and presented to an increasingly varied public.This book convincingly demonstrates photographs' potential to articulate histories other than those of their immediate appearances, a potential that can no longer be neglected by scholars and institutions.","ISBN":"978-1-85973-497-1","shortTitle":"Raw Histories","language":"en","author":[{"family":"Edwards","given":"Elizabeth"}],"issued":{"date-parts":[["2001",5,1]]}}}],"schema":"https://github.com/citation-style-language/schema/raw/master/csl-citation.json"} </w:instrText>
      </w:r>
      <w:r w:rsidRPr="00333635">
        <w:rPr>
          <w:rFonts w:ascii="Times New Roman" w:hAnsi="Times New Roman" w:cs="Times New Roman"/>
          <w:sz w:val="24"/>
          <w:szCs w:val="24"/>
          <w:lang w:val="en-GB"/>
        </w:rPr>
        <w:fldChar w:fldCharType="separate"/>
      </w:r>
      <w:r w:rsidRPr="00333635">
        <w:rPr>
          <w:rFonts w:ascii="Times New Roman" w:hAnsi="Times New Roman" w:cs="Times New Roman"/>
          <w:sz w:val="24"/>
          <w:szCs w:val="24"/>
          <w:lang w:val="en-GB"/>
        </w:rPr>
        <w:t>(Edwards 2001: 4)</w:t>
      </w:r>
      <w:r w:rsidRPr="00333635">
        <w:rPr>
          <w:rFonts w:ascii="Times New Roman" w:hAnsi="Times New Roman" w:cs="Times New Roman"/>
          <w:sz w:val="24"/>
          <w:szCs w:val="24"/>
          <w:lang w:val="en-GB"/>
        </w:rPr>
        <w:fldChar w:fldCharType="end"/>
      </w:r>
      <w:r w:rsidRPr="00333635">
        <w:rPr>
          <w:rFonts w:ascii="Times New Roman" w:hAnsi="Times New Roman" w:cs="Times New Roman"/>
          <w:sz w:val="24"/>
          <w:szCs w:val="24"/>
          <w:lang w:val="en-GB"/>
        </w:rPr>
        <w:t xml:space="preserve"> or “an agent of surveillance and oppression” </w:t>
      </w:r>
      <w:r w:rsidRPr="00333635">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{"citationID":"Mcj4uoHA","properties":{"formattedCitation":"(Vestberg 2008)","plainCitation":"(Vestberg 2008)","dontUpdate":true,"noteIndex":6},"citationItems":[{"id":197,"uris":["http://zotero.org/users/4953069/items/AWNM6ITT"],"uri":["http://zotero.org/users/4953069/items/AWNM6ITT"],"itemData":{"id":197,"type":"article-journal","title":"Archival Value","container-title":"Photographies","page":"49-65","volume":"1","issue":"1","source":"Taylor and Francis+NEJM","abstract":"In light of the recent material turn in photography studies, this article proposes a reconsideration of two of its favourite tropes: the index and the archive. It argues for a reconception of indexicality that privileges the referent associated with the photographic object, as opposed to the photographic image, with reference to contemporary repackaging of erstwhile ephemeral and disposable photographic prints in the context of both the art museum and auction house. Then, through a reading of Stephen Poliakoff's television drama Shooting the Past, which centres on a photographic collection, it sketches out a new perspective on the embodied experience of the physical archive, which is increasingly under threat of replacement by the virtual image repository of the digital database.","DOI":"10.1080/17540760701786725","ISSN":"1754-0763","author":[{"family":"Vestberg","given":"Nina Lager"}],"issued":{"date-parts":[["2008",3,1]]}}}],"schema":"https://github.com/citation-style-language/schema/raw/master/csl-citation.json"} </w:instrText>
      </w:r>
      <w:r w:rsidRPr="00333635">
        <w:rPr>
          <w:rFonts w:ascii="Times New Roman" w:hAnsi="Times New Roman" w:cs="Times New Roman"/>
          <w:sz w:val="24"/>
          <w:szCs w:val="24"/>
          <w:lang w:val="en-GB"/>
        </w:rPr>
        <w:fldChar w:fldCharType="separate"/>
      </w:r>
      <w:r w:rsidRPr="00333635">
        <w:rPr>
          <w:rFonts w:ascii="Times New Roman" w:hAnsi="Times New Roman" w:cs="Times New Roman"/>
          <w:sz w:val="24"/>
          <w:szCs w:val="24"/>
          <w:lang w:val="en-GB"/>
        </w:rPr>
        <w:t>(Vestberg 2008: 58)</w:t>
      </w:r>
      <w:r w:rsidRPr="00333635">
        <w:rPr>
          <w:rFonts w:ascii="Times New Roman" w:hAnsi="Times New Roman" w:cs="Times New Roman"/>
          <w:sz w:val="24"/>
          <w:szCs w:val="24"/>
          <w:lang w:val="en-GB"/>
        </w:rPr>
        <w:fldChar w:fldCharType="end"/>
      </w:r>
      <w:r w:rsidRPr="00333635">
        <w:rPr>
          <w:rFonts w:ascii="Times New Roman" w:hAnsi="Times New Roman" w:cs="Times New Roman"/>
          <w:sz w:val="24"/>
          <w:szCs w:val="24"/>
          <w:lang w:val="en-GB"/>
        </w:rPr>
        <w:t xml:space="preserve"> but (also) as a more heterogeneous, dynamic, and contingent space that is not only itself dependent on networks of exchange that imbue objects with meaning, but may because of this contingency also be the source of new ways of writing history.</w:t>
      </w:r>
    </w:p>
  </w:endnote>
  <w:endnote w:id="7">
    <w:p w14:paraId="1604C430" w14:textId="5E898006" w:rsidR="00996481" w:rsidRPr="00333635" w:rsidRDefault="00996481" w:rsidP="00333635">
      <w:pPr>
        <w:pStyle w:val="Eindnoottekst"/>
        <w:spacing w:line="360" w:lineRule="auto"/>
        <w:rPr>
          <w:rFonts w:ascii="Times New Roman" w:hAnsi="Times New Roman" w:cs="Times New Roman"/>
          <w:sz w:val="24"/>
          <w:szCs w:val="24"/>
          <w:lang w:val="en-GB"/>
        </w:rPr>
      </w:pPr>
      <w:r w:rsidRPr="00333635">
        <w:rPr>
          <w:rStyle w:val="Eindnootmarkering"/>
          <w:rFonts w:ascii="Times New Roman" w:hAnsi="Times New Roman" w:cs="Times New Roman"/>
          <w:sz w:val="24"/>
          <w:szCs w:val="24"/>
        </w:rPr>
        <w:endnoteRef/>
      </w:r>
      <w:r w:rsidRPr="00333635">
        <w:rPr>
          <w:rFonts w:ascii="Times New Roman" w:hAnsi="Times New Roman" w:cs="Times New Roman"/>
          <w:sz w:val="24"/>
          <w:szCs w:val="24"/>
          <w:lang w:val="en-GB"/>
        </w:rPr>
        <w:t xml:space="preserve"> Studies of domestication, which investigate how technologies become embedded in everyday practices, have been an important source of arguments against technological determinism, see </w:t>
      </w:r>
      <w:r w:rsidRPr="00333635">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{"citationID":"SKsyaErn","properties":{"formattedCitation":"(Silverstone and Hirsch 1992; Berker et al. 2006)","plainCitation":"(Silverstone and Hirsch 1992; Berker et al. 2006)","dontUpdate":true,"noteIndex":7},"citationItems":[{"id":194,"uris":["http://zotero.org/users/4953069/items/VPKQI4VH"],"uri":["http://zotero.org/users/4953069/items/VPKQI4VH"],"itemData":{"id":194,"type":"book","title":"Consuming Technologies: Media and Information in Domestic Spaces","publisher":"Routledge","publisher-place":"London","number-of-pages":"264","source":"Google Books","event-place":"London","abstract":"Consuming Technologies opens for analysis some crucial but rarely examined areas of social, cultural and economic life. At its core is a concern with the complex set of relationships that mark and define the place of the domestic in the modern world, and an explanation of the relationship between the domestic and public spheres as they are mediated by consumption and technology.","ISBN":"978-0-415-06990-8","note":"Google-Books-ID: bqXBoC4kjKgC","shortTitle":"Consuming Technologies","language":"en","editor":[{"family":"Silverstone","given":"Roger"},{"family":"Hirsch","given":"Eric"}],"issued":{"date-parts":[["1992"]]}}},{"id":193,"uris":["http://zotero.org/users/4953069/items/98JXZZ99"],"uri":["http://zotero.org/users/4953069/items/98JXZZ99"],"itemData":{"id":193,"type":"book","title":"Domestication of media and technology","publisher":"Open University Press","publisher-place":"Maidenhead","number-of-pages":"255","source":"aleph.library.uu.nl Library Catalog","event-place":"Maidenhead","ISBN":"978-0-335-21769-4","call-number":"646.6","language":"eng","editor":[{"family":"Berker","given":"Thomas"},{"family":"Hartmann","given":"Maren"},{"family":"Punie","given":"Yves"},{"family":"Ward","given":""}],"issued":{"date-parts":[["2006"]]}}}],"schema":"https://github.com/citation-style-language/schema/raw/master/csl-citation.json"} </w:instrText>
      </w:r>
      <w:r w:rsidRPr="00333635">
        <w:rPr>
          <w:rFonts w:ascii="Times New Roman" w:hAnsi="Times New Roman" w:cs="Times New Roman"/>
          <w:sz w:val="24"/>
          <w:szCs w:val="24"/>
          <w:lang w:val="en-GB"/>
        </w:rPr>
        <w:fldChar w:fldCharType="separate"/>
      </w:r>
      <w:r w:rsidRPr="00333635">
        <w:rPr>
          <w:rFonts w:ascii="Times New Roman" w:hAnsi="Times New Roman" w:cs="Times New Roman"/>
          <w:sz w:val="24"/>
          <w:szCs w:val="24"/>
          <w:lang w:val="en-GB"/>
        </w:rPr>
        <w:t>Silverstone and Hirsch 1992; Berker et al. 2006</w:t>
      </w:r>
      <w:r w:rsidRPr="00333635">
        <w:rPr>
          <w:rFonts w:ascii="Times New Roman" w:hAnsi="Times New Roman" w:cs="Times New Roman"/>
          <w:sz w:val="24"/>
          <w:szCs w:val="24"/>
          <w:lang w:val="en-GB"/>
        </w:rPr>
        <w:fldChar w:fldCharType="end"/>
      </w:r>
      <w:r w:rsidRPr="00333635">
        <w:rPr>
          <w:rFonts w:ascii="Times New Roman" w:hAnsi="Times New Roman" w:cs="Times New Roman"/>
          <w:sz w:val="24"/>
          <w:szCs w:val="24"/>
          <w:lang w:val="en-GB"/>
        </w:rPr>
        <w:t>.</w:t>
      </w:r>
    </w:p>
  </w:endnote>
  <w:endnote w:id="8">
    <w:p w14:paraId="0AE164D2" w14:textId="1C9A530B" w:rsidR="00996481" w:rsidRPr="00333635" w:rsidRDefault="00996481" w:rsidP="00333635">
      <w:pPr>
        <w:pStyle w:val="Eindnoottekst"/>
        <w:spacing w:line="360" w:lineRule="auto"/>
        <w:rPr>
          <w:rFonts w:ascii="Times New Roman" w:hAnsi="Times New Roman" w:cs="Times New Roman"/>
          <w:sz w:val="24"/>
          <w:szCs w:val="24"/>
          <w:lang w:val="en-GB"/>
        </w:rPr>
      </w:pPr>
      <w:r w:rsidRPr="00333635">
        <w:rPr>
          <w:rStyle w:val="Eindnootmarkering"/>
          <w:rFonts w:ascii="Times New Roman" w:hAnsi="Times New Roman" w:cs="Times New Roman"/>
          <w:sz w:val="24"/>
          <w:szCs w:val="24"/>
        </w:rPr>
        <w:endnoteRef/>
      </w:r>
      <w:r w:rsidRPr="00333635">
        <w:rPr>
          <w:rFonts w:ascii="Times New Roman" w:hAnsi="Times New Roman" w:cs="Times New Roman"/>
          <w:sz w:val="24"/>
          <w:szCs w:val="24"/>
          <w:lang w:val="en-GB"/>
        </w:rPr>
        <w:t xml:space="preserve"> Media archaeology studies the cultural “remains” of old media in the present, for instance through the “excavation” of new media to uncover their historical predecessors </w:t>
      </w:r>
      <w:r w:rsidRPr="00333635">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{"citationID":"FP150Agg","properties":{"formattedCitation":"(Kittler 1990; Zielinski 2008; Huhtamo and Parikka 2011; Parikka 2012)","plainCitation":"(Kittler 1990; Zielinski 2008; Huhtamo and Parikka 2011; Parikka 2012)","noteIndex":8},"citationItems":[{"id":689,"uris":["http://zotero.org/users/4953069/items/A44CWF5P"],"uri":["http://zotero.org/users/4953069/items/A44CWF5P"],"itemData":{"id":689,"type":"book","title":"Discourse Networks 1800/1900","publisher":"Stanford University Press","publisher-place":"Stanford, CA","number-of-pages":"500","source":"Google Books","event-place":"Stanford, CA","abstract":"This is a highly original book about the connections between historical moment, social structure, technology, communication systems, and what is said and thought using these systems - notably literature. The author focuses on the differences between &amp;#39;discourse networks&amp;#39; in 1800 and in 1900, in the process developing a new analysis of the shift from romanticism to modernism. The work might be classified as a German equivalent to the New Historicism that is currently of great interest among American literary scholars, both in the intellectual influences to which Kittler responds and in his concern to ground literature in the most concrete details of historical reality. The artful structure of the book begins with Goethe&amp;#39;s Faust and ends with Vale;ry&amp;#39;s Faust. In the 1800 section, the author discusses how language was learned, the emergence of the modern university, the associated beginning of the interpretation of contemporary literature, and the canonization of literature. Among the writers and works Kittler analyzes in addition to Goethe&amp;#39;s Faust are Schlegel, Hegel, E. T. A. Hoffman&amp;#39;s &amp;#39;The Golden Pot&amp;#39;, and Goethe&amp;#39;s Tasso. The 1900 section argues that the new discourse network in which literature is situated in the modern period is characterized by new technological media - film, the photograph, and the typewritten page - and the crisis that these caused for literary production. Along the way, the author discusses the work of Nietzsche, Gertrude Stein, Mallarme;, Bram Stroker, the Surrealists, Rilke, Kafka, and Freud, among others.","ISBN":"978-0-8047-2099-1","note":"Google-Books-ID: nRo0Pk8djjoC","language":"en","author":[{"family":"Kittler","given":"Friedrich A."}],"translator":[{"family":"Metteer","given":"Michael"}],"issued":{"date-parts":[["1990"]]}}},{"id":146,"uris":["http://zotero.org/users/4953069/items/FXV9MX2V"],"uri":["http://zotero.org/users/4953069/items/FXV9MX2V"],"itemData":{"id":146,"type":"book","title":"Deep Time of the Media: Toward an Archaeology of Hearing and Seeing by Technical Means","publisher":"MIT Press","publisher-place":"Cambridge, MA","number-of-pages":"375","source":"Google Books","event-place":"Cambridge, MA","abstract":"Deep Time of the Media takes us on an archaeological quest into the hidden layers of media development -- dynamic moments of intense activity in media design and construction that have been largely ignored in the historical-media archaeological record. Siegfried Zielinski argues that the history of the media does not proceed predictably from primitive tools to complex machinery; in  Deep Time of the Media, he illuminates turning points of media history -- fractures in the predictable -- that help us see the new in the old.Drawing on original source materials, Zielinski explores the technology of devices for hearing and seeing through two thousand years of cultural and technological history. He discovers the contributions of \"dreamers and modelers\" of media worlds, from the ancient Greek philosopher Empedocles and natural philosophers of the Renaissance and Baroque periods to Russian avant-gardists of the early twentieth century. \"Media are spaces of action for constructed attempts to connect what is separated,\" Zielinski writes. He describes models and machines that make this connection: including a theater of mirrors in sixteenth-century Naples, an automaton for musical composition created by the seventeenth-century Jesuit Athanasius Kircher, and the eighteenth-century electrical tele-writing machine of Joseph Mazzolari, among others. Uncovering these moments in the media-archaeological record, Zielinski says, brings us into a new relationship with present-day moments; these discoveries in the \"deep time\" media history shed light on today's media landscape and may help us map our expedition to the media future.","ISBN":"978-0-262-74032-6","note":"Google-Books-ID: m9OcPwAACAAJ","shortTitle":"Deep Time of the Media","language":"en","author":[{"family":"Zielinski","given":"Siegfried"}],"issued":{"date-parts":[["2008",2]]}}},{"id":144,"uris":["http://zotero.org/users/4953069/items/RFTB7DWD"],"uri":["http://zotero.org/users/4953069/items/RFTB7DWD"],"itemData":{"id":144,"type":"book","title":"Media Archaeology: Approaches, Applications, and Implications","publisher":"University of California Press","publisher-place":"Berkeley","number-of-pages":"580","source":"Google Books","event-place":"Berkeley","abstract":"This book introduces an archaeological approach to the study of media - one that sifts through the evidence to learn how media were written about, used, designed, preserved, and sometimes discarded. Edited by Erkki Huhtamo and Jussi Parikka, with contributions from internationally prominent scholars from Europe, North America, and Japan, the essays help us understand how the media that predate today’s interactive, digital forms were in their time contested, adopted and embedded in the everyday. Providing a broad overview of the many historical and theoretical facets of Media Archaeology as an emerging field, the book encourages discussion by presenting a full range of different voices. By revisiting ‘old’ or even ‘dead’ media, it provides a richer horizon for understanding ‘new’ media in their complex and often contradictory roles in contemporary society and culture.","ISBN":"978-0-520-94851-8","note":"Google-Books-ID: aSlQ8z1uslwC","shortTitle":"Media Archaeology","language":"en","editor":[{"family":"Huhtamo","given":"Erkki"},{"family":"Parikka","given":"Jussi"}],"issued":{"date-parts":[["2011",6,16]]}}},{"id":143,"uris":["http://zotero.org/users/4953069/items/F6V2PK2A"],"uri":["http://zotero.org/users/4953069/items/F6V2PK2A"],"itemData":{"id":143,"type":"book","title":"What is Media Archaeology?","publisher":"Polity Press","publisher-place":"Cambridge","event-place":"Cambridge","author":[{"family":"Parikka","given":"Jussi"}],"issued":{"date-parts":[["2012"]]}}}],"schema":"https://github.com/citation-style-language/schema/raw/master/csl-citation.json"} </w:instrText>
      </w:r>
      <w:r w:rsidRPr="00333635">
        <w:rPr>
          <w:rFonts w:ascii="Times New Roman" w:hAnsi="Times New Roman" w:cs="Times New Roman"/>
          <w:sz w:val="24"/>
          <w:szCs w:val="24"/>
          <w:lang w:val="en-GB"/>
        </w:rPr>
        <w:fldChar w:fldCharType="separate"/>
      </w:r>
      <w:r w:rsidR="00E9600C" w:rsidRPr="00E9600C">
        <w:rPr>
          <w:rFonts w:ascii="Times New Roman" w:hAnsi="Times New Roman" w:cs="Times New Roman"/>
          <w:sz w:val="24"/>
          <w:lang w:val="en-GB"/>
        </w:rPr>
        <w:t>(Kittler 1990; Zielinski 2008; Huhtamo and Parikka 2011; Parikka 2012)</w:t>
      </w:r>
      <w:r w:rsidRPr="00333635">
        <w:rPr>
          <w:rFonts w:ascii="Times New Roman" w:hAnsi="Times New Roman" w:cs="Times New Roman"/>
          <w:sz w:val="24"/>
          <w:szCs w:val="24"/>
          <w:lang w:val="en-GB"/>
        </w:rPr>
        <w:fldChar w:fldCharType="end"/>
      </w:r>
      <w:r w:rsidRPr="00333635">
        <w:rPr>
          <w:rFonts w:ascii="Times New Roman" w:hAnsi="Times New Roman" w:cs="Times New Roman"/>
          <w:sz w:val="24"/>
          <w:szCs w:val="24"/>
          <w:lang w:val="en-GB"/>
        </w:rPr>
        <w:t>.</w:t>
      </w:r>
    </w:p>
  </w:endnote>
  <w:endnote w:id="9">
    <w:p w14:paraId="2AD7AA7D" w14:textId="5E780DB3" w:rsidR="00996481" w:rsidRPr="00333635" w:rsidRDefault="00996481" w:rsidP="00333635">
      <w:pPr>
        <w:pStyle w:val="Eindnoottekst"/>
        <w:spacing w:line="360" w:lineRule="auto"/>
        <w:rPr>
          <w:rFonts w:ascii="Times New Roman" w:hAnsi="Times New Roman" w:cs="Times New Roman"/>
          <w:sz w:val="24"/>
          <w:szCs w:val="24"/>
          <w:lang w:val="en-GB"/>
        </w:rPr>
      </w:pPr>
      <w:r w:rsidRPr="00333635">
        <w:rPr>
          <w:rStyle w:val="Eindnootmarkering"/>
          <w:rFonts w:ascii="Times New Roman" w:hAnsi="Times New Roman" w:cs="Times New Roman"/>
          <w:sz w:val="24"/>
          <w:szCs w:val="24"/>
        </w:rPr>
        <w:endnoteRef/>
      </w:r>
      <w:r w:rsidRPr="00333635">
        <w:rPr>
          <w:rFonts w:ascii="Times New Roman" w:hAnsi="Times New Roman" w:cs="Times New Roman"/>
          <w:sz w:val="24"/>
          <w:szCs w:val="24"/>
          <w:lang w:val="en-GB"/>
        </w:rPr>
        <w:t xml:space="preserve"> The term “affordance” derives from James Gibson’s </w:t>
      </w:r>
      <w:r w:rsidRPr="00333635">
        <w:rPr>
          <w:rFonts w:ascii="Times New Roman" w:hAnsi="Times New Roman" w:cs="Times New Roman"/>
          <w:sz w:val="24"/>
          <w:szCs w:val="24"/>
          <w:lang w:val="en-GB"/>
        </w:rPr>
        <w:fldChar w:fldCharType="begin"/>
      </w:r>
      <w:r w:rsidR="00E9600C">
        <w:rPr>
          <w:rFonts w:ascii="Times New Roman" w:hAnsi="Times New Roman" w:cs="Times New Roman"/>
          <w:sz w:val="24"/>
          <w:szCs w:val="24"/>
          <w:lang w:val="en-GB"/>
        </w:rPr>
        <w:instrText xml:space="preserve"> ADDIN ZOTERO_ITEM CSL_CITATION {"citationID":"QSmaoWwx","properties":{"formattedCitation":"(Gibson 2014)","plainCitation":"(Gibson 2014)","dontUpdate":true,"noteIndex":9},"citationItems":[{"id":343,"uris":["http://zotero.org/users/4953069/items/H364VBKQ"],"uri":["http://zotero.org/users/4953069/items/H364VBKQ"],"itemData":{"id":343,"type":"book","title":"The Ecological Approach to Visual Perception: Classic Edition","publisher":"Psychology Press","publisher-place":"New York","number-of-pages":"347","source":"Google Books","event-place":"New York","abstract":"This book, first published in 1979, is about how we see: the environment around us (its surfaces, their layout, and their colors and textures); where we are in the environment; whether or not we are moving and, if we are, where we are going; what things are good for; how to do things (to thread a needle or drive an automobile); or why things look as they do. The basic assumption is that vision depends on the eye which is connected to the brain. The author suggests that natural vision depends on the eyes in the head on a body supported by the ground, the brain being only the central organ of a complete visual system. When no constraints are put on the visual system, people look around, walk up to something interesting and move around it so as to see it from all sides, and go from one vista to another. That is natural vision -- and what this book is about.","ISBN":"978-1-317-57938-0","note":"Google-Books-ID: 8BSLBQAAQBAJ","shortTitle":"The Ecological Approach to Visual Perception","language":"en","author":[{"family":"Gibson","given":"James J."}],"issued":{"date-parts":[["2014"]]}}}],"schema":"https://github.com/citation-style-language/schema/raw/master/csl-citation.json"} </w:instrText>
      </w:r>
      <w:r w:rsidRPr="00333635">
        <w:rPr>
          <w:rFonts w:ascii="Times New Roman" w:hAnsi="Times New Roman" w:cs="Times New Roman"/>
          <w:sz w:val="24"/>
          <w:szCs w:val="24"/>
          <w:lang w:val="en-GB"/>
        </w:rPr>
        <w:fldChar w:fldCharType="separate"/>
      </w:r>
      <w:r w:rsidRPr="00333635">
        <w:rPr>
          <w:rFonts w:ascii="Times New Roman" w:hAnsi="Times New Roman" w:cs="Times New Roman"/>
          <w:sz w:val="24"/>
          <w:szCs w:val="24"/>
          <w:lang w:val="en-GB"/>
        </w:rPr>
        <w:t>(2014)</w:t>
      </w:r>
      <w:r w:rsidRPr="00333635">
        <w:rPr>
          <w:rFonts w:ascii="Times New Roman" w:hAnsi="Times New Roman" w:cs="Times New Roman"/>
          <w:sz w:val="24"/>
          <w:szCs w:val="24"/>
          <w:lang w:val="en-GB"/>
        </w:rPr>
        <w:fldChar w:fldCharType="end"/>
      </w:r>
      <w:r w:rsidRPr="00333635">
        <w:rPr>
          <w:rFonts w:ascii="Times New Roman" w:hAnsi="Times New Roman" w:cs="Times New Roman"/>
          <w:sz w:val="24"/>
          <w:szCs w:val="24"/>
          <w:lang w:val="en-GB"/>
        </w:rPr>
        <w:t xml:space="preserve"> ecological approach to psychology, and serves to emphasize the reciprocal and mutual relation between perception, cognition, and action and the material environments in which these take place. Affordances are defined as “possibilities for action” and are always relationally determined—dependent on both the material properties of an object and the physical abilities of an organism.</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3689041"/>
      <w:docPartObj>
        <w:docPartGallery w:val="Page Numbers (Bottom of Page)"/>
        <w:docPartUnique/>
      </w:docPartObj>
    </w:sdtPr>
    <w:sdtEndPr/>
    <w:sdtContent>
      <w:p w14:paraId="3AF97664" w14:textId="1AA79F05" w:rsidR="00164E2B" w:rsidRDefault="00164E2B">
        <w:pPr>
          <w:pStyle w:val="Voettekst"/>
          <w:jc w:val="center"/>
        </w:pPr>
        <w:r>
          <w:fldChar w:fldCharType="begin"/>
        </w:r>
        <w:r>
          <w:instrText>PAGE   \* MERGEFORMAT</w:instrText>
        </w:r>
        <w:r>
          <w:fldChar w:fldCharType="separate"/>
        </w:r>
        <w:r w:rsidR="00335954">
          <w:rPr>
            <w:noProof/>
          </w:rPr>
          <w:t>2</w:t>
        </w:r>
        <w:r>
          <w:fldChar w:fldCharType="end"/>
        </w:r>
      </w:p>
    </w:sdtContent>
  </w:sdt>
  <w:p w14:paraId="283EE2E2" w14:textId="77777777" w:rsidR="00164E2B" w:rsidRDefault="00164E2B">
    <w:pPr>
      <w:pStyle w:val="Voet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770DEA" w14:textId="77777777" w:rsidR="00982393" w:rsidRDefault="00982393" w:rsidP="006F5D72">
      <w:pPr>
        <w:spacing w:after="0" w:line="240" w:lineRule="auto"/>
      </w:pPr>
      <w:r>
        <w:separator/>
      </w:r>
    </w:p>
  </w:footnote>
  <w:footnote w:type="continuationSeparator" w:id="0">
    <w:p w14:paraId="1BB797CC" w14:textId="77777777" w:rsidR="00982393" w:rsidRDefault="00982393" w:rsidP="006F5D7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66B4E"/>
    <w:multiLevelType w:val="hybridMultilevel"/>
    <w:tmpl w:val="8C2C04EC"/>
    <w:lvl w:ilvl="0" w:tplc="5F98CAFA">
      <w:start w:val="11"/>
      <w:numFmt w:val="bullet"/>
      <w:lvlText w:val=""/>
      <w:lvlJc w:val="left"/>
      <w:pPr>
        <w:ind w:left="1069" w:hanging="360"/>
      </w:pPr>
      <w:rPr>
        <w:rFonts w:ascii="Wingdings" w:eastAsiaTheme="minorHAnsi" w:hAnsi="Wingdings" w:cs="Times New Roman" w:hint="default"/>
      </w:rPr>
    </w:lvl>
    <w:lvl w:ilvl="1" w:tplc="04130003" w:tentative="1">
      <w:start w:val="1"/>
      <w:numFmt w:val="bullet"/>
      <w:lvlText w:val="o"/>
      <w:lvlJc w:val="left"/>
      <w:pPr>
        <w:ind w:left="1789" w:hanging="360"/>
      </w:pPr>
      <w:rPr>
        <w:rFonts w:ascii="Courier New" w:hAnsi="Courier New" w:cs="Courier New" w:hint="default"/>
      </w:rPr>
    </w:lvl>
    <w:lvl w:ilvl="2" w:tplc="04130005" w:tentative="1">
      <w:start w:val="1"/>
      <w:numFmt w:val="bullet"/>
      <w:lvlText w:val=""/>
      <w:lvlJc w:val="left"/>
      <w:pPr>
        <w:ind w:left="2509" w:hanging="360"/>
      </w:pPr>
      <w:rPr>
        <w:rFonts w:ascii="Wingdings" w:hAnsi="Wingdings" w:hint="default"/>
      </w:rPr>
    </w:lvl>
    <w:lvl w:ilvl="3" w:tplc="04130001" w:tentative="1">
      <w:start w:val="1"/>
      <w:numFmt w:val="bullet"/>
      <w:lvlText w:val=""/>
      <w:lvlJc w:val="left"/>
      <w:pPr>
        <w:ind w:left="3229" w:hanging="360"/>
      </w:pPr>
      <w:rPr>
        <w:rFonts w:ascii="Symbol" w:hAnsi="Symbol" w:hint="default"/>
      </w:rPr>
    </w:lvl>
    <w:lvl w:ilvl="4" w:tplc="04130003" w:tentative="1">
      <w:start w:val="1"/>
      <w:numFmt w:val="bullet"/>
      <w:lvlText w:val="o"/>
      <w:lvlJc w:val="left"/>
      <w:pPr>
        <w:ind w:left="3949" w:hanging="360"/>
      </w:pPr>
      <w:rPr>
        <w:rFonts w:ascii="Courier New" w:hAnsi="Courier New" w:cs="Courier New" w:hint="default"/>
      </w:rPr>
    </w:lvl>
    <w:lvl w:ilvl="5" w:tplc="04130005" w:tentative="1">
      <w:start w:val="1"/>
      <w:numFmt w:val="bullet"/>
      <w:lvlText w:val=""/>
      <w:lvlJc w:val="left"/>
      <w:pPr>
        <w:ind w:left="4669" w:hanging="360"/>
      </w:pPr>
      <w:rPr>
        <w:rFonts w:ascii="Wingdings" w:hAnsi="Wingdings" w:hint="default"/>
      </w:rPr>
    </w:lvl>
    <w:lvl w:ilvl="6" w:tplc="04130001" w:tentative="1">
      <w:start w:val="1"/>
      <w:numFmt w:val="bullet"/>
      <w:lvlText w:val=""/>
      <w:lvlJc w:val="left"/>
      <w:pPr>
        <w:ind w:left="5389" w:hanging="360"/>
      </w:pPr>
      <w:rPr>
        <w:rFonts w:ascii="Symbol" w:hAnsi="Symbol" w:hint="default"/>
      </w:rPr>
    </w:lvl>
    <w:lvl w:ilvl="7" w:tplc="04130003" w:tentative="1">
      <w:start w:val="1"/>
      <w:numFmt w:val="bullet"/>
      <w:lvlText w:val="o"/>
      <w:lvlJc w:val="left"/>
      <w:pPr>
        <w:ind w:left="6109" w:hanging="360"/>
      </w:pPr>
      <w:rPr>
        <w:rFonts w:ascii="Courier New" w:hAnsi="Courier New" w:cs="Courier New" w:hint="default"/>
      </w:rPr>
    </w:lvl>
    <w:lvl w:ilvl="8" w:tplc="04130005" w:tentative="1">
      <w:start w:val="1"/>
      <w:numFmt w:val="bullet"/>
      <w:lvlText w:val=""/>
      <w:lvlJc w:val="left"/>
      <w:pPr>
        <w:ind w:left="6829" w:hanging="360"/>
      </w:pPr>
      <w:rPr>
        <w:rFonts w:ascii="Wingdings" w:hAnsi="Wingdings" w:hint="default"/>
      </w:rPr>
    </w:lvl>
  </w:abstractNum>
  <w:abstractNum w:abstractNumId="1" w15:restartNumberingAfterBreak="0">
    <w:nsid w:val="023F61D9"/>
    <w:multiLevelType w:val="hybridMultilevel"/>
    <w:tmpl w:val="F07EADC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02BA594B"/>
    <w:multiLevelType w:val="hybridMultilevel"/>
    <w:tmpl w:val="0FD48D20"/>
    <w:lvl w:ilvl="0" w:tplc="74869B3E">
      <w:start w:val="750"/>
      <w:numFmt w:val="bullet"/>
      <w:lvlText w:val="-"/>
      <w:lvlJc w:val="left"/>
      <w:pPr>
        <w:ind w:left="1069" w:hanging="360"/>
      </w:pPr>
      <w:rPr>
        <w:rFonts w:ascii="Times New Roman" w:eastAsiaTheme="minorHAnsi" w:hAnsi="Times New Roman" w:cs="Times New Roman" w:hint="default"/>
      </w:rPr>
    </w:lvl>
    <w:lvl w:ilvl="1" w:tplc="04130003" w:tentative="1">
      <w:start w:val="1"/>
      <w:numFmt w:val="bullet"/>
      <w:lvlText w:val="o"/>
      <w:lvlJc w:val="left"/>
      <w:pPr>
        <w:ind w:left="1789" w:hanging="360"/>
      </w:pPr>
      <w:rPr>
        <w:rFonts w:ascii="Courier New" w:hAnsi="Courier New" w:cs="Courier New" w:hint="default"/>
      </w:rPr>
    </w:lvl>
    <w:lvl w:ilvl="2" w:tplc="04130005" w:tentative="1">
      <w:start w:val="1"/>
      <w:numFmt w:val="bullet"/>
      <w:lvlText w:val=""/>
      <w:lvlJc w:val="left"/>
      <w:pPr>
        <w:ind w:left="2509" w:hanging="360"/>
      </w:pPr>
      <w:rPr>
        <w:rFonts w:ascii="Wingdings" w:hAnsi="Wingdings" w:hint="default"/>
      </w:rPr>
    </w:lvl>
    <w:lvl w:ilvl="3" w:tplc="04130001" w:tentative="1">
      <w:start w:val="1"/>
      <w:numFmt w:val="bullet"/>
      <w:lvlText w:val=""/>
      <w:lvlJc w:val="left"/>
      <w:pPr>
        <w:ind w:left="3229" w:hanging="360"/>
      </w:pPr>
      <w:rPr>
        <w:rFonts w:ascii="Symbol" w:hAnsi="Symbol" w:hint="default"/>
      </w:rPr>
    </w:lvl>
    <w:lvl w:ilvl="4" w:tplc="04130003" w:tentative="1">
      <w:start w:val="1"/>
      <w:numFmt w:val="bullet"/>
      <w:lvlText w:val="o"/>
      <w:lvlJc w:val="left"/>
      <w:pPr>
        <w:ind w:left="3949" w:hanging="360"/>
      </w:pPr>
      <w:rPr>
        <w:rFonts w:ascii="Courier New" w:hAnsi="Courier New" w:cs="Courier New" w:hint="default"/>
      </w:rPr>
    </w:lvl>
    <w:lvl w:ilvl="5" w:tplc="04130005" w:tentative="1">
      <w:start w:val="1"/>
      <w:numFmt w:val="bullet"/>
      <w:lvlText w:val=""/>
      <w:lvlJc w:val="left"/>
      <w:pPr>
        <w:ind w:left="4669" w:hanging="360"/>
      </w:pPr>
      <w:rPr>
        <w:rFonts w:ascii="Wingdings" w:hAnsi="Wingdings" w:hint="default"/>
      </w:rPr>
    </w:lvl>
    <w:lvl w:ilvl="6" w:tplc="04130001" w:tentative="1">
      <w:start w:val="1"/>
      <w:numFmt w:val="bullet"/>
      <w:lvlText w:val=""/>
      <w:lvlJc w:val="left"/>
      <w:pPr>
        <w:ind w:left="5389" w:hanging="360"/>
      </w:pPr>
      <w:rPr>
        <w:rFonts w:ascii="Symbol" w:hAnsi="Symbol" w:hint="default"/>
      </w:rPr>
    </w:lvl>
    <w:lvl w:ilvl="7" w:tplc="04130003" w:tentative="1">
      <w:start w:val="1"/>
      <w:numFmt w:val="bullet"/>
      <w:lvlText w:val="o"/>
      <w:lvlJc w:val="left"/>
      <w:pPr>
        <w:ind w:left="6109" w:hanging="360"/>
      </w:pPr>
      <w:rPr>
        <w:rFonts w:ascii="Courier New" w:hAnsi="Courier New" w:cs="Courier New" w:hint="default"/>
      </w:rPr>
    </w:lvl>
    <w:lvl w:ilvl="8" w:tplc="04130005" w:tentative="1">
      <w:start w:val="1"/>
      <w:numFmt w:val="bullet"/>
      <w:lvlText w:val=""/>
      <w:lvlJc w:val="left"/>
      <w:pPr>
        <w:ind w:left="6829" w:hanging="360"/>
      </w:pPr>
      <w:rPr>
        <w:rFonts w:ascii="Wingdings" w:hAnsi="Wingdings" w:hint="default"/>
      </w:rPr>
    </w:lvl>
  </w:abstractNum>
  <w:abstractNum w:abstractNumId="3" w15:restartNumberingAfterBreak="0">
    <w:nsid w:val="06BC0A9D"/>
    <w:multiLevelType w:val="hybridMultilevel"/>
    <w:tmpl w:val="E7E624DA"/>
    <w:lvl w:ilvl="0" w:tplc="C6B462BA">
      <w:start w:val="27"/>
      <w:numFmt w:val="bullet"/>
      <w:lvlText w:val=""/>
      <w:lvlJc w:val="left"/>
      <w:pPr>
        <w:ind w:left="1069" w:hanging="360"/>
      </w:pPr>
      <w:rPr>
        <w:rFonts w:ascii="Wingdings" w:eastAsiaTheme="minorHAnsi" w:hAnsi="Wingdings" w:cs="Times New Roman" w:hint="default"/>
      </w:rPr>
    </w:lvl>
    <w:lvl w:ilvl="1" w:tplc="04130003" w:tentative="1">
      <w:start w:val="1"/>
      <w:numFmt w:val="bullet"/>
      <w:lvlText w:val="o"/>
      <w:lvlJc w:val="left"/>
      <w:pPr>
        <w:ind w:left="1789" w:hanging="360"/>
      </w:pPr>
      <w:rPr>
        <w:rFonts w:ascii="Courier New" w:hAnsi="Courier New" w:cs="Courier New" w:hint="default"/>
      </w:rPr>
    </w:lvl>
    <w:lvl w:ilvl="2" w:tplc="04130005" w:tentative="1">
      <w:start w:val="1"/>
      <w:numFmt w:val="bullet"/>
      <w:lvlText w:val=""/>
      <w:lvlJc w:val="left"/>
      <w:pPr>
        <w:ind w:left="2509" w:hanging="360"/>
      </w:pPr>
      <w:rPr>
        <w:rFonts w:ascii="Wingdings" w:hAnsi="Wingdings" w:hint="default"/>
      </w:rPr>
    </w:lvl>
    <w:lvl w:ilvl="3" w:tplc="04130001" w:tentative="1">
      <w:start w:val="1"/>
      <w:numFmt w:val="bullet"/>
      <w:lvlText w:val=""/>
      <w:lvlJc w:val="left"/>
      <w:pPr>
        <w:ind w:left="3229" w:hanging="360"/>
      </w:pPr>
      <w:rPr>
        <w:rFonts w:ascii="Symbol" w:hAnsi="Symbol" w:hint="default"/>
      </w:rPr>
    </w:lvl>
    <w:lvl w:ilvl="4" w:tplc="04130003" w:tentative="1">
      <w:start w:val="1"/>
      <w:numFmt w:val="bullet"/>
      <w:lvlText w:val="o"/>
      <w:lvlJc w:val="left"/>
      <w:pPr>
        <w:ind w:left="3949" w:hanging="360"/>
      </w:pPr>
      <w:rPr>
        <w:rFonts w:ascii="Courier New" w:hAnsi="Courier New" w:cs="Courier New" w:hint="default"/>
      </w:rPr>
    </w:lvl>
    <w:lvl w:ilvl="5" w:tplc="04130005" w:tentative="1">
      <w:start w:val="1"/>
      <w:numFmt w:val="bullet"/>
      <w:lvlText w:val=""/>
      <w:lvlJc w:val="left"/>
      <w:pPr>
        <w:ind w:left="4669" w:hanging="360"/>
      </w:pPr>
      <w:rPr>
        <w:rFonts w:ascii="Wingdings" w:hAnsi="Wingdings" w:hint="default"/>
      </w:rPr>
    </w:lvl>
    <w:lvl w:ilvl="6" w:tplc="04130001" w:tentative="1">
      <w:start w:val="1"/>
      <w:numFmt w:val="bullet"/>
      <w:lvlText w:val=""/>
      <w:lvlJc w:val="left"/>
      <w:pPr>
        <w:ind w:left="5389" w:hanging="360"/>
      </w:pPr>
      <w:rPr>
        <w:rFonts w:ascii="Symbol" w:hAnsi="Symbol" w:hint="default"/>
      </w:rPr>
    </w:lvl>
    <w:lvl w:ilvl="7" w:tplc="04130003" w:tentative="1">
      <w:start w:val="1"/>
      <w:numFmt w:val="bullet"/>
      <w:lvlText w:val="o"/>
      <w:lvlJc w:val="left"/>
      <w:pPr>
        <w:ind w:left="6109" w:hanging="360"/>
      </w:pPr>
      <w:rPr>
        <w:rFonts w:ascii="Courier New" w:hAnsi="Courier New" w:cs="Courier New" w:hint="default"/>
      </w:rPr>
    </w:lvl>
    <w:lvl w:ilvl="8" w:tplc="04130005" w:tentative="1">
      <w:start w:val="1"/>
      <w:numFmt w:val="bullet"/>
      <w:lvlText w:val=""/>
      <w:lvlJc w:val="left"/>
      <w:pPr>
        <w:ind w:left="6829" w:hanging="360"/>
      </w:pPr>
      <w:rPr>
        <w:rFonts w:ascii="Wingdings" w:hAnsi="Wingdings" w:hint="default"/>
      </w:rPr>
    </w:lvl>
  </w:abstractNum>
  <w:abstractNum w:abstractNumId="4" w15:restartNumberingAfterBreak="0">
    <w:nsid w:val="07EF7ECF"/>
    <w:multiLevelType w:val="hybridMultilevel"/>
    <w:tmpl w:val="DD78F89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148307F8"/>
    <w:multiLevelType w:val="hybridMultilevel"/>
    <w:tmpl w:val="8E6669BE"/>
    <w:lvl w:ilvl="0" w:tplc="35B49104">
      <w:start w:val="750"/>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1AEF790B"/>
    <w:multiLevelType w:val="hybridMultilevel"/>
    <w:tmpl w:val="90DA63A4"/>
    <w:lvl w:ilvl="0" w:tplc="81C04A74">
      <w:numFmt w:val="bullet"/>
      <w:lvlText w:val=""/>
      <w:lvlJc w:val="left"/>
      <w:pPr>
        <w:ind w:left="1069" w:hanging="360"/>
      </w:pPr>
      <w:rPr>
        <w:rFonts w:ascii="Wingdings" w:eastAsiaTheme="minorHAnsi" w:hAnsi="Wingdings" w:cs="Times New Roman" w:hint="default"/>
      </w:rPr>
    </w:lvl>
    <w:lvl w:ilvl="1" w:tplc="04130003" w:tentative="1">
      <w:start w:val="1"/>
      <w:numFmt w:val="bullet"/>
      <w:lvlText w:val="o"/>
      <w:lvlJc w:val="left"/>
      <w:pPr>
        <w:ind w:left="1789" w:hanging="360"/>
      </w:pPr>
      <w:rPr>
        <w:rFonts w:ascii="Courier New" w:hAnsi="Courier New" w:cs="Courier New" w:hint="default"/>
      </w:rPr>
    </w:lvl>
    <w:lvl w:ilvl="2" w:tplc="04130005" w:tentative="1">
      <w:start w:val="1"/>
      <w:numFmt w:val="bullet"/>
      <w:lvlText w:val=""/>
      <w:lvlJc w:val="left"/>
      <w:pPr>
        <w:ind w:left="2509" w:hanging="360"/>
      </w:pPr>
      <w:rPr>
        <w:rFonts w:ascii="Wingdings" w:hAnsi="Wingdings" w:hint="default"/>
      </w:rPr>
    </w:lvl>
    <w:lvl w:ilvl="3" w:tplc="04130001" w:tentative="1">
      <w:start w:val="1"/>
      <w:numFmt w:val="bullet"/>
      <w:lvlText w:val=""/>
      <w:lvlJc w:val="left"/>
      <w:pPr>
        <w:ind w:left="3229" w:hanging="360"/>
      </w:pPr>
      <w:rPr>
        <w:rFonts w:ascii="Symbol" w:hAnsi="Symbol" w:hint="default"/>
      </w:rPr>
    </w:lvl>
    <w:lvl w:ilvl="4" w:tplc="04130003" w:tentative="1">
      <w:start w:val="1"/>
      <w:numFmt w:val="bullet"/>
      <w:lvlText w:val="o"/>
      <w:lvlJc w:val="left"/>
      <w:pPr>
        <w:ind w:left="3949" w:hanging="360"/>
      </w:pPr>
      <w:rPr>
        <w:rFonts w:ascii="Courier New" w:hAnsi="Courier New" w:cs="Courier New" w:hint="default"/>
      </w:rPr>
    </w:lvl>
    <w:lvl w:ilvl="5" w:tplc="04130005" w:tentative="1">
      <w:start w:val="1"/>
      <w:numFmt w:val="bullet"/>
      <w:lvlText w:val=""/>
      <w:lvlJc w:val="left"/>
      <w:pPr>
        <w:ind w:left="4669" w:hanging="360"/>
      </w:pPr>
      <w:rPr>
        <w:rFonts w:ascii="Wingdings" w:hAnsi="Wingdings" w:hint="default"/>
      </w:rPr>
    </w:lvl>
    <w:lvl w:ilvl="6" w:tplc="04130001" w:tentative="1">
      <w:start w:val="1"/>
      <w:numFmt w:val="bullet"/>
      <w:lvlText w:val=""/>
      <w:lvlJc w:val="left"/>
      <w:pPr>
        <w:ind w:left="5389" w:hanging="360"/>
      </w:pPr>
      <w:rPr>
        <w:rFonts w:ascii="Symbol" w:hAnsi="Symbol" w:hint="default"/>
      </w:rPr>
    </w:lvl>
    <w:lvl w:ilvl="7" w:tplc="04130003" w:tentative="1">
      <w:start w:val="1"/>
      <w:numFmt w:val="bullet"/>
      <w:lvlText w:val="o"/>
      <w:lvlJc w:val="left"/>
      <w:pPr>
        <w:ind w:left="6109" w:hanging="360"/>
      </w:pPr>
      <w:rPr>
        <w:rFonts w:ascii="Courier New" w:hAnsi="Courier New" w:cs="Courier New" w:hint="default"/>
      </w:rPr>
    </w:lvl>
    <w:lvl w:ilvl="8" w:tplc="04130005" w:tentative="1">
      <w:start w:val="1"/>
      <w:numFmt w:val="bullet"/>
      <w:lvlText w:val=""/>
      <w:lvlJc w:val="left"/>
      <w:pPr>
        <w:ind w:left="6829" w:hanging="360"/>
      </w:pPr>
      <w:rPr>
        <w:rFonts w:ascii="Wingdings" w:hAnsi="Wingdings" w:hint="default"/>
      </w:rPr>
    </w:lvl>
  </w:abstractNum>
  <w:abstractNum w:abstractNumId="7" w15:restartNumberingAfterBreak="0">
    <w:nsid w:val="1CD967AE"/>
    <w:multiLevelType w:val="hybridMultilevel"/>
    <w:tmpl w:val="E0944EE4"/>
    <w:lvl w:ilvl="0" w:tplc="A258B5FA">
      <w:start w:val="1019"/>
      <w:numFmt w:val="bullet"/>
      <w:lvlText w:val="-"/>
      <w:lvlJc w:val="left"/>
      <w:pPr>
        <w:ind w:left="1069" w:hanging="360"/>
      </w:pPr>
      <w:rPr>
        <w:rFonts w:ascii="Times New Roman" w:eastAsiaTheme="minorHAnsi" w:hAnsi="Times New Roman" w:cs="Times New Roman" w:hint="default"/>
      </w:rPr>
    </w:lvl>
    <w:lvl w:ilvl="1" w:tplc="04130003" w:tentative="1">
      <w:start w:val="1"/>
      <w:numFmt w:val="bullet"/>
      <w:lvlText w:val="o"/>
      <w:lvlJc w:val="left"/>
      <w:pPr>
        <w:ind w:left="1789" w:hanging="360"/>
      </w:pPr>
      <w:rPr>
        <w:rFonts w:ascii="Courier New" w:hAnsi="Courier New" w:cs="Courier New" w:hint="default"/>
      </w:rPr>
    </w:lvl>
    <w:lvl w:ilvl="2" w:tplc="04130005" w:tentative="1">
      <w:start w:val="1"/>
      <w:numFmt w:val="bullet"/>
      <w:lvlText w:val=""/>
      <w:lvlJc w:val="left"/>
      <w:pPr>
        <w:ind w:left="2509" w:hanging="360"/>
      </w:pPr>
      <w:rPr>
        <w:rFonts w:ascii="Wingdings" w:hAnsi="Wingdings" w:hint="default"/>
      </w:rPr>
    </w:lvl>
    <w:lvl w:ilvl="3" w:tplc="04130001" w:tentative="1">
      <w:start w:val="1"/>
      <w:numFmt w:val="bullet"/>
      <w:lvlText w:val=""/>
      <w:lvlJc w:val="left"/>
      <w:pPr>
        <w:ind w:left="3229" w:hanging="360"/>
      </w:pPr>
      <w:rPr>
        <w:rFonts w:ascii="Symbol" w:hAnsi="Symbol" w:hint="default"/>
      </w:rPr>
    </w:lvl>
    <w:lvl w:ilvl="4" w:tplc="04130003" w:tentative="1">
      <w:start w:val="1"/>
      <w:numFmt w:val="bullet"/>
      <w:lvlText w:val="o"/>
      <w:lvlJc w:val="left"/>
      <w:pPr>
        <w:ind w:left="3949" w:hanging="360"/>
      </w:pPr>
      <w:rPr>
        <w:rFonts w:ascii="Courier New" w:hAnsi="Courier New" w:cs="Courier New" w:hint="default"/>
      </w:rPr>
    </w:lvl>
    <w:lvl w:ilvl="5" w:tplc="04130005" w:tentative="1">
      <w:start w:val="1"/>
      <w:numFmt w:val="bullet"/>
      <w:lvlText w:val=""/>
      <w:lvlJc w:val="left"/>
      <w:pPr>
        <w:ind w:left="4669" w:hanging="360"/>
      </w:pPr>
      <w:rPr>
        <w:rFonts w:ascii="Wingdings" w:hAnsi="Wingdings" w:hint="default"/>
      </w:rPr>
    </w:lvl>
    <w:lvl w:ilvl="6" w:tplc="04130001" w:tentative="1">
      <w:start w:val="1"/>
      <w:numFmt w:val="bullet"/>
      <w:lvlText w:val=""/>
      <w:lvlJc w:val="left"/>
      <w:pPr>
        <w:ind w:left="5389" w:hanging="360"/>
      </w:pPr>
      <w:rPr>
        <w:rFonts w:ascii="Symbol" w:hAnsi="Symbol" w:hint="default"/>
      </w:rPr>
    </w:lvl>
    <w:lvl w:ilvl="7" w:tplc="04130003" w:tentative="1">
      <w:start w:val="1"/>
      <w:numFmt w:val="bullet"/>
      <w:lvlText w:val="o"/>
      <w:lvlJc w:val="left"/>
      <w:pPr>
        <w:ind w:left="6109" w:hanging="360"/>
      </w:pPr>
      <w:rPr>
        <w:rFonts w:ascii="Courier New" w:hAnsi="Courier New" w:cs="Courier New" w:hint="default"/>
      </w:rPr>
    </w:lvl>
    <w:lvl w:ilvl="8" w:tplc="04130005" w:tentative="1">
      <w:start w:val="1"/>
      <w:numFmt w:val="bullet"/>
      <w:lvlText w:val=""/>
      <w:lvlJc w:val="left"/>
      <w:pPr>
        <w:ind w:left="6829" w:hanging="360"/>
      </w:pPr>
      <w:rPr>
        <w:rFonts w:ascii="Wingdings" w:hAnsi="Wingdings" w:hint="default"/>
      </w:rPr>
    </w:lvl>
  </w:abstractNum>
  <w:abstractNum w:abstractNumId="8" w15:restartNumberingAfterBreak="0">
    <w:nsid w:val="367F5E81"/>
    <w:multiLevelType w:val="hybridMultilevel"/>
    <w:tmpl w:val="61D250B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3ECE3549"/>
    <w:multiLevelType w:val="hybridMultilevel"/>
    <w:tmpl w:val="C96CBB7A"/>
    <w:lvl w:ilvl="0" w:tplc="C0D0643C">
      <w:start w:val="1"/>
      <w:numFmt w:val="decimal"/>
      <w:lvlText w:val="%1."/>
      <w:lvlJc w:val="left"/>
      <w:pPr>
        <w:ind w:left="1069" w:hanging="360"/>
      </w:pPr>
      <w:rPr>
        <w:rFonts w:hint="default"/>
      </w:rPr>
    </w:lvl>
    <w:lvl w:ilvl="1" w:tplc="04130019" w:tentative="1">
      <w:start w:val="1"/>
      <w:numFmt w:val="lowerLetter"/>
      <w:lvlText w:val="%2."/>
      <w:lvlJc w:val="left"/>
      <w:pPr>
        <w:ind w:left="1789" w:hanging="360"/>
      </w:pPr>
    </w:lvl>
    <w:lvl w:ilvl="2" w:tplc="0413001B" w:tentative="1">
      <w:start w:val="1"/>
      <w:numFmt w:val="lowerRoman"/>
      <w:lvlText w:val="%3."/>
      <w:lvlJc w:val="right"/>
      <w:pPr>
        <w:ind w:left="2509" w:hanging="180"/>
      </w:pPr>
    </w:lvl>
    <w:lvl w:ilvl="3" w:tplc="0413000F" w:tentative="1">
      <w:start w:val="1"/>
      <w:numFmt w:val="decimal"/>
      <w:lvlText w:val="%4."/>
      <w:lvlJc w:val="left"/>
      <w:pPr>
        <w:ind w:left="3229" w:hanging="360"/>
      </w:pPr>
    </w:lvl>
    <w:lvl w:ilvl="4" w:tplc="04130019" w:tentative="1">
      <w:start w:val="1"/>
      <w:numFmt w:val="lowerLetter"/>
      <w:lvlText w:val="%5."/>
      <w:lvlJc w:val="left"/>
      <w:pPr>
        <w:ind w:left="3949" w:hanging="360"/>
      </w:pPr>
    </w:lvl>
    <w:lvl w:ilvl="5" w:tplc="0413001B" w:tentative="1">
      <w:start w:val="1"/>
      <w:numFmt w:val="lowerRoman"/>
      <w:lvlText w:val="%6."/>
      <w:lvlJc w:val="right"/>
      <w:pPr>
        <w:ind w:left="4669" w:hanging="180"/>
      </w:pPr>
    </w:lvl>
    <w:lvl w:ilvl="6" w:tplc="0413000F" w:tentative="1">
      <w:start w:val="1"/>
      <w:numFmt w:val="decimal"/>
      <w:lvlText w:val="%7."/>
      <w:lvlJc w:val="left"/>
      <w:pPr>
        <w:ind w:left="5389" w:hanging="360"/>
      </w:pPr>
    </w:lvl>
    <w:lvl w:ilvl="7" w:tplc="04130019" w:tentative="1">
      <w:start w:val="1"/>
      <w:numFmt w:val="lowerLetter"/>
      <w:lvlText w:val="%8."/>
      <w:lvlJc w:val="left"/>
      <w:pPr>
        <w:ind w:left="6109" w:hanging="360"/>
      </w:pPr>
    </w:lvl>
    <w:lvl w:ilvl="8" w:tplc="0413001B" w:tentative="1">
      <w:start w:val="1"/>
      <w:numFmt w:val="lowerRoman"/>
      <w:lvlText w:val="%9."/>
      <w:lvlJc w:val="right"/>
      <w:pPr>
        <w:ind w:left="6829" w:hanging="180"/>
      </w:pPr>
    </w:lvl>
  </w:abstractNum>
  <w:abstractNum w:abstractNumId="10" w15:restartNumberingAfterBreak="0">
    <w:nsid w:val="406C404F"/>
    <w:multiLevelType w:val="hybridMultilevel"/>
    <w:tmpl w:val="A43622F8"/>
    <w:lvl w:ilvl="0" w:tplc="0BB47770">
      <w:start w:val="1019"/>
      <w:numFmt w:val="bullet"/>
      <w:lvlText w:val="-"/>
      <w:lvlJc w:val="left"/>
      <w:pPr>
        <w:ind w:left="1069" w:hanging="360"/>
      </w:pPr>
      <w:rPr>
        <w:rFonts w:ascii="Times New Roman" w:eastAsiaTheme="minorHAnsi" w:hAnsi="Times New Roman" w:cs="Times New Roman" w:hint="default"/>
      </w:rPr>
    </w:lvl>
    <w:lvl w:ilvl="1" w:tplc="04130003" w:tentative="1">
      <w:start w:val="1"/>
      <w:numFmt w:val="bullet"/>
      <w:lvlText w:val="o"/>
      <w:lvlJc w:val="left"/>
      <w:pPr>
        <w:ind w:left="1789" w:hanging="360"/>
      </w:pPr>
      <w:rPr>
        <w:rFonts w:ascii="Courier New" w:hAnsi="Courier New" w:cs="Courier New" w:hint="default"/>
      </w:rPr>
    </w:lvl>
    <w:lvl w:ilvl="2" w:tplc="04130005" w:tentative="1">
      <w:start w:val="1"/>
      <w:numFmt w:val="bullet"/>
      <w:lvlText w:val=""/>
      <w:lvlJc w:val="left"/>
      <w:pPr>
        <w:ind w:left="2509" w:hanging="360"/>
      </w:pPr>
      <w:rPr>
        <w:rFonts w:ascii="Wingdings" w:hAnsi="Wingdings" w:hint="default"/>
      </w:rPr>
    </w:lvl>
    <w:lvl w:ilvl="3" w:tplc="04130001" w:tentative="1">
      <w:start w:val="1"/>
      <w:numFmt w:val="bullet"/>
      <w:lvlText w:val=""/>
      <w:lvlJc w:val="left"/>
      <w:pPr>
        <w:ind w:left="3229" w:hanging="360"/>
      </w:pPr>
      <w:rPr>
        <w:rFonts w:ascii="Symbol" w:hAnsi="Symbol" w:hint="default"/>
      </w:rPr>
    </w:lvl>
    <w:lvl w:ilvl="4" w:tplc="04130003" w:tentative="1">
      <w:start w:val="1"/>
      <w:numFmt w:val="bullet"/>
      <w:lvlText w:val="o"/>
      <w:lvlJc w:val="left"/>
      <w:pPr>
        <w:ind w:left="3949" w:hanging="360"/>
      </w:pPr>
      <w:rPr>
        <w:rFonts w:ascii="Courier New" w:hAnsi="Courier New" w:cs="Courier New" w:hint="default"/>
      </w:rPr>
    </w:lvl>
    <w:lvl w:ilvl="5" w:tplc="04130005" w:tentative="1">
      <w:start w:val="1"/>
      <w:numFmt w:val="bullet"/>
      <w:lvlText w:val=""/>
      <w:lvlJc w:val="left"/>
      <w:pPr>
        <w:ind w:left="4669" w:hanging="360"/>
      </w:pPr>
      <w:rPr>
        <w:rFonts w:ascii="Wingdings" w:hAnsi="Wingdings" w:hint="default"/>
      </w:rPr>
    </w:lvl>
    <w:lvl w:ilvl="6" w:tplc="04130001" w:tentative="1">
      <w:start w:val="1"/>
      <w:numFmt w:val="bullet"/>
      <w:lvlText w:val=""/>
      <w:lvlJc w:val="left"/>
      <w:pPr>
        <w:ind w:left="5389" w:hanging="360"/>
      </w:pPr>
      <w:rPr>
        <w:rFonts w:ascii="Symbol" w:hAnsi="Symbol" w:hint="default"/>
      </w:rPr>
    </w:lvl>
    <w:lvl w:ilvl="7" w:tplc="04130003" w:tentative="1">
      <w:start w:val="1"/>
      <w:numFmt w:val="bullet"/>
      <w:lvlText w:val="o"/>
      <w:lvlJc w:val="left"/>
      <w:pPr>
        <w:ind w:left="6109" w:hanging="360"/>
      </w:pPr>
      <w:rPr>
        <w:rFonts w:ascii="Courier New" w:hAnsi="Courier New" w:cs="Courier New" w:hint="default"/>
      </w:rPr>
    </w:lvl>
    <w:lvl w:ilvl="8" w:tplc="04130005" w:tentative="1">
      <w:start w:val="1"/>
      <w:numFmt w:val="bullet"/>
      <w:lvlText w:val=""/>
      <w:lvlJc w:val="left"/>
      <w:pPr>
        <w:ind w:left="6829" w:hanging="360"/>
      </w:pPr>
      <w:rPr>
        <w:rFonts w:ascii="Wingdings" w:hAnsi="Wingdings" w:hint="default"/>
      </w:rPr>
    </w:lvl>
  </w:abstractNum>
  <w:abstractNum w:abstractNumId="11" w15:restartNumberingAfterBreak="0">
    <w:nsid w:val="44C8697C"/>
    <w:multiLevelType w:val="hybridMultilevel"/>
    <w:tmpl w:val="594ADAE2"/>
    <w:lvl w:ilvl="0" w:tplc="9C9CA528">
      <w:numFmt w:val="bullet"/>
      <w:lvlText w:val="-"/>
      <w:lvlJc w:val="left"/>
      <w:pPr>
        <w:ind w:left="1069" w:hanging="360"/>
      </w:pPr>
      <w:rPr>
        <w:rFonts w:ascii="Times New Roman" w:eastAsiaTheme="minorHAnsi" w:hAnsi="Times New Roman" w:cs="Times New Roman" w:hint="default"/>
      </w:rPr>
    </w:lvl>
    <w:lvl w:ilvl="1" w:tplc="04130003" w:tentative="1">
      <w:start w:val="1"/>
      <w:numFmt w:val="bullet"/>
      <w:lvlText w:val="o"/>
      <w:lvlJc w:val="left"/>
      <w:pPr>
        <w:ind w:left="1789" w:hanging="360"/>
      </w:pPr>
      <w:rPr>
        <w:rFonts w:ascii="Courier New" w:hAnsi="Courier New" w:cs="Courier New" w:hint="default"/>
      </w:rPr>
    </w:lvl>
    <w:lvl w:ilvl="2" w:tplc="04130005" w:tentative="1">
      <w:start w:val="1"/>
      <w:numFmt w:val="bullet"/>
      <w:lvlText w:val=""/>
      <w:lvlJc w:val="left"/>
      <w:pPr>
        <w:ind w:left="2509" w:hanging="360"/>
      </w:pPr>
      <w:rPr>
        <w:rFonts w:ascii="Wingdings" w:hAnsi="Wingdings" w:hint="default"/>
      </w:rPr>
    </w:lvl>
    <w:lvl w:ilvl="3" w:tplc="04130001" w:tentative="1">
      <w:start w:val="1"/>
      <w:numFmt w:val="bullet"/>
      <w:lvlText w:val=""/>
      <w:lvlJc w:val="left"/>
      <w:pPr>
        <w:ind w:left="3229" w:hanging="360"/>
      </w:pPr>
      <w:rPr>
        <w:rFonts w:ascii="Symbol" w:hAnsi="Symbol" w:hint="default"/>
      </w:rPr>
    </w:lvl>
    <w:lvl w:ilvl="4" w:tplc="04130003" w:tentative="1">
      <w:start w:val="1"/>
      <w:numFmt w:val="bullet"/>
      <w:lvlText w:val="o"/>
      <w:lvlJc w:val="left"/>
      <w:pPr>
        <w:ind w:left="3949" w:hanging="360"/>
      </w:pPr>
      <w:rPr>
        <w:rFonts w:ascii="Courier New" w:hAnsi="Courier New" w:cs="Courier New" w:hint="default"/>
      </w:rPr>
    </w:lvl>
    <w:lvl w:ilvl="5" w:tplc="04130005" w:tentative="1">
      <w:start w:val="1"/>
      <w:numFmt w:val="bullet"/>
      <w:lvlText w:val=""/>
      <w:lvlJc w:val="left"/>
      <w:pPr>
        <w:ind w:left="4669" w:hanging="360"/>
      </w:pPr>
      <w:rPr>
        <w:rFonts w:ascii="Wingdings" w:hAnsi="Wingdings" w:hint="default"/>
      </w:rPr>
    </w:lvl>
    <w:lvl w:ilvl="6" w:tplc="04130001" w:tentative="1">
      <w:start w:val="1"/>
      <w:numFmt w:val="bullet"/>
      <w:lvlText w:val=""/>
      <w:lvlJc w:val="left"/>
      <w:pPr>
        <w:ind w:left="5389" w:hanging="360"/>
      </w:pPr>
      <w:rPr>
        <w:rFonts w:ascii="Symbol" w:hAnsi="Symbol" w:hint="default"/>
      </w:rPr>
    </w:lvl>
    <w:lvl w:ilvl="7" w:tplc="04130003" w:tentative="1">
      <w:start w:val="1"/>
      <w:numFmt w:val="bullet"/>
      <w:lvlText w:val="o"/>
      <w:lvlJc w:val="left"/>
      <w:pPr>
        <w:ind w:left="6109" w:hanging="360"/>
      </w:pPr>
      <w:rPr>
        <w:rFonts w:ascii="Courier New" w:hAnsi="Courier New" w:cs="Courier New" w:hint="default"/>
      </w:rPr>
    </w:lvl>
    <w:lvl w:ilvl="8" w:tplc="04130005" w:tentative="1">
      <w:start w:val="1"/>
      <w:numFmt w:val="bullet"/>
      <w:lvlText w:val=""/>
      <w:lvlJc w:val="left"/>
      <w:pPr>
        <w:ind w:left="6829" w:hanging="360"/>
      </w:pPr>
      <w:rPr>
        <w:rFonts w:ascii="Wingdings" w:hAnsi="Wingdings" w:hint="default"/>
      </w:rPr>
    </w:lvl>
  </w:abstractNum>
  <w:abstractNum w:abstractNumId="12" w15:restartNumberingAfterBreak="0">
    <w:nsid w:val="56EB4278"/>
    <w:multiLevelType w:val="hybridMultilevel"/>
    <w:tmpl w:val="7AF45D4E"/>
    <w:lvl w:ilvl="0" w:tplc="AFC8FF72">
      <w:numFmt w:val="bullet"/>
      <w:lvlText w:val="-"/>
      <w:lvlJc w:val="left"/>
      <w:pPr>
        <w:ind w:left="1778" w:hanging="360"/>
      </w:pPr>
      <w:rPr>
        <w:rFonts w:ascii="Times New Roman" w:eastAsiaTheme="minorHAnsi" w:hAnsi="Times New Roman" w:cs="Times New Roman" w:hint="default"/>
      </w:rPr>
    </w:lvl>
    <w:lvl w:ilvl="1" w:tplc="04130003" w:tentative="1">
      <w:start w:val="1"/>
      <w:numFmt w:val="bullet"/>
      <w:lvlText w:val="o"/>
      <w:lvlJc w:val="left"/>
      <w:pPr>
        <w:ind w:left="2149" w:hanging="360"/>
      </w:pPr>
      <w:rPr>
        <w:rFonts w:ascii="Courier New" w:hAnsi="Courier New" w:cs="Courier New" w:hint="default"/>
      </w:rPr>
    </w:lvl>
    <w:lvl w:ilvl="2" w:tplc="04130005" w:tentative="1">
      <w:start w:val="1"/>
      <w:numFmt w:val="bullet"/>
      <w:lvlText w:val=""/>
      <w:lvlJc w:val="left"/>
      <w:pPr>
        <w:ind w:left="2869" w:hanging="360"/>
      </w:pPr>
      <w:rPr>
        <w:rFonts w:ascii="Wingdings" w:hAnsi="Wingdings" w:hint="default"/>
      </w:rPr>
    </w:lvl>
    <w:lvl w:ilvl="3" w:tplc="04130001" w:tentative="1">
      <w:start w:val="1"/>
      <w:numFmt w:val="bullet"/>
      <w:lvlText w:val=""/>
      <w:lvlJc w:val="left"/>
      <w:pPr>
        <w:ind w:left="3589" w:hanging="360"/>
      </w:pPr>
      <w:rPr>
        <w:rFonts w:ascii="Symbol" w:hAnsi="Symbol" w:hint="default"/>
      </w:rPr>
    </w:lvl>
    <w:lvl w:ilvl="4" w:tplc="04130003" w:tentative="1">
      <w:start w:val="1"/>
      <w:numFmt w:val="bullet"/>
      <w:lvlText w:val="o"/>
      <w:lvlJc w:val="left"/>
      <w:pPr>
        <w:ind w:left="4309" w:hanging="360"/>
      </w:pPr>
      <w:rPr>
        <w:rFonts w:ascii="Courier New" w:hAnsi="Courier New" w:cs="Courier New" w:hint="default"/>
      </w:rPr>
    </w:lvl>
    <w:lvl w:ilvl="5" w:tplc="04130005" w:tentative="1">
      <w:start w:val="1"/>
      <w:numFmt w:val="bullet"/>
      <w:lvlText w:val=""/>
      <w:lvlJc w:val="left"/>
      <w:pPr>
        <w:ind w:left="5029" w:hanging="360"/>
      </w:pPr>
      <w:rPr>
        <w:rFonts w:ascii="Wingdings" w:hAnsi="Wingdings" w:hint="default"/>
      </w:rPr>
    </w:lvl>
    <w:lvl w:ilvl="6" w:tplc="04130001" w:tentative="1">
      <w:start w:val="1"/>
      <w:numFmt w:val="bullet"/>
      <w:lvlText w:val=""/>
      <w:lvlJc w:val="left"/>
      <w:pPr>
        <w:ind w:left="5749" w:hanging="360"/>
      </w:pPr>
      <w:rPr>
        <w:rFonts w:ascii="Symbol" w:hAnsi="Symbol" w:hint="default"/>
      </w:rPr>
    </w:lvl>
    <w:lvl w:ilvl="7" w:tplc="04130003" w:tentative="1">
      <w:start w:val="1"/>
      <w:numFmt w:val="bullet"/>
      <w:lvlText w:val="o"/>
      <w:lvlJc w:val="left"/>
      <w:pPr>
        <w:ind w:left="6469" w:hanging="360"/>
      </w:pPr>
      <w:rPr>
        <w:rFonts w:ascii="Courier New" w:hAnsi="Courier New" w:cs="Courier New" w:hint="default"/>
      </w:rPr>
    </w:lvl>
    <w:lvl w:ilvl="8" w:tplc="04130005" w:tentative="1">
      <w:start w:val="1"/>
      <w:numFmt w:val="bullet"/>
      <w:lvlText w:val=""/>
      <w:lvlJc w:val="left"/>
      <w:pPr>
        <w:ind w:left="7189" w:hanging="360"/>
      </w:pPr>
      <w:rPr>
        <w:rFonts w:ascii="Wingdings" w:hAnsi="Wingdings" w:hint="default"/>
      </w:rPr>
    </w:lvl>
  </w:abstractNum>
  <w:abstractNum w:abstractNumId="13" w15:restartNumberingAfterBreak="0">
    <w:nsid w:val="5DDC0001"/>
    <w:multiLevelType w:val="hybridMultilevel"/>
    <w:tmpl w:val="1BCCE93A"/>
    <w:lvl w:ilvl="0" w:tplc="AFC8FF72">
      <w:start w:val="27"/>
      <w:numFmt w:val="bullet"/>
      <w:lvlText w:val="-"/>
      <w:lvlJc w:val="left"/>
      <w:pPr>
        <w:ind w:left="1069" w:hanging="360"/>
      </w:pPr>
      <w:rPr>
        <w:rFonts w:ascii="Times New Roman" w:eastAsiaTheme="minorHAnsi" w:hAnsi="Times New Roman" w:cs="Times New Roman" w:hint="default"/>
      </w:rPr>
    </w:lvl>
    <w:lvl w:ilvl="1" w:tplc="04130003" w:tentative="1">
      <w:start w:val="1"/>
      <w:numFmt w:val="bullet"/>
      <w:lvlText w:val="o"/>
      <w:lvlJc w:val="left"/>
      <w:pPr>
        <w:ind w:left="1789" w:hanging="360"/>
      </w:pPr>
      <w:rPr>
        <w:rFonts w:ascii="Courier New" w:hAnsi="Courier New" w:cs="Courier New" w:hint="default"/>
      </w:rPr>
    </w:lvl>
    <w:lvl w:ilvl="2" w:tplc="04130005" w:tentative="1">
      <w:start w:val="1"/>
      <w:numFmt w:val="bullet"/>
      <w:lvlText w:val=""/>
      <w:lvlJc w:val="left"/>
      <w:pPr>
        <w:ind w:left="2509" w:hanging="360"/>
      </w:pPr>
      <w:rPr>
        <w:rFonts w:ascii="Wingdings" w:hAnsi="Wingdings" w:hint="default"/>
      </w:rPr>
    </w:lvl>
    <w:lvl w:ilvl="3" w:tplc="04130001" w:tentative="1">
      <w:start w:val="1"/>
      <w:numFmt w:val="bullet"/>
      <w:lvlText w:val=""/>
      <w:lvlJc w:val="left"/>
      <w:pPr>
        <w:ind w:left="3229" w:hanging="360"/>
      </w:pPr>
      <w:rPr>
        <w:rFonts w:ascii="Symbol" w:hAnsi="Symbol" w:hint="default"/>
      </w:rPr>
    </w:lvl>
    <w:lvl w:ilvl="4" w:tplc="04130003" w:tentative="1">
      <w:start w:val="1"/>
      <w:numFmt w:val="bullet"/>
      <w:lvlText w:val="o"/>
      <w:lvlJc w:val="left"/>
      <w:pPr>
        <w:ind w:left="3949" w:hanging="360"/>
      </w:pPr>
      <w:rPr>
        <w:rFonts w:ascii="Courier New" w:hAnsi="Courier New" w:cs="Courier New" w:hint="default"/>
      </w:rPr>
    </w:lvl>
    <w:lvl w:ilvl="5" w:tplc="04130005" w:tentative="1">
      <w:start w:val="1"/>
      <w:numFmt w:val="bullet"/>
      <w:lvlText w:val=""/>
      <w:lvlJc w:val="left"/>
      <w:pPr>
        <w:ind w:left="4669" w:hanging="360"/>
      </w:pPr>
      <w:rPr>
        <w:rFonts w:ascii="Wingdings" w:hAnsi="Wingdings" w:hint="default"/>
      </w:rPr>
    </w:lvl>
    <w:lvl w:ilvl="6" w:tplc="04130001" w:tentative="1">
      <w:start w:val="1"/>
      <w:numFmt w:val="bullet"/>
      <w:lvlText w:val=""/>
      <w:lvlJc w:val="left"/>
      <w:pPr>
        <w:ind w:left="5389" w:hanging="360"/>
      </w:pPr>
      <w:rPr>
        <w:rFonts w:ascii="Symbol" w:hAnsi="Symbol" w:hint="default"/>
      </w:rPr>
    </w:lvl>
    <w:lvl w:ilvl="7" w:tplc="04130003" w:tentative="1">
      <w:start w:val="1"/>
      <w:numFmt w:val="bullet"/>
      <w:lvlText w:val="o"/>
      <w:lvlJc w:val="left"/>
      <w:pPr>
        <w:ind w:left="6109" w:hanging="360"/>
      </w:pPr>
      <w:rPr>
        <w:rFonts w:ascii="Courier New" w:hAnsi="Courier New" w:cs="Courier New" w:hint="default"/>
      </w:rPr>
    </w:lvl>
    <w:lvl w:ilvl="8" w:tplc="04130005" w:tentative="1">
      <w:start w:val="1"/>
      <w:numFmt w:val="bullet"/>
      <w:lvlText w:val=""/>
      <w:lvlJc w:val="left"/>
      <w:pPr>
        <w:ind w:left="6829" w:hanging="360"/>
      </w:pPr>
      <w:rPr>
        <w:rFonts w:ascii="Wingdings" w:hAnsi="Wingdings" w:hint="default"/>
      </w:rPr>
    </w:lvl>
  </w:abstractNum>
  <w:abstractNum w:abstractNumId="14" w15:restartNumberingAfterBreak="0">
    <w:nsid w:val="622A274E"/>
    <w:multiLevelType w:val="hybridMultilevel"/>
    <w:tmpl w:val="83EC713E"/>
    <w:lvl w:ilvl="0" w:tplc="AFC8FF72">
      <w:numFmt w:val="bullet"/>
      <w:lvlText w:val="-"/>
      <w:lvlJc w:val="left"/>
      <w:pPr>
        <w:ind w:left="1069" w:hanging="360"/>
      </w:pPr>
      <w:rPr>
        <w:rFonts w:ascii="Times New Roman" w:eastAsiaTheme="minorHAnsi" w:hAnsi="Times New Roman" w:cs="Times New Roman" w:hint="default"/>
      </w:rPr>
    </w:lvl>
    <w:lvl w:ilvl="1" w:tplc="04130003" w:tentative="1">
      <w:start w:val="1"/>
      <w:numFmt w:val="bullet"/>
      <w:lvlText w:val="o"/>
      <w:lvlJc w:val="left"/>
      <w:pPr>
        <w:ind w:left="1789" w:hanging="360"/>
      </w:pPr>
      <w:rPr>
        <w:rFonts w:ascii="Courier New" w:hAnsi="Courier New" w:cs="Courier New" w:hint="default"/>
      </w:rPr>
    </w:lvl>
    <w:lvl w:ilvl="2" w:tplc="04130005" w:tentative="1">
      <w:start w:val="1"/>
      <w:numFmt w:val="bullet"/>
      <w:lvlText w:val=""/>
      <w:lvlJc w:val="left"/>
      <w:pPr>
        <w:ind w:left="2509" w:hanging="360"/>
      </w:pPr>
      <w:rPr>
        <w:rFonts w:ascii="Wingdings" w:hAnsi="Wingdings" w:hint="default"/>
      </w:rPr>
    </w:lvl>
    <w:lvl w:ilvl="3" w:tplc="04130001" w:tentative="1">
      <w:start w:val="1"/>
      <w:numFmt w:val="bullet"/>
      <w:lvlText w:val=""/>
      <w:lvlJc w:val="left"/>
      <w:pPr>
        <w:ind w:left="3229" w:hanging="360"/>
      </w:pPr>
      <w:rPr>
        <w:rFonts w:ascii="Symbol" w:hAnsi="Symbol" w:hint="default"/>
      </w:rPr>
    </w:lvl>
    <w:lvl w:ilvl="4" w:tplc="04130003" w:tentative="1">
      <w:start w:val="1"/>
      <w:numFmt w:val="bullet"/>
      <w:lvlText w:val="o"/>
      <w:lvlJc w:val="left"/>
      <w:pPr>
        <w:ind w:left="3949" w:hanging="360"/>
      </w:pPr>
      <w:rPr>
        <w:rFonts w:ascii="Courier New" w:hAnsi="Courier New" w:cs="Courier New" w:hint="default"/>
      </w:rPr>
    </w:lvl>
    <w:lvl w:ilvl="5" w:tplc="04130005" w:tentative="1">
      <w:start w:val="1"/>
      <w:numFmt w:val="bullet"/>
      <w:lvlText w:val=""/>
      <w:lvlJc w:val="left"/>
      <w:pPr>
        <w:ind w:left="4669" w:hanging="360"/>
      </w:pPr>
      <w:rPr>
        <w:rFonts w:ascii="Wingdings" w:hAnsi="Wingdings" w:hint="default"/>
      </w:rPr>
    </w:lvl>
    <w:lvl w:ilvl="6" w:tplc="04130001" w:tentative="1">
      <w:start w:val="1"/>
      <w:numFmt w:val="bullet"/>
      <w:lvlText w:val=""/>
      <w:lvlJc w:val="left"/>
      <w:pPr>
        <w:ind w:left="5389" w:hanging="360"/>
      </w:pPr>
      <w:rPr>
        <w:rFonts w:ascii="Symbol" w:hAnsi="Symbol" w:hint="default"/>
      </w:rPr>
    </w:lvl>
    <w:lvl w:ilvl="7" w:tplc="04130003" w:tentative="1">
      <w:start w:val="1"/>
      <w:numFmt w:val="bullet"/>
      <w:lvlText w:val="o"/>
      <w:lvlJc w:val="left"/>
      <w:pPr>
        <w:ind w:left="6109" w:hanging="360"/>
      </w:pPr>
      <w:rPr>
        <w:rFonts w:ascii="Courier New" w:hAnsi="Courier New" w:cs="Courier New" w:hint="default"/>
      </w:rPr>
    </w:lvl>
    <w:lvl w:ilvl="8" w:tplc="04130005" w:tentative="1">
      <w:start w:val="1"/>
      <w:numFmt w:val="bullet"/>
      <w:lvlText w:val=""/>
      <w:lvlJc w:val="left"/>
      <w:pPr>
        <w:ind w:left="6829" w:hanging="360"/>
      </w:pPr>
      <w:rPr>
        <w:rFonts w:ascii="Wingdings" w:hAnsi="Wingdings" w:hint="default"/>
      </w:rPr>
    </w:lvl>
  </w:abstractNum>
  <w:abstractNum w:abstractNumId="15" w15:restartNumberingAfterBreak="0">
    <w:nsid w:val="696B7283"/>
    <w:multiLevelType w:val="hybridMultilevel"/>
    <w:tmpl w:val="BD982AD2"/>
    <w:lvl w:ilvl="0" w:tplc="FDB6CA98">
      <w:start w:val="11"/>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69F47314"/>
    <w:multiLevelType w:val="hybridMultilevel"/>
    <w:tmpl w:val="4E0EE570"/>
    <w:lvl w:ilvl="0" w:tplc="9D928AC6">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6CF25C24"/>
    <w:multiLevelType w:val="hybridMultilevel"/>
    <w:tmpl w:val="FFE00232"/>
    <w:lvl w:ilvl="0" w:tplc="AFC8FF72">
      <w:start w:val="27"/>
      <w:numFmt w:val="bullet"/>
      <w:lvlText w:val="-"/>
      <w:lvlJc w:val="left"/>
      <w:pPr>
        <w:ind w:left="1069" w:hanging="360"/>
      </w:pPr>
      <w:rPr>
        <w:rFonts w:ascii="Times New Roman" w:eastAsiaTheme="minorHAnsi" w:hAnsi="Times New Roman" w:cs="Times New Roman" w:hint="default"/>
      </w:rPr>
    </w:lvl>
    <w:lvl w:ilvl="1" w:tplc="04130003" w:tentative="1">
      <w:start w:val="1"/>
      <w:numFmt w:val="bullet"/>
      <w:lvlText w:val="o"/>
      <w:lvlJc w:val="left"/>
      <w:pPr>
        <w:ind w:left="1789" w:hanging="360"/>
      </w:pPr>
      <w:rPr>
        <w:rFonts w:ascii="Courier New" w:hAnsi="Courier New" w:cs="Courier New" w:hint="default"/>
      </w:rPr>
    </w:lvl>
    <w:lvl w:ilvl="2" w:tplc="04130005" w:tentative="1">
      <w:start w:val="1"/>
      <w:numFmt w:val="bullet"/>
      <w:lvlText w:val=""/>
      <w:lvlJc w:val="left"/>
      <w:pPr>
        <w:ind w:left="2509" w:hanging="360"/>
      </w:pPr>
      <w:rPr>
        <w:rFonts w:ascii="Wingdings" w:hAnsi="Wingdings" w:hint="default"/>
      </w:rPr>
    </w:lvl>
    <w:lvl w:ilvl="3" w:tplc="04130001" w:tentative="1">
      <w:start w:val="1"/>
      <w:numFmt w:val="bullet"/>
      <w:lvlText w:val=""/>
      <w:lvlJc w:val="left"/>
      <w:pPr>
        <w:ind w:left="3229" w:hanging="360"/>
      </w:pPr>
      <w:rPr>
        <w:rFonts w:ascii="Symbol" w:hAnsi="Symbol" w:hint="default"/>
      </w:rPr>
    </w:lvl>
    <w:lvl w:ilvl="4" w:tplc="04130003" w:tentative="1">
      <w:start w:val="1"/>
      <w:numFmt w:val="bullet"/>
      <w:lvlText w:val="o"/>
      <w:lvlJc w:val="left"/>
      <w:pPr>
        <w:ind w:left="3949" w:hanging="360"/>
      </w:pPr>
      <w:rPr>
        <w:rFonts w:ascii="Courier New" w:hAnsi="Courier New" w:cs="Courier New" w:hint="default"/>
      </w:rPr>
    </w:lvl>
    <w:lvl w:ilvl="5" w:tplc="04130005" w:tentative="1">
      <w:start w:val="1"/>
      <w:numFmt w:val="bullet"/>
      <w:lvlText w:val=""/>
      <w:lvlJc w:val="left"/>
      <w:pPr>
        <w:ind w:left="4669" w:hanging="360"/>
      </w:pPr>
      <w:rPr>
        <w:rFonts w:ascii="Wingdings" w:hAnsi="Wingdings" w:hint="default"/>
      </w:rPr>
    </w:lvl>
    <w:lvl w:ilvl="6" w:tplc="04130001" w:tentative="1">
      <w:start w:val="1"/>
      <w:numFmt w:val="bullet"/>
      <w:lvlText w:val=""/>
      <w:lvlJc w:val="left"/>
      <w:pPr>
        <w:ind w:left="5389" w:hanging="360"/>
      </w:pPr>
      <w:rPr>
        <w:rFonts w:ascii="Symbol" w:hAnsi="Symbol" w:hint="default"/>
      </w:rPr>
    </w:lvl>
    <w:lvl w:ilvl="7" w:tplc="04130003" w:tentative="1">
      <w:start w:val="1"/>
      <w:numFmt w:val="bullet"/>
      <w:lvlText w:val="o"/>
      <w:lvlJc w:val="left"/>
      <w:pPr>
        <w:ind w:left="6109" w:hanging="360"/>
      </w:pPr>
      <w:rPr>
        <w:rFonts w:ascii="Courier New" w:hAnsi="Courier New" w:cs="Courier New" w:hint="default"/>
      </w:rPr>
    </w:lvl>
    <w:lvl w:ilvl="8" w:tplc="04130005" w:tentative="1">
      <w:start w:val="1"/>
      <w:numFmt w:val="bullet"/>
      <w:lvlText w:val=""/>
      <w:lvlJc w:val="left"/>
      <w:pPr>
        <w:ind w:left="6829" w:hanging="360"/>
      </w:pPr>
      <w:rPr>
        <w:rFonts w:ascii="Wingdings" w:hAnsi="Wingdings" w:hint="default"/>
      </w:rPr>
    </w:lvl>
  </w:abstractNum>
  <w:abstractNum w:abstractNumId="18" w15:restartNumberingAfterBreak="0">
    <w:nsid w:val="6DD6771E"/>
    <w:multiLevelType w:val="hybridMultilevel"/>
    <w:tmpl w:val="8158B118"/>
    <w:lvl w:ilvl="0" w:tplc="AD7AAEA6">
      <w:start w:val="1019"/>
      <w:numFmt w:val="bullet"/>
      <w:lvlText w:val=""/>
      <w:lvlJc w:val="left"/>
      <w:pPr>
        <w:ind w:left="1069" w:hanging="360"/>
      </w:pPr>
      <w:rPr>
        <w:rFonts w:ascii="Wingdings" w:eastAsiaTheme="minorHAnsi" w:hAnsi="Wingdings" w:cs="Times New Roman" w:hint="default"/>
      </w:rPr>
    </w:lvl>
    <w:lvl w:ilvl="1" w:tplc="04130003" w:tentative="1">
      <w:start w:val="1"/>
      <w:numFmt w:val="bullet"/>
      <w:lvlText w:val="o"/>
      <w:lvlJc w:val="left"/>
      <w:pPr>
        <w:ind w:left="1789" w:hanging="360"/>
      </w:pPr>
      <w:rPr>
        <w:rFonts w:ascii="Courier New" w:hAnsi="Courier New" w:cs="Courier New" w:hint="default"/>
      </w:rPr>
    </w:lvl>
    <w:lvl w:ilvl="2" w:tplc="04130005" w:tentative="1">
      <w:start w:val="1"/>
      <w:numFmt w:val="bullet"/>
      <w:lvlText w:val=""/>
      <w:lvlJc w:val="left"/>
      <w:pPr>
        <w:ind w:left="2509" w:hanging="360"/>
      </w:pPr>
      <w:rPr>
        <w:rFonts w:ascii="Wingdings" w:hAnsi="Wingdings" w:hint="default"/>
      </w:rPr>
    </w:lvl>
    <w:lvl w:ilvl="3" w:tplc="04130001" w:tentative="1">
      <w:start w:val="1"/>
      <w:numFmt w:val="bullet"/>
      <w:lvlText w:val=""/>
      <w:lvlJc w:val="left"/>
      <w:pPr>
        <w:ind w:left="3229" w:hanging="360"/>
      </w:pPr>
      <w:rPr>
        <w:rFonts w:ascii="Symbol" w:hAnsi="Symbol" w:hint="default"/>
      </w:rPr>
    </w:lvl>
    <w:lvl w:ilvl="4" w:tplc="04130003" w:tentative="1">
      <w:start w:val="1"/>
      <w:numFmt w:val="bullet"/>
      <w:lvlText w:val="o"/>
      <w:lvlJc w:val="left"/>
      <w:pPr>
        <w:ind w:left="3949" w:hanging="360"/>
      </w:pPr>
      <w:rPr>
        <w:rFonts w:ascii="Courier New" w:hAnsi="Courier New" w:cs="Courier New" w:hint="default"/>
      </w:rPr>
    </w:lvl>
    <w:lvl w:ilvl="5" w:tplc="04130005" w:tentative="1">
      <w:start w:val="1"/>
      <w:numFmt w:val="bullet"/>
      <w:lvlText w:val=""/>
      <w:lvlJc w:val="left"/>
      <w:pPr>
        <w:ind w:left="4669" w:hanging="360"/>
      </w:pPr>
      <w:rPr>
        <w:rFonts w:ascii="Wingdings" w:hAnsi="Wingdings" w:hint="default"/>
      </w:rPr>
    </w:lvl>
    <w:lvl w:ilvl="6" w:tplc="04130001" w:tentative="1">
      <w:start w:val="1"/>
      <w:numFmt w:val="bullet"/>
      <w:lvlText w:val=""/>
      <w:lvlJc w:val="left"/>
      <w:pPr>
        <w:ind w:left="5389" w:hanging="360"/>
      </w:pPr>
      <w:rPr>
        <w:rFonts w:ascii="Symbol" w:hAnsi="Symbol" w:hint="default"/>
      </w:rPr>
    </w:lvl>
    <w:lvl w:ilvl="7" w:tplc="04130003" w:tentative="1">
      <w:start w:val="1"/>
      <w:numFmt w:val="bullet"/>
      <w:lvlText w:val="o"/>
      <w:lvlJc w:val="left"/>
      <w:pPr>
        <w:ind w:left="6109" w:hanging="360"/>
      </w:pPr>
      <w:rPr>
        <w:rFonts w:ascii="Courier New" w:hAnsi="Courier New" w:cs="Courier New" w:hint="default"/>
      </w:rPr>
    </w:lvl>
    <w:lvl w:ilvl="8" w:tplc="04130005" w:tentative="1">
      <w:start w:val="1"/>
      <w:numFmt w:val="bullet"/>
      <w:lvlText w:val=""/>
      <w:lvlJc w:val="left"/>
      <w:pPr>
        <w:ind w:left="6829" w:hanging="360"/>
      </w:pPr>
      <w:rPr>
        <w:rFonts w:ascii="Wingdings" w:hAnsi="Wingdings" w:hint="default"/>
      </w:rPr>
    </w:lvl>
  </w:abstractNum>
  <w:abstractNum w:abstractNumId="19" w15:restartNumberingAfterBreak="0">
    <w:nsid w:val="6EDA70F4"/>
    <w:multiLevelType w:val="hybridMultilevel"/>
    <w:tmpl w:val="C93A3B9A"/>
    <w:lvl w:ilvl="0" w:tplc="CEEE01F8">
      <w:start w:val="1"/>
      <w:numFmt w:val="decimal"/>
      <w:lvlText w:val="%1."/>
      <w:lvlJc w:val="left"/>
      <w:pPr>
        <w:ind w:left="1069" w:hanging="360"/>
      </w:pPr>
      <w:rPr>
        <w:rFonts w:hint="default"/>
      </w:rPr>
    </w:lvl>
    <w:lvl w:ilvl="1" w:tplc="04130019" w:tentative="1">
      <w:start w:val="1"/>
      <w:numFmt w:val="lowerLetter"/>
      <w:lvlText w:val="%2."/>
      <w:lvlJc w:val="left"/>
      <w:pPr>
        <w:ind w:left="1789" w:hanging="360"/>
      </w:pPr>
    </w:lvl>
    <w:lvl w:ilvl="2" w:tplc="0413001B" w:tentative="1">
      <w:start w:val="1"/>
      <w:numFmt w:val="lowerRoman"/>
      <w:lvlText w:val="%3."/>
      <w:lvlJc w:val="right"/>
      <w:pPr>
        <w:ind w:left="2509" w:hanging="180"/>
      </w:pPr>
    </w:lvl>
    <w:lvl w:ilvl="3" w:tplc="0413000F" w:tentative="1">
      <w:start w:val="1"/>
      <w:numFmt w:val="decimal"/>
      <w:lvlText w:val="%4."/>
      <w:lvlJc w:val="left"/>
      <w:pPr>
        <w:ind w:left="3229" w:hanging="360"/>
      </w:pPr>
    </w:lvl>
    <w:lvl w:ilvl="4" w:tplc="04130019" w:tentative="1">
      <w:start w:val="1"/>
      <w:numFmt w:val="lowerLetter"/>
      <w:lvlText w:val="%5."/>
      <w:lvlJc w:val="left"/>
      <w:pPr>
        <w:ind w:left="3949" w:hanging="360"/>
      </w:pPr>
    </w:lvl>
    <w:lvl w:ilvl="5" w:tplc="0413001B" w:tentative="1">
      <w:start w:val="1"/>
      <w:numFmt w:val="lowerRoman"/>
      <w:lvlText w:val="%6."/>
      <w:lvlJc w:val="right"/>
      <w:pPr>
        <w:ind w:left="4669" w:hanging="180"/>
      </w:pPr>
    </w:lvl>
    <w:lvl w:ilvl="6" w:tplc="0413000F" w:tentative="1">
      <w:start w:val="1"/>
      <w:numFmt w:val="decimal"/>
      <w:lvlText w:val="%7."/>
      <w:lvlJc w:val="left"/>
      <w:pPr>
        <w:ind w:left="5389" w:hanging="360"/>
      </w:pPr>
    </w:lvl>
    <w:lvl w:ilvl="7" w:tplc="04130019" w:tentative="1">
      <w:start w:val="1"/>
      <w:numFmt w:val="lowerLetter"/>
      <w:lvlText w:val="%8."/>
      <w:lvlJc w:val="left"/>
      <w:pPr>
        <w:ind w:left="6109" w:hanging="360"/>
      </w:pPr>
    </w:lvl>
    <w:lvl w:ilvl="8" w:tplc="0413001B" w:tentative="1">
      <w:start w:val="1"/>
      <w:numFmt w:val="lowerRoman"/>
      <w:lvlText w:val="%9."/>
      <w:lvlJc w:val="right"/>
      <w:pPr>
        <w:ind w:left="6829" w:hanging="180"/>
      </w:pPr>
    </w:lvl>
  </w:abstractNum>
  <w:abstractNum w:abstractNumId="20" w15:restartNumberingAfterBreak="0">
    <w:nsid w:val="70193295"/>
    <w:multiLevelType w:val="hybridMultilevel"/>
    <w:tmpl w:val="A9C6A908"/>
    <w:lvl w:ilvl="0" w:tplc="6876103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777F0AE3"/>
    <w:multiLevelType w:val="hybridMultilevel"/>
    <w:tmpl w:val="07022E34"/>
    <w:lvl w:ilvl="0" w:tplc="E4A4F008">
      <w:numFmt w:val="bullet"/>
      <w:lvlText w:val="-"/>
      <w:lvlJc w:val="left"/>
      <w:pPr>
        <w:ind w:left="1069" w:hanging="360"/>
      </w:pPr>
      <w:rPr>
        <w:rFonts w:ascii="Times New Roman" w:eastAsiaTheme="minorHAnsi" w:hAnsi="Times New Roman" w:cs="Times New Roman" w:hint="default"/>
      </w:rPr>
    </w:lvl>
    <w:lvl w:ilvl="1" w:tplc="04130003" w:tentative="1">
      <w:start w:val="1"/>
      <w:numFmt w:val="bullet"/>
      <w:lvlText w:val="o"/>
      <w:lvlJc w:val="left"/>
      <w:pPr>
        <w:ind w:left="1789" w:hanging="360"/>
      </w:pPr>
      <w:rPr>
        <w:rFonts w:ascii="Courier New" w:hAnsi="Courier New" w:cs="Courier New" w:hint="default"/>
      </w:rPr>
    </w:lvl>
    <w:lvl w:ilvl="2" w:tplc="04130005" w:tentative="1">
      <w:start w:val="1"/>
      <w:numFmt w:val="bullet"/>
      <w:lvlText w:val=""/>
      <w:lvlJc w:val="left"/>
      <w:pPr>
        <w:ind w:left="2509" w:hanging="360"/>
      </w:pPr>
      <w:rPr>
        <w:rFonts w:ascii="Wingdings" w:hAnsi="Wingdings" w:hint="default"/>
      </w:rPr>
    </w:lvl>
    <w:lvl w:ilvl="3" w:tplc="04130001" w:tentative="1">
      <w:start w:val="1"/>
      <w:numFmt w:val="bullet"/>
      <w:lvlText w:val=""/>
      <w:lvlJc w:val="left"/>
      <w:pPr>
        <w:ind w:left="3229" w:hanging="360"/>
      </w:pPr>
      <w:rPr>
        <w:rFonts w:ascii="Symbol" w:hAnsi="Symbol" w:hint="default"/>
      </w:rPr>
    </w:lvl>
    <w:lvl w:ilvl="4" w:tplc="04130003" w:tentative="1">
      <w:start w:val="1"/>
      <w:numFmt w:val="bullet"/>
      <w:lvlText w:val="o"/>
      <w:lvlJc w:val="left"/>
      <w:pPr>
        <w:ind w:left="3949" w:hanging="360"/>
      </w:pPr>
      <w:rPr>
        <w:rFonts w:ascii="Courier New" w:hAnsi="Courier New" w:cs="Courier New" w:hint="default"/>
      </w:rPr>
    </w:lvl>
    <w:lvl w:ilvl="5" w:tplc="04130005" w:tentative="1">
      <w:start w:val="1"/>
      <w:numFmt w:val="bullet"/>
      <w:lvlText w:val=""/>
      <w:lvlJc w:val="left"/>
      <w:pPr>
        <w:ind w:left="4669" w:hanging="360"/>
      </w:pPr>
      <w:rPr>
        <w:rFonts w:ascii="Wingdings" w:hAnsi="Wingdings" w:hint="default"/>
      </w:rPr>
    </w:lvl>
    <w:lvl w:ilvl="6" w:tplc="04130001" w:tentative="1">
      <w:start w:val="1"/>
      <w:numFmt w:val="bullet"/>
      <w:lvlText w:val=""/>
      <w:lvlJc w:val="left"/>
      <w:pPr>
        <w:ind w:left="5389" w:hanging="360"/>
      </w:pPr>
      <w:rPr>
        <w:rFonts w:ascii="Symbol" w:hAnsi="Symbol" w:hint="default"/>
      </w:rPr>
    </w:lvl>
    <w:lvl w:ilvl="7" w:tplc="04130003" w:tentative="1">
      <w:start w:val="1"/>
      <w:numFmt w:val="bullet"/>
      <w:lvlText w:val="o"/>
      <w:lvlJc w:val="left"/>
      <w:pPr>
        <w:ind w:left="6109" w:hanging="360"/>
      </w:pPr>
      <w:rPr>
        <w:rFonts w:ascii="Courier New" w:hAnsi="Courier New" w:cs="Courier New" w:hint="default"/>
      </w:rPr>
    </w:lvl>
    <w:lvl w:ilvl="8" w:tplc="04130005" w:tentative="1">
      <w:start w:val="1"/>
      <w:numFmt w:val="bullet"/>
      <w:lvlText w:val=""/>
      <w:lvlJc w:val="left"/>
      <w:pPr>
        <w:ind w:left="6829" w:hanging="360"/>
      </w:pPr>
      <w:rPr>
        <w:rFonts w:ascii="Wingdings" w:hAnsi="Wingdings" w:hint="default"/>
      </w:rPr>
    </w:lvl>
  </w:abstractNum>
  <w:abstractNum w:abstractNumId="22" w15:restartNumberingAfterBreak="0">
    <w:nsid w:val="7BAF430A"/>
    <w:multiLevelType w:val="hybridMultilevel"/>
    <w:tmpl w:val="D012D4F4"/>
    <w:lvl w:ilvl="0" w:tplc="3614154E">
      <w:start w:val="1"/>
      <w:numFmt w:val="decimal"/>
      <w:lvlText w:val="%1."/>
      <w:lvlJc w:val="left"/>
      <w:pPr>
        <w:ind w:left="1069" w:hanging="360"/>
      </w:pPr>
      <w:rPr>
        <w:rFonts w:hint="default"/>
      </w:rPr>
    </w:lvl>
    <w:lvl w:ilvl="1" w:tplc="04130019" w:tentative="1">
      <w:start w:val="1"/>
      <w:numFmt w:val="lowerLetter"/>
      <w:lvlText w:val="%2."/>
      <w:lvlJc w:val="left"/>
      <w:pPr>
        <w:ind w:left="1789" w:hanging="360"/>
      </w:pPr>
    </w:lvl>
    <w:lvl w:ilvl="2" w:tplc="0413001B" w:tentative="1">
      <w:start w:val="1"/>
      <w:numFmt w:val="lowerRoman"/>
      <w:lvlText w:val="%3."/>
      <w:lvlJc w:val="right"/>
      <w:pPr>
        <w:ind w:left="2509" w:hanging="180"/>
      </w:pPr>
    </w:lvl>
    <w:lvl w:ilvl="3" w:tplc="0413000F" w:tentative="1">
      <w:start w:val="1"/>
      <w:numFmt w:val="decimal"/>
      <w:lvlText w:val="%4."/>
      <w:lvlJc w:val="left"/>
      <w:pPr>
        <w:ind w:left="3229" w:hanging="360"/>
      </w:pPr>
    </w:lvl>
    <w:lvl w:ilvl="4" w:tplc="04130019" w:tentative="1">
      <w:start w:val="1"/>
      <w:numFmt w:val="lowerLetter"/>
      <w:lvlText w:val="%5."/>
      <w:lvlJc w:val="left"/>
      <w:pPr>
        <w:ind w:left="3949" w:hanging="360"/>
      </w:pPr>
    </w:lvl>
    <w:lvl w:ilvl="5" w:tplc="0413001B" w:tentative="1">
      <w:start w:val="1"/>
      <w:numFmt w:val="lowerRoman"/>
      <w:lvlText w:val="%6."/>
      <w:lvlJc w:val="right"/>
      <w:pPr>
        <w:ind w:left="4669" w:hanging="180"/>
      </w:pPr>
    </w:lvl>
    <w:lvl w:ilvl="6" w:tplc="0413000F" w:tentative="1">
      <w:start w:val="1"/>
      <w:numFmt w:val="decimal"/>
      <w:lvlText w:val="%7."/>
      <w:lvlJc w:val="left"/>
      <w:pPr>
        <w:ind w:left="5389" w:hanging="360"/>
      </w:pPr>
    </w:lvl>
    <w:lvl w:ilvl="7" w:tplc="04130019" w:tentative="1">
      <w:start w:val="1"/>
      <w:numFmt w:val="lowerLetter"/>
      <w:lvlText w:val="%8."/>
      <w:lvlJc w:val="left"/>
      <w:pPr>
        <w:ind w:left="6109" w:hanging="360"/>
      </w:pPr>
    </w:lvl>
    <w:lvl w:ilvl="8" w:tplc="0413001B" w:tentative="1">
      <w:start w:val="1"/>
      <w:numFmt w:val="lowerRoman"/>
      <w:lvlText w:val="%9."/>
      <w:lvlJc w:val="right"/>
      <w:pPr>
        <w:ind w:left="6829" w:hanging="180"/>
      </w:pPr>
    </w:lvl>
  </w:abstractNum>
  <w:num w:numId="1">
    <w:abstractNumId w:val="4"/>
  </w:num>
  <w:num w:numId="2">
    <w:abstractNumId w:val="5"/>
  </w:num>
  <w:num w:numId="3">
    <w:abstractNumId w:val="2"/>
  </w:num>
  <w:num w:numId="4">
    <w:abstractNumId w:val="20"/>
  </w:num>
  <w:num w:numId="5">
    <w:abstractNumId w:val="1"/>
  </w:num>
  <w:num w:numId="6">
    <w:abstractNumId w:val="16"/>
  </w:num>
  <w:num w:numId="7">
    <w:abstractNumId w:val="0"/>
  </w:num>
  <w:num w:numId="8">
    <w:abstractNumId w:val="15"/>
  </w:num>
  <w:num w:numId="9">
    <w:abstractNumId w:val="21"/>
  </w:num>
  <w:num w:numId="10">
    <w:abstractNumId w:val="22"/>
  </w:num>
  <w:num w:numId="11">
    <w:abstractNumId w:val="19"/>
  </w:num>
  <w:num w:numId="12">
    <w:abstractNumId w:val="8"/>
  </w:num>
  <w:num w:numId="13">
    <w:abstractNumId w:val="10"/>
  </w:num>
  <w:num w:numId="14">
    <w:abstractNumId w:val="7"/>
  </w:num>
  <w:num w:numId="15">
    <w:abstractNumId w:val="18"/>
  </w:num>
  <w:num w:numId="16">
    <w:abstractNumId w:val="14"/>
  </w:num>
  <w:num w:numId="17">
    <w:abstractNumId w:val="12"/>
  </w:num>
  <w:num w:numId="18">
    <w:abstractNumId w:val="6"/>
  </w:num>
  <w:num w:numId="19">
    <w:abstractNumId w:val="17"/>
  </w:num>
  <w:num w:numId="20">
    <w:abstractNumId w:val="13"/>
  </w:num>
  <w:num w:numId="21">
    <w:abstractNumId w:val="3"/>
  </w:num>
  <w:num w:numId="22">
    <w:abstractNumId w:val="9"/>
  </w:num>
  <w:num w:numId="2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10B9"/>
    <w:rsid w:val="00002F9F"/>
    <w:rsid w:val="00003A91"/>
    <w:rsid w:val="00003AE8"/>
    <w:rsid w:val="00003D7E"/>
    <w:rsid w:val="00004922"/>
    <w:rsid w:val="00005BF5"/>
    <w:rsid w:val="0000756D"/>
    <w:rsid w:val="000156AB"/>
    <w:rsid w:val="000237A5"/>
    <w:rsid w:val="000250D6"/>
    <w:rsid w:val="00035393"/>
    <w:rsid w:val="000473F7"/>
    <w:rsid w:val="00057FF4"/>
    <w:rsid w:val="00070068"/>
    <w:rsid w:val="000716B0"/>
    <w:rsid w:val="0007770F"/>
    <w:rsid w:val="00082D01"/>
    <w:rsid w:val="00095AB4"/>
    <w:rsid w:val="00097CB3"/>
    <w:rsid w:val="000A204E"/>
    <w:rsid w:val="000A52B1"/>
    <w:rsid w:val="000B1727"/>
    <w:rsid w:val="000B35F7"/>
    <w:rsid w:val="000B4D47"/>
    <w:rsid w:val="000C10E8"/>
    <w:rsid w:val="000C1F13"/>
    <w:rsid w:val="000C63E4"/>
    <w:rsid w:val="000C65FF"/>
    <w:rsid w:val="000C76F4"/>
    <w:rsid w:val="000D51D0"/>
    <w:rsid w:val="000D7C7D"/>
    <w:rsid w:val="000E4211"/>
    <w:rsid w:val="000E51BC"/>
    <w:rsid w:val="000E7609"/>
    <w:rsid w:val="001208BE"/>
    <w:rsid w:val="0013268A"/>
    <w:rsid w:val="001334F8"/>
    <w:rsid w:val="001356B8"/>
    <w:rsid w:val="00143078"/>
    <w:rsid w:val="00144785"/>
    <w:rsid w:val="001456B8"/>
    <w:rsid w:val="00151861"/>
    <w:rsid w:val="001612B9"/>
    <w:rsid w:val="00164C6D"/>
    <w:rsid w:val="00164E2B"/>
    <w:rsid w:val="00181BB4"/>
    <w:rsid w:val="00185869"/>
    <w:rsid w:val="001876D4"/>
    <w:rsid w:val="00193B80"/>
    <w:rsid w:val="00196D83"/>
    <w:rsid w:val="00197538"/>
    <w:rsid w:val="00197E3A"/>
    <w:rsid w:val="001A10B2"/>
    <w:rsid w:val="001A1A05"/>
    <w:rsid w:val="001A459F"/>
    <w:rsid w:val="001B0B02"/>
    <w:rsid w:val="001C0296"/>
    <w:rsid w:val="001C26DA"/>
    <w:rsid w:val="001D4AAB"/>
    <w:rsid w:val="001E2476"/>
    <w:rsid w:val="001E68F7"/>
    <w:rsid w:val="001F1BB1"/>
    <w:rsid w:val="001F3114"/>
    <w:rsid w:val="001F33AC"/>
    <w:rsid w:val="001F3B17"/>
    <w:rsid w:val="001F6537"/>
    <w:rsid w:val="002047BF"/>
    <w:rsid w:val="00205E12"/>
    <w:rsid w:val="0021024A"/>
    <w:rsid w:val="002152F7"/>
    <w:rsid w:val="002214F0"/>
    <w:rsid w:val="002233E9"/>
    <w:rsid w:val="0023055F"/>
    <w:rsid w:val="00232DC4"/>
    <w:rsid w:val="00247DA0"/>
    <w:rsid w:val="00251A63"/>
    <w:rsid w:val="002529E7"/>
    <w:rsid w:val="0025451F"/>
    <w:rsid w:val="00254964"/>
    <w:rsid w:val="00257AEE"/>
    <w:rsid w:val="00263FE0"/>
    <w:rsid w:val="002672A5"/>
    <w:rsid w:val="00270D46"/>
    <w:rsid w:val="00274509"/>
    <w:rsid w:val="00275F62"/>
    <w:rsid w:val="002776DB"/>
    <w:rsid w:val="002810B9"/>
    <w:rsid w:val="0028182B"/>
    <w:rsid w:val="00281A88"/>
    <w:rsid w:val="00290101"/>
    <w:rsid w:val="0029130D"/>
    <w:rsid w:val="00292452"/>
    <w:rsid w:val="0029747E"/>
    <w:rsid w:val="002A1217"/>
    <w:rsid w:val="002C02F0"/>
    <w:rsid w:val="002C093A"/>
    <w:rsid w:val="002C7484"/>
    <w:rsid w:val="002D5D38"/>
    <w:rsid w:val="0030287C"/>
    <w:rsid w:val="0030658B"/>
    <w:rsid w:val="00307CB9"/>
    <w:rsid w:val="003123CC"/>
    <w:rsid w:val="00312691"/>
    <w:rsid w:val="00313885"/>
    <w:rsid w:val="003219E5"/>
    <w:rsid w:val="00322939"/>
    <w:rsid w:val="00323D48"/>
    <w:rsid w:val="00326A1F"/>
    <w:rsid w:val="003272AB"/>
    <w:rsid w:val="0033020F"/>
    <w:rsid w:val="00330A5D"/>
    <w:rsid w:val="00333635"/>
    <w:rsid w:val="00335954"/>
    <w:rsid w:val="00340722"/>
    <w:rsid w:val="003568B1"/>
    <w:rsid w:val="00362E54"/>
    <w:rsid w:val="0037220E"/>
    <w:rsid w:val="00377487"/>
    <w:rsid w:val="00381B76"/>
    <w:rsid w:val="003900A6"/>
    <w:rsid w:val="003A4212"/>
    <w:rsid w:val="003B5288"/>
    <w:rsid w:val="003C2DC8"/>
    <w:rsid w:val="003C6071"/>
    <w:rsid w:val="003C6674"/>
    <w:rsid w:val="003D1786"/>
    <w:rsid w:val="003E0460"/>
    <w:rsid w:val="003E76B7"/>
    <w:rsid w:val="003F05EC"/>
    <w:rsid w:val="00401DD1"/>
    <w:rsid w:val="0041260A"/>
    <w:rsid w:val="004146FC"/>
    <w:rsid w:val="00416487"/>
    <w:rsid w:val="00430962"/>
    <w:rsid w:val="00432B99"/>
    <w:rsid w:val="00436875"/>
    <w:rsid w:val="0044616F"/>
    <w:rsid w:val="004513EB"/>
    <w:rsid w:val="00470DD7"/>
    <w:rsid w:val="00476F9C"/>
    <w:rsid w:val="004802B4"/>
    <w:rsid w:val="00482D2C"/>
    <w:rsid w:val="00484E85"/>
    <w:rsid w:val="0048532D"/>
    <w:rsid w:val="00491C26"/>
    <w:rsid w:val="0049299E"/>
    <w:rsid w:val="00492D93"/>
    <w:rsid w:val="00496A10"/>
    <w:rsid w:val="004A78D8"/>
    <w:rsid w:val="004B3FBF"/>
    <w:rsid w:val="004B5043"/>
    <w:rsid w:val="004C2880"/>
    <w:rsid w:val="004C3AD9"/>
    <w:rsid w:val="004D1423"/>
    <w:rsid w:val="004F2D07"/>
    <w:rsid w:val="004F3395"/>
    <w:rsid w:val="004F6CA4"/>
    <w:rsid w:val="00500542"/>
    <w:rsid w:val="005005D8"/>
    <w:rsid w:val="0050108F"/>
    <w:rsid w:val="00501E89"/>
    <w:rsid w:val="00502072"/>
    <w:rsid w:val="0050356B"/>
    <w:rsid w:val="00504790"/>
    <w:rsid w:val="00504A39"/>
    <w:rsid w:val="0050638A"/>
    <w:rsid w:val="0050662D"/>
    <w:rsid w:val="00507617"/>
    <w:rsid w:val="00512C95"/>
    <w:rsid w:val="005221FC"/>
    <w:rsid w:val="0054136C"/>
    <w:rsid w:val="00554278"/>
    <w:rsid w:val="00560783"/>
    <w:rsid w:val="00561AA5"/>
    <w:rsid w:val="00563E4E"/>
    <w:rsid w:val="00566034"/>
    <w:rsid w:val="00573D74"/>
    <w:rsid w:val="00582EE0"/>
    <w:rsid w:val="005A18E4"/>
    <w:rsid w:val="005C0228"/>
    <w:rsid w:val="005C7DC2"/>
    <w:rsid w:val="005D4690"/>
    <w:rsid w:val="005F3BDE"/>
    <w:rsid w:val="005F4F22"/>
    <w:rsid w:val="006174ED"/>
    <w:rsid w:val="00621875"/>
    <w:rsid w:val="006219AF"/>
    <w:rsid w:val="00622960"/>
    <w:rsid w:val="00625304"/>
    <w:rsid w:val="006316D4"/>
    <w:rsid w:val="00632E45"/>
    <w:rsid w:val="006474B3"/>
    <w:rsid w:val="00656AF0"/>
    <w:rsid w:val="00671DC6"/>
    <w:rsid w:val="00672CBB"/>
    <w:rsid w:val="006810B1"/>
    <w:rsid w:val="00687080"/>
    <w:rsid w:val="00691298"/>
    <w:rsid w:val="00691617"/>
    <w:rsid w:val="006928DA"/>
    <w:rsid w:val="006B5A84"/>
    <w:rsid w:val="006C7537"/>
    <w:rsid w:val="006D1101"/>
    <w:rsid w:val="006D629D"/>
    <w:rsid w:val="006E1038"/>
    <w:rsid w:val="006E2482"/>
    <w:rsid w:val="006E2A41"/>
    <w:rsid w:val="006E64AB"/>
    <w:rsid w:val="006E64ED"/>
    <w:rsid w:val="006E650C"/>
    <w:rsid w:val="006E79A0"/>
    <w:rsid w:val="006F0F73"/>
    <w:rsid w:val="006F5D72"/>
    <w:rsid w:val="00704D67"/>
    <w:rsid w:val="00712C68"/>
    <w:rsid w:val="00712FEC"/>
    <w:rsid w:val="00741E1C"/>
    <w:rsid w:val="00746269"/>
    <w:rsid w:val="00746D29"/>
    <w:rsid w:val="00757576"/>
    <w:rsid w:val="00760131"/>
    <w:rsid w:val="0077386F"/>
    <w:rsid w:val="00775F65"/>
    <w:rsid w:val="00777A08"/>
    <w:rsid w:val="00791458"/>
    <w:rsid w:val="00796E24"/>
    <w:rsid w:val="00796EAD"/>
    <w:rsid w:val="007B48D6"/>
    <w:rsid w:val="007C5E7E"/>
    <w:rsid w:val="007D786C"/>
    <w:rsid w:val="007E07AE"/>
    <w:rsid w:val="007E0C9E"/>
    <w:rsid w:val="007E79AE"/>
    <w:rsid w:val="007F5546"/>
    <w:rsid w:val="008106EF"/>
    <w:rsid w:val="00810F21"/>
    <w:rsid w:val="00811F5B"/>
    <w:rsid w:val="008153F5"/>
    <w:rsid w:val="00820788"/>
    <w:rsid w:val="00834E2E"/>
    <w:rsid w:val="00840E27"/>
    <w:rsid w:val="00843FB8"/>
    <w:rsid w:val="008454D5"/>
    <w:rsid w:val="00846AE2"/>
    <w:rsid w:val="008543B5"/>
    <w:rsid w:val="00857121"/>
    <w:rsid w:val="008572C4"/>
    <w:rsid w:val="0086522B"/>
    <w:rsid w:val="008655FB"/>
    <w:rsid w:val="0087234B"/>
    <w:rsid w:val="00877C81"/>
    <w:rsid w:val="008815D5"/>
    <w:rsid w:val="00884FBC"/>
    <w:rsid w:val="00885165"/>
    <w:rsid w:val="00890BFB"/>
    <w:rsid w:val="008913B5"/>
    <w:rsid w:val="00896ABA"/>
    <w:rsid w:val="008A011A"/>
    <w:rsid w:val="008B0B34"/>
    <w:rsid w:val="008B1A10"/>
    <w:rsid w:val="008B1A22"/>
    <w:rsid w:val="008B2AD1"/>
    <w:rsid w:val="008C02A4"/>
    <w:rsid w:val="008C1256"/>
    <w:rsid w:val="008C2575"/>
    <w:rsid w:val="008C3EA5"/>
    <w:rsid w:val="008D08B9"/>
    <w:rsid w:val="008D3497"/>
    <w:rsid w:val="008D54B7"/>
    <w:rsid w:val="008E2080"/>
    <w:rsid w:val="008F43C4"/>
    <w:rsid w:val="008F5F05"/>
    <w:rsid w:val="00901333"/>
    <w:rsid w:val="0090650E"/>
    <w:rsid w:val="0091380B"/>
    <w:rsid w:val="00920617"/>
    <w:rsid w:val="00955AF7"/>
    <w:rsid w:val="0096235B"/>
    <w:rsid w:val="00964A50"/>
    <w:rsid w:val="00970CF2"/>
    <w:rsid w:val="00971965"/>
    <w:rsid w:val="009752B9"/>
    <w:rsid w:val="00982393"/>
    <w:rsid w:val="00987C46"/>
    <w:rsid w:val="00987EEF"/>
    <w:rsid w:val="00990983"/>
    <w:rsid w:val="00990AA5"/>
    <w:rsid w:val="0099170D"/>
    <w:rsid w:val="00996481"/>
    <w:rsid w:val="009A03F2"/>
    <w:rsid w:val="009B4924"/>
    <w:rsid w:val="009D6306"/>
    <w:rsid w:val="009D7021"/>
    <w:rsid w:val="009E1F29"/>
    <w:rsid w:val="009E226B"/>
    <w:rsid w:val="009F1418"/>
    <w:rsid w:val="009F296F"/>
    <w:rsid w:val="009F67D4"/>
    <w:rsid w:val="00A009F1"/>
    <w:rsid w:val="00A03AE1"/>
    <w:rsid w:val="00A042C7"/>
    <w:rsid w:val="00A06227"/>
    <w:rsid w:val="00A22697"/>
    <w:rsid w:val="00A26FDE"/>
    <w:rsid w:val="00A27F5E"/>
    <w:rsid w:val="00A37C3C"/>
    <w:rsid w:val="00A53C92"/>
    <w:rsid w:val="00A563FF"/>
    <w:rsid w:val="00A65B01"/>
    <w:rsid w:val="00A67E3E"/>
    <w:rsid w:val="00A7128F"/>
    <w:rsid w:val="00A80B60"/>
    <w:rsid w:val="00A8376C"/>
    <w:rsid w:val="00A851CF"/>
    <w:rsid w:val="00A87EAF"/>
    <w:rsid w:val="00A901D6"/>
    <w:rsid w:val="00A9461D"/>
    <w:rsid w:val="00A95609"/>
    <w:rsid w:val="00AA7E15"/>
    <w:rsid w:val="00AB09CA"/>
    <w:rsid w:val="00AB781E"/>
    <w:rsid w:val="00AC24D8"/>
    <w:rsid w:val="00AC36CB"/>
    <w:rsid w:val="00AD1CAF"/>
    <w:rsid w:val="00AD59C6"/>
    <w:rsid w:val="00AE7E81"/>
    <w:rsid w:val="00AF5E7B"/>
    <w:rsid w:val="00AF6B11"/>
    <w:rsid w:val="00B02B9D"/>
    <w:rsid w:val="00B043E7"/>
    <w:rsid w:val="00B25A03"/>
    <w:rsid w:val="00B52003"/>
    <w:rsid w:val="00B537F6"/>
    <w:rsid w:val="00B55B29"/>
    <w:rsid w:val="00B602D8"/>
    <w:rsid w:val="00B60553"/>
    <w:rsid w:val="00B67F41"/>
    <w:rsid w:val="00B759C5"/>
    <w:rsid w:val="00B83A0C"/>
    <w:rsid w:val="00B97CB9"/>
    <w:rsid w:val="00BA4958"/>
    <w:rsid w:val="00BC2E3F"/>
    <w:rsid w:val="00BD00B1"/>
    <w:rsid w:val="00BD1971"/>
    <w:rsid w:val="00BD6164"/>
    <w:rsid w:val="00BD7694"/>
    <w:rsid w:val="00BD7C9B"/>
    <w:rsid w:val="00BE4CFC"/>
    <w:rsid w:val="00BE7BEE"/>
    <w:rsid w:val="00BF318A"/>
    <w:rsid w:val="00BF58EA"/>
    <w:rsid w:val="00C14390"/>
    <w:rsid w:val="00C15C44"/>
    <w:rsid w:val="00C3692E"/>
    <w:rsid w:val="00C407E0"/>
    <w:rsid w:val="00C44AA5"/>
    <w:rsid w:val="00C45422"/>
    <w:rsid w:val="00C47DDA"/>
    <w:rsid w:val="00C52A74"/>
    <w:rsid w:val="00C53C1C"/>
    <w:rsid w:val="00C5467F"/>
    <w:rsid w:val="00C56095"/>
    <w:rsid w:val="00C57577"/>
    <w:rsid w:val="00C57E30"/>
    <w:rsid w:val="00C64A49"/>
    <w:rsid w:val="00C65808"/>
    <w:rsid w:val="00C91A40"/>
    <w:rsid w:val="00CA3872"/>
    <w:rsid w:val="00CA6199"/>
    <w:rsid w:val="00CC2076"/>
    <w:rsid w:val="00CC7319"/>
    <w:rsid w:val="00CD0AF1"/>
    <w:rsid w:val="00CD2ECC"/>
    <w:rsid w:val="00CD34FF"/>
    <w:rsid w:val="00CE157F"/>
    <w:rsid w:val="00CE481C"/>
    <w:rsid w:val="00CE538A"/>
    <w:rsid w:val="00D2147E"/>
    <w:rsid w:val="00D216C1"/>
    <w:rsid w:val="00D24C32"/>
    <w:rsid w:val="00D40DC1"/>
    <w:rsid w:val="00D530E8"/>
    <w:rsid w:val="00D5432D"/>
    <w:rsid w:val="00D55186"/>
    <w:rsid w:val="00D56B13"/>
    <w:rsid w:val="00D9036F"/>
    <w:rsid w:val="00D9761F"/>
    <w:rsid w:val="00DA291C"/>
    <w:rsid w:val="00DA6816"/>
    <w:rsid w:val="00DB3F96"/>
    <w:rsid w:val="00DD5C8A"/>
    <w:rsid w:val="00DE41D8"/>
    <w:rsid w:val="00DE5590"/>
    <w:rsid w:val="00E00948"/>
    <w:rsid w:val="00E021ED"/>
    <w:rsid w:val="00E07E80"/>
    <w:rsid w:val="00E139C3"/>
    <w:rsid w:val="00E1748D"/>
    <w:rsid w:val="00E45E57"/>
    <w:rsid w:val="00E52E56"/>
    <w:rsid w:val="00E62F58"/>
    <w:rsid w:val="00E66EED"/>
    <w:rsid w:val="00E74D64"/>
    <w:rsid w:val="00E7732C"/>
    <w:rsid w:val="00E82FD0"/>
    <w:rsid w:val="00E9600C"/>
    <w:rsid w:val="00EB31F4"/>
    <w:rsid w:val="00EB5FF7"/>
    <w:rsid w:val="00EB6393"/>
    <w:rsid w:val="00EC65D2"/>
    <w:rsid w:val="00EC7F89"/>
    <w:rsid w:val="00ED1C80"/>
    <w:rsid w:val="00ED4E7D"/>
    <w:rsid w:val="00ED60C0"/>
    <w:rsid w:val="00EE3EE2"/>
    <w:rsid w:val="00EE6A93"/>
    <w:rsid w:val="00EF15E5"/>
    <w:rsid w:val="00F01445"/>
    <w:rsid w:val="00F14B9E"/>
    <w:rsid w:val="00F14EA2"/>
    <w:rsid w:val="00F20587"/>
    <w:rsid w:val="00F24CCB"/>
    <w:rsid w:val="00F25994"/>
    <w:rsid w:val="00F40A63"/>
    <w:rsid w:val="00F42F8D"/>
    <w:rsid w:val="00F50C76"/>
    <w:rsid w:val="00F66A06"/>
    <w:rsid w:val="00F7181B"/>
    <w:rsid w:val="00F7661A"/>
    <w:rsid w:val="00F81A08"/>
    <w:rsid w:val="00F87E8D"/>
    <w:rsid w:val="00FA77AF"/>
    <w:rsid w:val="00FA7D5E"/>
    <w:rsid w:val="00FC367D"/>
    <w:rsid w:val="00FD2670"/>
    <w:rsid w:val="00FD6476"/>
    <w:rsid w:val="00FE1C5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BB4C2A"/>
  <w15:chartTrackingRefBased/>
  <w15:docId w15:val="{8764A6C3-1E35-48AA-BEBA-1BCF978B48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25451F"/>
    <w:pPr>
      <w:ind w:left="720"/>
      <w:contextualSpacing/>
    </w:pPr>
  </w:style>
  <w:style w:type="paragraph" w:styleId="Voetnoottekst">
    <w:name w:val="footnote text"/>
    <w:basedOn w:val="Standaard"/>
    <w:link w:val="VoetnoottekstChar"/>
    <w:uiPriority w:val="99"/>
    <w:semiHidden/>
    <w:unhideWhenUsed/>
    <w:rsid w:val="006F5D72"/>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6F5D72"/>
    <w:rPr>
      <w:sz w:val="20"/>
      <w:szCs w:val="20"/>
    </w:rPr>
  </w:style>
  <w:style w:type="character" w:styleId="Voetnootmarkering">
    <w:name w:val="footnote reference"/>
    <w:basedOn w:val="Standaardalinea-lettertype"/>
    <w:uiPriority w:val="99"/>
    <w:semiHidden/>
    <w:unhideWhenUsed/>
    <w:rsid w:val="006F5D72"/>
    <w:rPr>
      <w:vertAlign w:val="superscript"/>
    </w:rPr>
  </w:style>
  <w:style w:type="character" w:customStyle="1" w:styleId="highlight">
    <w:name w:val="highlight"/>
    <w:basedOn w:val="Standaardalinea-lettertype"/>
    <w:rsid w:val="00746D29"/>
  </w:style>
  <w:style w:type="paragraph" w:styleId="Koptekst">
    <w:name w:val="header"/>
    <w:basedOn w:val="Standaard"/>
    <w:link w:val="KoptekstChar"/>
    <w:uiPriority w:val="99"/>
    <w:unhideWhenUsed/>
    <w:rsid w:val="003C2DC8"/>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3C2DC8"/>
  </w:style>
  <w:style w:type="paragraph" w:styleId="Voettekst">
    <w:name w:val="footer"/>
    <w:basedOn w:val="Standaard"/>
    <w:link w:val="VoettekstChar"/>
    <w:uiPriority w:val="99"/>
    <w:unhideWhenUsed/>
    <w:rsid w:val="003C2DC8"/>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3C2DC8"/>
  </w:style>
  <w:style w:type="character" w:styleId="Verwijzingopmerking">
    <w:name w:val="annotation reference"/>
    <w:basedOn w:val="Standaardalinea-lettertype"/>
    <w:uiPriority w:val="99"/>
    <w:semiHidden/>
    <w:unhideWhenUsed/>
    <w:rsid w:val="00BE7BEE"/>
    <w:rPr>
      <w:sz w:val="16"/>
      <w:szCs w:val="16"/>
    </w:rPr>
  </w:style>
  <w:style w:type="paragraph" w:styleId="Tekstopmerking">
    <w:name w:val="annotation text"/>
    <w:basedOn w:val="Standaard"/>
    <w:link w:val="TekstopmerkingChar"/>
    <w:uiPriority w:val="99"/>
    <w:semiHidden/>
    <w:unhideWhenUsed/>
    <w:rsid w:val="00BE7BEE"/>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BE7BEE"/>
    <w:rPr>
      <w:sz w:val="20"/>
      <w:szCs w:val="20"/>
    </w:rPr>
  </w:style>
  <w:style w:type="paragraph" w:styleId="Onderwerpvanopmerking">
    <w:name w:val="annotation subject"/>
    <w:basedOn w:val="Tekstopmerking"/>
    <w:next w:val="Tekstopmerking"/>
    <w:link w:val="OnderwerpvanopmerkingChar"/>
    <w:uiPriority w:val="99"/>
    <w:semiHidden/>
    <w:unhideWhenUsed/>
    <w:rsid w:val="00BE7BEE"/>
    <w:rPr>
      <w:b/>
      <w:bCs/>
    </w:rPr>
  </w:style>
  <w:style w:type="character" w:customStyle="1" w:styleId="OnderwerpvanopmerkingChar">
    <w:name w:val="Onderwerp van opmerking Char"/>
    <w:basedOn w:val="TekstopmerkingChar"/>
    <w:link w:val="Onderwerpvanopmerking"/>
    <w:uiPriority w:val="99"/>
    <w:semiHidden/>
    <w:rsid w:val="00BE7BEE"/>
    <w:rPr>
      <w:b/>
      <w:bCs/>
      <w:sz w:val="20"/>
      <w:szCs w:val="20"/>
    </w:rPr>
  </w:style>
  <w:style w:type="paragraph" w:styleId="Ballontekst">
    <w:name w:val="Balloon Text"/>
    <w:basedOn w:val="Standaard"/>
    <w:link w:val="BallontekstChar"/>
    <w:uiPriority w:val="99"/>
    <w:semiHidden/>
    <w:unhideWhenUsed/>
    <w:rsid w:val="00BE7BEE"/>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BE7BEE"/>
    <w:rPr>
      <w:rFonts w:ascii="Segoe UI" w:hAnsi="Segoe UI" w:cs="Segoe UI"/>
      <w:sz w:val="18"/>
      <w:szCs w:val="18"/>
    </w:rPr>
  </w:style>
  <w:style w:type="character" w:styleId="Nadruk">
    <w:name w:val="Emphasis"/>
    <w:basedOn w:val="Standaardalinea-lettertype"/>
    <w:uiPriority w:val="20"/>
    <w:qFormat/>
    <w:rsid w:val="00877C81"/>
    <w:rPr>
      <w:i/>
      <w:iCs/>
    </w:rPr>
  </w:style>
  <w:style w:type="character" w:styleId="Hyperlink">
    <w:name w:val="Hyperlink"/>
    <w:basedOn w:val="Standaardalinea-lettertype"/>
    <w:uiPriority w:val="99"/>
    <w:semiHidden/>
    <w:unhideWhenUsed/>
    <w:rsid w:val="00877C81"/>
    <w:rPr>
      <w:color w:val="0000FF"/>
      <w:u w:val="single"/>
    </w:rPr>
  </w:style>
  <w:style w:type="character" w:customStyle="1" w:styleId="58cl">
    <w:name w:val="_58cl"/>
    <w:basedOn w:val="Standaardalinea-lettertype"/>
    <w:rsid w:val="00C56095"/>
  </w:style>
  <w:style w:type="character" w:customStyle="1" w:styleId="58cm">
    <w:name w:val="_58cm"/>
    <w:basedOn w:val="Standaardalinea-lettertype"/>
    <w:rsid w:val="00C56095"/>
  </w:style>
  <w:style w:type="paragraph" w:styleId="Eindnoottekst">
    <w:name w:val="endnote text"/>
    <w:basedOn w:val="Standaard"/>
    <w:link w:val="EindnoottekstChar"/>
    <w:uiPriority w:val="99"/>
    <w:unhideWhenUsed/>
    <w:rsid w:val="0054136C"/>
    <w:pPr>
      <w:spacing w:after="0" w:line="240" w:lineRule="auto"/>
    </w:pPr>
    <w:rPr>
      <w:sz w:val="20"/>
      <w:szCs w:val="20"/>
    </w:rPr>
  </w:style>
  <w:style w:type="character" w:customStyle="1" w:styleId="EindnoottekstChar">
    <w:name w:val="Eindnoottekst Char"/>
    <w:basedOn w:val="Standaardalinea-lettertype"/>
    <w:link w:val="Eindnoottekst"/>
    <w:uiPriority w:val="99"/>
    <w:rsid w:val="0054136C"/>
    <w:rPr>
      <w:sz w:val="20"/>
      <w:szCs w:val="20"/>
    </w:rPr>
  </w:style>
  <w:style w:type="character" w:styleId="Eindnootmarkering">
    <w:name w:val="endnote reference"/>
    <w:basedOn w:val="Standaardalinea-lettertype"/>
    <w:uiPriority w:val="99"/>
    <w:semiHidden/>
    <w:unhideWhenUsed/>
    <w:rsid w:val="0054136C"/>
    <w:rPr>
      <w:vertAlign w:val="superscript"/>
    </w:rPr>
  </w:style>
  <w:style w:type="paragraph" w:styleId="Bibliografie">
    <w:name w:val="Bibliography"/>
    <w:basedOn w:val="Standaard"/>
    <w:next w:val="Standaard"/>
    <w:uiPriority w:val="37"/>
    <w:unhideWhenUsed/>
    <w:rsid w:val="00333635"/>
    <w:pPr>
      <w:spacing w:after="0" w:line="240" w:lineRule="auto"/>
      <w:ind w:left="720" w:hanging="720"/>
    </w:pPr>
  </w:style>
  <w:style w:type="paragraph" w:styleId="Titel">
    <w:name w:val="Title"/>
    <w:basedOn w:val="Standaard"/>
    <w:next w:val="Standaard"/>
    <w:link w:val="TitelChar"/>
    <w:uiPriority w:val="10"/>
    <w:qFormat/>
    <w:rsid w:val="0033595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335954"/>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6841743">
      <w:bodyDiv w:val="1"/>
      <w:marLeft w:val="0"/>
      <w:marRight w:val="0"/>
      <w:marTop w:val="0"/>
      <w:marBottom w:val="0"/>
      <w:divBdr>
        <w:top w:val="none" w:sz="0" w:space="0" w:color="auto"/>
        <w:left w:val="none" w:sz="0" w:space="0" w:color="auto"/>
        <w:bottom w:val="none" w:sz="0" w:space="0" w:color="auto"/>
        <w:right w:val="none" w:sz="0" w:space="0" w:color="auto"/>
      </w:divBdr>
      <w:divsChild>
        <w:div w:id="1122573676">
          <w:marLeft w:val="0"/>
          <w:marRight w:val="0"/>
          <w:marTop w:val="0"/>
          <w:marBottom w:val="0"/>
          <w:divBdr>
            <w:top w:val="none" w:sz="0" w:space="0" w:color="auto"/>
            <w:left w:val="none" w:sz="0" w:space="0" w:color="auto"/>
            <w:bottom w:val="none" w:sz="0" w:space="0" w:color="auto"/>
            <w:right w:val="none" w:sz="0" w:space="0" w:color="auto"/>
          </w:divBdr>
        </w:div>
        <w:div w:id="1513646600">
          <w:marLeft w:val="0"/>
          <w:marRight w:val="0"/>
          <w:marTop w:val="0"/>
          <w:marBottom w:val="0"/>
          <w:divBdr>
            <w:top w:val="none" w:sz="0" w:space="0" w:color="auto"/>
            <w:left w:val="none" w:sz="0" w:space="0" w:color="auto"/>
            <w:bottom w:val="none" w:sz="0" w:space="0" w:color="auto"/>
            <w:right w:val="none" w:sz="0" w:space="0" w:color="auto"/>
          </w:divBdr>
        </w:div>
        <w:div w:id="13723410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030400-8191-49AF-B7FF-CC64C7FAF1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21</Pages>
  <Words>41436</Words>
  <Characters>227899</Characters>
  <Application>Microsoft Office Word</Application>
  <DocSecurity>0</DocSecurity>
  <Lines>1899</Lines>
  <Paragraphs>537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268798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Floris Schuiling</dc:creator>
  <cp:keywords/>
  <dc:description/>
  <cp:lastModifiedBy>Floris Schuiling</cp:lastModifiedBy>
  <cp:revision>4</cp:revision>
  <cp:lastPrinted>2017-02-06T10:03:00Z</cp:lastPrinted>
  <dcterms:created xsi:type="dcterms:W3CDTF">2018-10-30T07:02:00Z</dcterms:created>
  <dcterms:modified xsi:type="dcterms:W3CDTF">2018-12-30T11:21:00Z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zotero-version="5.0.56"&gt;&lt;session id="qfYZ9Eth"/&gt;&lt;style id="http://www.zotero.org/styles/chicago-author-date" locale="en-GB" hasBibliography="1" bibliographyStyleHasBeenSet="1"/&gt;&lt;prefs&gt;&lt;pref name="fieldType" value="Field"/&gt;&lt;pref name</vt:lpwstr>
  </property>
  <property fmtid="{D5CDD505-2E9C-101B-9397-08002B2CF9AE}" pid="3" name="ZOTERO_PREF_2">
    <vt:lpwstr>="storeReferences" value="true"/&gt;&lt;pref name="automaticJournalAbbreviations" value="true"/&gt;&lt;/prefs&gt;&lt;/data&gt;</vt:lpwstr>
  </property>
</Properties>
</file>