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B8" w:rsidRPr="004B5299" w:rsidRDefault="00845290" w:rsidP="00065F9B">
      <w:pPr>
        <w:spacing w:after="0" w:line="240" w:lineRule="auto"/>
        <w:outlineLvl w:val="0"/>
        <w:rPr>
          <w:rFonts w:ascii="Cambria" w:hAnsi="Cambria"/>
          <w:b/>
          <w:sz w:val="28"/>
          <w:szCs w:val="28"/>
        </w:rPr>
      </w:pPr>
      <w:r w:rsidRPr="004B5299">
        <w:rPr>
          <w:rFonts w:ascii="Cambria" w:hAnsi="Cambria"/>
          <w:b/>
          <w:sz w:val="28"/>
          <w:szCs w:val="28"/>
        </w:rPr>
        <w:t xml:space="preserve">Regulation and enforcement of economic freedoms and social rights:  </w:t>
      </w:r>
    </w:p>
    <w:p w:rsidR="00E54C7B" w:rsidRPr="004B5299" w:rsidRDefault="00845290" w:rsidP="00CF3BB8">
      <w:pPr>
        <w:spacing w:after="0" w:line="240" w:lineRule="auto"/>
        <w:rPr>
          <w:rFonts w:ascii="Cambria" w:hAnsi="Cambria"/>
          <w:b/>
          <w:sz w:val="28"/>
          <w:szCs w:val="28"/>
        </w:rPr>
      </w:pPr>
      <w:r w:rsidRPr="004B5299">
        <w:rPr>
          <w:rFonts w:ascii="Cambria" w:hAnsi="Cambria"/>
          <w:b/>
          <w:sz w:val="28"/>
          <w:szCs w:val="28"/>
        </w:rPr>
        <w:t>a thorny distribution of sovereignty</w:t>
      </w:r>
    </w:p>
    <w:p w:rsidR="007C474D" w:rsidRPr="00341652" w:rsidRDefault="007C474D" w:rsidP="00170179">
      <w:pPr>
        <w:spacing w:after="0" w:line="240" w:lineRule="auto"/>
        <w:jc w:val="both"/>
        <w:rPr>
          <w:rFonts w:ascii="Cambria" w:hAnsi="Cambria"/>
          <w:i/>
          <w:sz w:val="22"/>
          <w:lang w:val="en-US"/>
        </w:rPr>
      </w:pPr>
    </w:p>
    <w:p w:rsidR="00E06A83" w:rsidRPr="00341652" w:rsidRDefault="00E54C7B" w:rsidP="00065F9B">
      <w:pPr>
        <w:spacing w:after="0" w:line="240" w:lineRule="auto"/>
        <w:jc w:val="both"/>
        <w:outlineLvl w:val="0"/>
        <w:rPr>
          <w:rFonts w:ascii="Cambria" w:hAnsi="Cambria"/>
          <w:i/>
          <w:sz w:val="22"/>
          <w:lang w:val="en-US"/>
        </w:rPr>
      </w:pPr>
      <w:r w:rsidRPr="00341652">
        <w:rPr>
          <w:rFonts w:ascii="Cambria" w:hAnsi="Cambria"/>
          <w:i/>
          <w:sz w:val="22"/>
          <w:lang w:val="en-US"/>
        </w:rPr>
        <w:t>Aut</w:t>
      </w:r>
      <w:r w:rsidR="00110B03">
        <w:rPr>
          <w:rFonts w:ascii="Cambria" w:hAnsi="Cambria"/>
          <w:i/>
          <w:sz w:val="22"/>
          <w:lang w:val="en-US"/>
        </w:rPr>
        <w:t>hors</w:t>
      </w:r>
      <w:r w:rsidR="00DF1174" w:rsidRPr="00341652">
        <w:rPr>
          <w:rFonts w:ascii="Cambria" w:hAnsi="Cambria"/>
          <w:i/>
          <w:sz w:val="22"/>
          <w:lang w:val="en-US"/>
        </w:rPr>
        <w:t>: Alber</w:t>
      </w:r>
      <w:r w:rsidR="005E6A94" w:rsidRPr="00341652">
        <w:rPr>
          <w:rFonts w:ascii="Cambria" w:hAnsi="Cambria"/>
          <w:i/>
          <w:sz w:val="22"/>
          <w:lang w:val="en-US"/>
        </w:rPr>
        <w:t xml:space="preserve">tine Veldman </w:t>
      </w:r>
      <w:r w:rsidR="00110B03">
        <w:rPr>
          <w:rFonts w:ascii="Cambria" w:hAnsi="Cambria"/>
          <w:i/>
          <w:sz w:val="22"/>
          <w:lang w:val="en-US"/>
        </w:rPr>
        <w:t>and</w:t>
      </w:r>
      <w:r w:rsidR="005E6A94" w:rsidRPr="00341652">
        <w:rPr>
          <w:rFonts w:ascii="Cambria" w:hAnsi="Cambria"/>
          <w:i/>
          <w:sz w:val="22"/>
          <w:lang w:val="en-US"/>
        </w:rPr>
        <w:t xml:space="preserve"> </w:t>
      </w:r>
      <w:r w:rsidR="0020435E" w:rsidRPr="00341652">
        <w:rPr>
          <w:rFonts w:ascii="Cambria" w:hAnsi="Cambria"/>
          <w:i/>
          <w:sz w:val="22"/>
          <w:lang w:val="en-US"/>
        </w:rPr>
        <w:t>Sybe de Vries</w:t>
      </w:r>
    </w:p>
    <w:p w:rsidR="00E06A83" w:rsidRPr="00341652" w:rsidRDefault="00E06A83" w:rsidP="00170179">
      <w:pPr>
        <w:spacing w:after="0" w:line="240" w:lineRule="auto"/>
        <w:jc w:val="both"/>
        <w:rPr>
          <w:rFonts w:ascii="Cambria" w:hAnsi="Cambria"/>
          <w:sz w:val="22"/>
          <w:lang w:val="en-US"/>
        </w:rPr>
      </w:pPr>
    </w:p>
    <w:p w:rsidR="00250B44" w:rsidRPr="00341652" w:rsidRDefault="00250B44" w:rsidP="00170179">
      <w:pPr>
        <w:spacing w:after="0" w:line="240" w:lineRule="auto"/>
        <w:jc w:val="both"/>
        <w:rPr>
          <w:rFonts w:ascii="Cambria" w:hAnsi="Cambria"/>
          <w:b/>
          <w:sz w:val="22"/>
          <w:lang w:val="en-US"/>
        </w:rPr>
      </w:pPr>
    </w:p>
    <w:p w:rsidR="00250B44" w:rsidRPr="00341652" w:rsidRDefault="00250B44" w:rsidP="00170179">
      <w:pPr>
        <w:spacing w:after="0" w:line="240" w:lineRule="auto"/>
        <w:jc w:val="both"/>
        <w:rPr>
          <w:rFonts w:ascii="Cambria" w:hAnsi="Cambria"/>
          <w:b/>
          <w:sz w:val="22"/>
          <w:lang w:val="en-US"/>
        </w:rPr>
      </w:pPr>
    </w:p>
    <w:p w:rsidR="009E6522" w:rsidRPr="00341652" w:rsidRDefault="009E6522" w:rsidP="00170179">
      <w:pPr>
        <w:spacing w:after="0" w:line="240" w:lineRule="auto"/>
        <w:jc w:val="both"/>
        <w:rPr>
          <w:rFonts w:ascii="Cambria" w:hAnsi="Cambria"/>
          <w:b/>
          <w:sz w:val="22"/>
          <w:lang w:val="en-US"/>
        </w:rPr>
      </w:pPr>
    </w:p>
    <w:p w:rsidR="00250B44" w:rsidRPr="00341652" w:rsidRDefault="00250B44" w:rsidP="00170179">
      <w:pPr>
        <w:spacing w:after="0" w:line="240" w:lineRule="auto"/>
        <w:jc w:val="both"/>
        <w:rPr>
          <w:rFonts w:ascii="Cambria" w:hAnsi="Cambria"/>
          <w:b/>
          <w:sz w:val="22"/>
          <w:lang w:val="en-US"/>
        </w:rPr>
      </w:pPr>
    </w:p>
    <w:p w:rsidR="00791091" w:rsidRPr="00341652" w:rsidRDefault="00845290" w:rsidP="00065F9B">
      <w:pPr>
        <w:spacing w:after="0" w:line="240" w:lineRule="auto"/>
        <w:jc w:val="both"/>
        <w:outlineLvl w:val="0"/>
        <w:rPr>
          <w:rFonts w:ascii="Cambria" w:hAnsi="Cambria"/>
          <w:b/>
          <w:sz w:val="22"/>
          <w:lang w:val="en-US"/>
        </w:rPr>
      </w:pPr>
      <w:r w:rsidRPr="00341652">
        <w:rPr>
          <w:rFonts w:ascii="Cambria" w:hAnsi="Cambria"/>
          <w:b/>
          <w:sz w:val="22"/>
          <w:lang w:val="en-US"/>
        </w:rPr>
        <w:t>1</w:t>
      </w:r>
      <w:r w:rsidRPr="00341652">
        <w:rPr>
          <w:rFonts w:ascii="Cambria" w:hAnsi="Cambria"/>
          <w:b/>
          <w:sz w:val="22"/>
          <w:lang w:val="en-US"/>
        </w:rPr>
        <w:tab/>
        <w:t>Introduction</w:t>
      </w:r>
    </w:p>
    <w:p w:rsidR="00791091" w:rsidRPr="00341652" w:rsidRDefault="00791091" w:rsidP="00170179">
      <w:pPr>
        <w:spacing w:after="0" w:line="240" w:lineRule="auto"/>
        <w:jc w:val="both"/>
        <w:rPr>
          <w:rFonts w:ascii="Cambria" w:hAnsi="Cambria"/>
          <w:sz w:val="22"/>
          <w:lang w:val="en-US"/>
        </w:rPr>
      </w:pPr>
    </w:p>
    <w:p w:rsidR="0037759F" w:rsidRPr="000B14B8" w:rsidRDefault="00B7563B" w:rsidP="00170179">
      <w:pPr>
        <w:spacing w:after="0" w:line="240" w:lineRule="auto"/>
        <w:jc w:val="both"/>
        <w:rPr>
          <w:rFonts w:ascii="Cambria" w:hAnsi="Cambria"/>
          <w:sz w:val="22"/>
        </w:rPr>
      </w:pPr>
      <w:r w:rsidRPr="000B14B8">
        <w:rPr>
          <w:rFonts w:ascii="Cambria" w:hAnsi="Cambria"/>
          <w:sz w:val="22"/>
        </w:rPr>
        <w:t xml:space="preserve">The Treaty of Lisbon </w:t>
      </w:r>
      <w:r w:rsidR="00B5309A" w:rsidRPr="008921EE">
        <w:rPr>
          <w:rFonts w:ascii="Cambria" w:hAnsi="Cambria"/>
          <w:sz w:val="22"/>
        </w:rPr>
        <w:t xml:space="preserve">considerably strengthens </w:t>
      </w:r>
      <w:r w:rsidR="00667DAE" w:rsidRPr="001E3E67">
        <w:rPr>
          <w:rFonts w:ascii="Cambria" w:hAnsi="Cambria"/>
          <w:sz w:val="22"/>
        </w:rPr>
        <w:t xml:space="preserve">the </w:t>
      </w:r>
      <w:r w:rsidR="00B5309A" w:rsidRPr="001E3E67">
        <w:rPr>
          <w:rFonts w:ascii="Cambria" w:hAnsi="Cambria"/>
          <w:sz w:val="22"/>
        </w:rPr>
        <w:t xml:space="preserve">social </w:t>
      </w:r>
      <w:r w:rsidR="00667DAE" w:rsidRPr="001E3E67">
        <w:rPr>
          <w:rFonts w:ascii="Cambria" w:hAnsi="Cambria"/>
          <w:sz w:val="22"/>
        </w:rPr>
        <w:t>face of the EU</w:t>
      </w:r>
      <w:r w:rsidR="00B5309A" w:rsidRPr="001E3E67">
        <w:rPr>
          <w:rFonts w:ascii="Cambria" w:hAnsi="Cambria"/>
          <w:sz w:val="22"/>
        </w:rPr>
        <w:t>, for example, through the inclusion of the aim to establish a social market economy (Article 3 TEU), through the integration clause of Article 9 TFEU requiring the EU to pursue a high level of employment</w:t>
      </w:r>
      <w:r w:rsidR="00945631" w:rsidRPr="000B14B8">
        <w:rPr>
          <w:rFonts w:ascii="Cambria" w:hAnsi="Cambria"/>
          <w:sz w:val="22"/>
        </w:rPr>
        <w:t xml:space="preserve"> and to guarantee adequate social protection</w:t>
      </w:r>
      <w:r w:rsidR="00B5309A" w:rsidRPr="000B14B8">
        <w:rPr>
          <w:rFonts w:ascii="Cambria" w:hAnsi="Cambria"/>
          <w:sz w:val="22"/>
        </w:rPr>
        <w:t>, or through the incorporation of the non-discrimination principle as contained in Article 10 TFEU.</w:t>
      </w:r>
      <w:r w:rsidR="00667DAE" w:rsidRPr="000B14B8">
        <w:rPr>
          <w:rFonts w:ascii="Cambria" w:hAnsi="Cambria"/>
          <w:sz w:val="22"/>
        </w:rPr>
        <w:t xml:space="preserve"> In addition</w:t>
      </w:r>
      <w:r w:rsidR="00944F3B">
        <w:rPr>
          <w:rFonts w:ascii="Cambria" w:hAnsi="Cambria"/>
          <w:sz w:val="22"/>
        </w:rPr>
        <w:t>,</w:t>
      </w:r>
      <w:r w:rsidR="00667DAE" w:rsidRPr="000B14B8">
        <w:rPr>
          <w:rFonts w:ascii="Cambria" w:hAnsi="Cambria"/>
          <w:sz w:val="22"/>
        </w:rPr>
        <w:t xml:space="preserve"> the </w:t>
      </w:r>
      <w:r w:rsidRPr="000B14B8">
        <w:rPr>
          <w:rFonts w:ascii="Cambria" w:hAnsi="Cambria"/>
          <w:sz w:val="22"/>
        </w:rPr>
        <w:t>legally binding nature of the EU Charter brings the protection of fundamental rights</w:t>
      </w:r>
      <w:r w:rsidR="00B5309A" w:rsidRPr="000B14B8">
        <w:rPr>
          <w:rFonts w:ascii="Cambria" w:hAnsi="Cambria"/>
          <w:sz w:val="22"/>
        </w:rPr>
        <w:t xml:space="preserve">, including social </w:t>
      </w:r>
      <w:r w:rsidR="00667DAE" w:rsidRPr="000B14B8">
        <w:rPr>
          <w:rFonts w:ascii="Cambria" w:hAnsi="Cambria"/>
          <w:sz w:val="22"/>
        </w:rPr>
        <w:t xml:space="preserve">and economic </w:t>
      </w:r>
      <w:r w:rsidR="00B5309A" w:rsidRPr="000B14B8">
        <w:rPr>
          <w:rFonts w:ascii="Cambria" w:hAnsi="Cambria"/>
          <w:sz w:val="22"/>
        </w:rPr>
        <w:t>rights,</w:t>
      </w:r>
      <w:r w:rsidRPr="000B14B8">
        <w:rPr>
          <w:rFonts w:ascii="Cambria" w:hAnsi="Cambria"/>
          <w:sz w:val="22"/>
        </w:rPr>
        <w:t xml:space="preserve"> at the level of the European Union to a climax. </w:t>
      </w:r>
      <w:r w:rsidR="000F12F6" w:rsidRPr="000B14B8">
        <w:rPr>
          <w:rFonts w:ascii="Cambria" w:hAnsi="Cambria"/>
          <w:sz w:val="22"/>
        </w:rPr>
        <w:t>But do these changes entail that the EU institutions will be able to genuinely advance the EU’s social dimension</w:t>
      </w:r>
      <w:r w:rsidR="00667DAE" w:rsidRPr="000B14B8">
        <w:rPr>
          <w:rFonts w:ascii="Cambria" w:hAnsi="Cambria"/>
          <w:sz w:val="22"/>
        </w:rPr>
        <w:t>, particularly in the light of the well-rooted economic values of the EU that are represented by the four Treaty freedoms</w:t>
      </w:r>
      <w:r w:rsidR="000F12F6" w:rsidRPr="000B14B8">
        <w:rPr>
          <w:rFonts w:ascii="Cambria" w:hAnsi="Cambria"/>
          <w:sz w:val="22"/>
        </w:rPr>
        <w:t>?</w:t>
      </w:r>
    </w:p>
    <w:p w:rsidR="00E85E31" w:rsidRPr="000B14B8" w:rsidRDefault="00667DAE" w:rsidP="00170179">
      <w:pPr>
        <w:spacing w:after="0" w:line="240" w:lineRule="auto"/>
        <w:jc w:val="both"/>
        <w:rPr>
          <w:rFonts w:ascii="Cambria" w:hAnsi="Cambria"/>
          <w:sz w:val="22"/>
        </w:rPr>
      </w:pPr>
      <w:r w:rsidRPr="000B14B8">
        <w:rPr>
          <w:rFonts w:ascii="Cambria" w:hAnsi="Cambria"/>
          <w:sz w:val="22"/>
        </w:rPr>
        <w:t>Where economic values are</w:t>
      </w:r>
      <w:r w:rsidR="00596019" w:rsidRPr="000B14B8">
        <w:rPr>
          <w:rFonts w:ascii="Cambria" w:hAnsi="Cambria"/>
          <w:sz w:val="22"/>
        </w:rPr>
        <w:t xml:space="preserve"> </w:t>
      </w:r>
      <w:r w:rsidR="00F96CA8" w:rsidRPr="000B14B8">
        <w:rPr>
          <w:rFonts w:ascii="Cambria" w:hAnsi="Cambria"/>
          <w:sz w:val="22"/>
        </w:rPr>
        <w:t xml:space="preserve">extensively regulated at </w:t>
      </w:r>
      <w:r w:rsidR="00944F3B">
        <w:rPr>
          <w:rFonts w:ascii="Cambria" w:hAnsi="Cambria"/>
          <w:sz w:val="22"/>
        </w:rPr>
        <w:t xml:space="preserve">the </w:t>
      </w:r>
      <w:r w:rsidR="00F96CA8" w:rsidRPr="000B14B8">
        <w:rPr>
          <w:rFonts w:ascii="Cambria" w:hAnsi="Cambria"/>
          <w:sz w:val="22"/>
        </w:rPr>
        <w:t xml:space="preserve">EU level, this is </w:t>
      </w:r>
      <w:r w:rsidR="00873F43" w:rsidRPr="000B14B8">
        <w:rPr>
          <w:rFonts w:ascii="Cambria" w:hAnsi="Cambria"/>
          <w:sz w:val="22"/>
        </w:rPr>
        <w:t xml:space="preserve">still </w:t>
      </w:r>
      <w:r w:rsidR="00F96CA8" w:rsidRPr="000B14B8">
        <w:rPr>
          <w:rFonts w:ascii="Cambria" w:hAnsi="Cambria"/>
          <w:sz w:val="22"/>
        </w:rPr>
        <w:t xml:space="preserve">much less the case for social values. </w:t>
      </w:r>
      <w:r w:rsidR="008E6533">
        <w:rPr>
          <w:rFonts w:ascii="Cambria" w:hAnsi="Cambria"/>
          <w:sz w:val="22"/>
        </w:rPr>
        <w:t xml:space="preserve">In terms of citizenship, EU citizens have relatively strong economic rights, which find their roots in the internal market, vis-à-vis social rights.  In other words, the concept of EU citizenship continues to carry </w:t>
      </w:r>
      <w:r w:rsidR="00944F3B">
        <w:rPr>
          <w:rFonts w:ascii="Cambria" w:hAnsi="Cambria"/>
          <w:sz w:val="22"/>
        </w:rPr>
        <w:t>there</w:t>
      </w:r>
      <w:r w:rsidR="008E6533">
        <w:rPr>
          <w:rFonts w:ascii="Cambria" w:hAnsi="Cambria"/>
          <w:sz w:val="22"/>
        </w:rPr>
        <w:t>in a form of market citizenship.</w:t>
      </w:r>
      <w:r w:rsidR="008E6533">
        <w:rPr>
          <w:rStyle w:val="Voetnootmarkering"/>
          <w:rFonts w:ascii="Cambria" w:hAnsi="Cambria"/>
          <w:sz w:val="22"/>
        </w:rPr>
        <w:footnoteReference w:id="1"/>
      </w:r>
      <w:r w:rsidR="008E6533">
        <w:rPr>
          <w:rFonts w:ascii="Cambria" w:hAnsi="Cambria"/>
          <w:sz w:val="22"/>
        </w:rPr>
        <w:t xml:space="preserve"> </w:t>
      </w:r>
      <w:r w:rsidR="00F96CA8" w:rsidRPr="000B14B8">
        <w:rPr>
          <w:rFonts w:ascii="Cambria" w:hAnsi="Cambria"/>
          <w:sz w:val="22"/>
        </w:rPr>
        <w:t xml:space="preserve">In the EU Charter social values are included in a rather eclectic way. It is unclear </w:t>
      </w:r>
      <w:r w:rsidR="00CF3BB8">
        <w:rPr>
          <w:rFonts w:ascii="Cambria" w:hAnsi="Cambria"/>
          <w:sz w:val="22"/>
        </w:rPr>
        <w:t xml:space="preserve">to </w:t>
      </w:r>
      <w:r w:rsidR="00F96CA8" w:rsidRPr="000B14B8">
        <w:rPr>
          <w:rFonts w:ascii="Cambria" w:hAnsi="Cambria"/>
          <w:sz w:val="22"/>
        </w:rPr>
        <w:t>wh</w:t>
      </w:r>
      <w:r w:rsidR="006C6257">
        <w:rPr>
          <w:rFonts w:ascii="Cambria" w:hAnsi="Cambria"/>
          <w:sz w:val="22"/>
        </w:rPr>
        <w:t>ich</w:t>
      </w:r>
      <w:r w:rsidR="00F96CA8" w:rsidRPr="000B14B8">
        <w:rPr>
          <w:rFonts w:ascii="Cambria" w:hAnsi="Cambria"/>
          <w:sz w:val="22"/>
        </w:rPr>
        <w:t xml:space="preserve"> extent social rights or principles are judicially cognisable, or, in other words, have direct effect</w:t>
      </w:r>
      <w:r w:rsidR="004C740B">
        <w:rPr>
          <w:rFonts w:ascii="Cambria" w:hAnsi="Cambria"/>
          <w:sz w:val="22"/>
        </w:rPr>
        <w:t>.</w:t>
      </w:r>
      <w:r w:rsidR="00F96CA8" w:rsidRPr="000B14B8">
        <w:rPr>
          <w:rFonts w:ascii="Cambria" w:hAnsi="Cambria"/>
          <w:sz w:val="22"/>
        </w:rPr>
        <w:t xml:space="preserve"> Furthermore, the Union’s </w:t>
      </w:r>
      <w:r w:rsidR="002332AB" w:rsidRPr="000B14B8">
        <w:rPr>
          <w:rFonts w:ascii="Cambria" w:hAnsi="Cambria"/>
          <w:sz w:val="22"/>
        </w:rPr>
        <w:t xml:space="preserve">shared </w:t>
      </w:r>
      <w:r w:rsidR="00F96CA8" w:rsidRPr="000B14B8">
        <w:rPr>
          <w:rFonts w:ascii="Cambria" w:hAnsi="Cambria"/>
          <w:sz w:val="22"/>
        </w:rPr>
        <w:t xml:space="preserve">competences in the field of social policy are limited. </w:t>
      </w:r>
      <w:r w:rsidR="00E85E31" w:rsidRPr="000B14B8">
        <w:rPr>
          <w:rFonts w:ascii="Cambria" w:hAnsi="Cambria"/>
          <w:sz w:val="22"/>
        </w:rPr>
        <w:t>The EU has legislative powers to protect some social values, such as equal treatment</w:t>
      </w:r>
      <w:r w:rsidR="00945631" w:rsidRPr="000B14B8">
        <w:rPr>
          <w:rFonts w:ascii="Cambria" w:hAnsi="Cambria"/>
          <w:sz w:val="22"/>
        </w:rPr>
        <w:t>, health and safety</w:t>
      </w:r>
      <w:r w:rsidR="00E85E31" w:rsidRPr="000B14B8">
        <w:rPr>
          <w:rFonts w:ascii="Cambria" w:hAnsi="Cambria"/>
          <w:sz w:val="22"/>
        </w:rPr>
        <w:t xml:space="preserve"> </w:t>
      </w:r>
      <w:r w:rsidR="004C740B">
        <w:rPr>
          <w:rFonts w:ascii="Cambria" w:hAnsi="Cambria"/>
          <w:sz w:val="22"/>
        </w:rPr>
        <w:t>at work or</w:t>
      </w:r>
      <w:r w:rsidR="00945631" w:rsidRPr="000B14B8">
        <w:rPr>
          <w:rFonts w:ascii="Cambria" w:hAnsi="Cambria"/>
          <w:sz w:val="22"/>
        </w:rPr>
        <w:t xml:space="preserve"> worker</w:t>
      </w:r>
      <w:r w:rsidR="00E85E31" w:rsidRPr="000B14B8">
        <w:rPr>
          <w:rFonts w:ascii="Cambria" w:hAnsi="Cambria"/>
          <w:sz w:val="22"/>
        </w:rPr>
        <w:t>s</w:t>
      </w:r>
      <w:r w:rsidR="00945631" w:rsidRPr="000B14B8">
        <w:rPr>
          <w:rFonts w:ascii="Cambria" w:hAnsi="Cambria"/>
          <w:sz w:val="22"/>
        </w:rPr>
        <w:t>’</w:t>
      </w:r>
      <w:r w:rsidR="00596019" w:rsidRPr="000B14B8">
        <w:rPr>
          <w:rFonts w:ascii="Cambria" w:hAnsi="Cambria"/>
          <w:sz w:val="22"/>
        </w:rPr>
        <w:t xml:space="preserve"> representation</w:t>
      </w:r>
      <w:r w:rsidR="00E85E31" w:rsidRPr="000B14B8">
        <w:rPr>
          <w:rFonts w:ascii="Cambria" w:hAnsi="Cambria"/>
          <w:sz w:val="22"/>
        </w:rPr>
        <w:t>, whereas for other</w:t>
      </w:r>
      <w:r w:rsidR="00873F43" w:rsidRPr="000B14B8">
        <w:rPr>
          <w:rFonts w:ascii="Cambria" w:hAnsi="Cambria"/>
          <w:sz w:val="22"/>
        </w:rPr>
        <w:t>s</w:t>
      </w:r>
      <w:r w:rsidR="00E85E31" w:rsidRPr="000B14B8">
        <w:rPr>
          <w:rFonts w:ascii="Cambria" w:hAnsi="Cambria"/>
          <w:sz w:val="22"/>
        </w:rPr>
        <w:t xml:space="preserve"> </w:t>
      </w:r>
      <w:r w:rsidR="00944F3B">
        <w:rPr>
          <w:rFonts w:ascii="Cambria" w:hAnsi="Cambria"/>
          <w:sz w:val="22"/>
        </w:rPr>
        <w:t xml:space="preserve">the </w:t>
      </w:r>
      <w:r w:rsidR="00E85E31" w:rsidRPr="000B14B8">
        <w:rPr>
          <w:rFonts w:ascii="Cambria" w:hAnsi="Cambria"/>
          <w:sz w:val="22"/>
        </w:rPr>
        <w:t>harmonisation of national laws is exp</w:t>
      </w:r>
      <w:r w:rsidR="00873F43" w:rsidRPr="000B14B8">
        <w:rPr>
          <w:rFonts w:ascii="Cambria" w:hAnsi="Cambria"/>
          <w:sz w:val="22"/>
        </w:rPr>
        <w:t>ressly</w:t>
      </w:r>
      <w:r w:rsidR="00E85E31" w:rsidRPr="000B14B8">
        <w:rPr>
          <w:rFonts w:ascii="Cambria" w:hAnsi="Cambria"/>
          <w:sz w:val="22"/>
        </w:rPr>
        <w:t xml:space="preserve"> excluded (Article 153(5) TFEU </w:t>
      </w:r>
      <w:r w:rsidR="00596019" w:rsidRPr="000B14B8">
        <w:rPr>
          <w:rFonts w:ascii="Cambria" w:hAnsi="Cambria"/>
          <w:sz w:val="22"/>
        </w:rPr>
        <w:t>–</w:t>
      </w:r>
      <w:r w:rsidR="00E85E31" w:rsidRPr="000B14B8">
        <w:rPr>
          <w:rFonts w:ascii="Cambria" w:hAnsi="Cambria"/>
          <w:sz w:val="22"/>
        </w:rPr>
        <w:t xml:space="preserve"> </w:t>
      </w:r>
      <w:r w:rsidR="002332AB" w:rsidRPr="000B14B8">
        <w:rPr>
          <w:rFonts w:ascii="Cambria" w:hAnsi="Cambria"/>
          <w:sz w:val="22"/>
        </w:rPr>
        <w:t xml:space="preserve">pay, the </w:t>
      </w:r>
      <w:r w:rsidR="00596019" w:rsidRPr="000B14B8">
        <w:rPr>
          <w:rFonts w:ascii="Cambria" w:hAnsi="Cambria"/>
          <w:sz w:val="22"/>
        </w:rPr>
        <w:t>right of association and</w:t>
      </w:r>
      <w:r w:rsidR="002332AB" w:rsidRPr="000B14B8">
        <w:rPr>
          <w:rFonts w:ascii="Cambria" w:hAnsi="Cambria"/>
          <w:sz w:val="22"/>
        </w:rPr>
        <w:t xml:space="preserve"> the</w:t>
      </w:r>
      <w:r w:rsidR="00596019" w:rsidRPr="000B14B8">
        <w:rPr>
          <w:rFonts w:ascii="Cambria" w:hAnsi="Cambria"/>
          <w:sz w:val="22"/>
        </w:rPr>
        <w:t xml:space="preserve"> right to take</w:t>
      </w:r>
      <w:r w:rsidR="00E85E31" w:rsidRPr="000B14B8">
        <w:rPr>
          <w:rFonts w:ascii="Cambria" w:hAnsi="Cambria"/>
          <w:sz w:val="22"/>
        </w:rPr>
        <w:t xml:space="preserve"> collective action).</w:t>
      </w:r>
      <w:r w:rsidR="000C7D17" w:rsidRPr="000B14B8">
        <w:rPr>
          <w:rFonts w:ascii="Cambria" w:hAnsi="Cambria"/>
          <w:sz w:val="22"/>
        </w:rPr>
        <w:t xml:space="preserve"> The background of this provision is that Member States wish to retain autonomy in areas of social policy, particular</w:t>
      </w:r>
      <w:r w:rsidR="00596019" w:rsidRPr="000B14B8">
        <w:rPr>
          <w:rFonts w:ascii="Cambria" w:hAnsi="Cambria"/>
          <w:sz w:val="22"/>
        </w:rPr>
        <w:t>ly</w:t>
      </w:r>
      <w:r w:rsidR="000C7D17" w:rsidRPr="000B14B8">
        <w:rPr>
          <w:rFonts w:ascii="Cambria" w:hAnsi="Cambria"/>
          <w:sz w:val="22"/>
        </w:rPr>
        <w:t xml:space="preserve"> where domestic budget p</w:t>
      </w:r>
      <w:r w:rsidR="00596019" w:rsidRPr="000B14B8">
        <w:rPr>
          <w:rFonts w:ascii="Cambria" w:hAnsi="Cambria"/>
          <w:sz w:val="22"/>
        </w:rPr>
        <w:t xml:space="preserve">olicies </w:t>
      </w:r>
      <w:r w:rsidR="00873F43" w:rsidRPr="000B14B8">
        <w:rPr>
          <w:rFonts w:ascii="Cambria" w:hAnsi="Cambria"/>
          <w:sz w:val="22"/>
        </w:rPr>
        <w:t>are a</w:t>
      </w:r>
      <w:r w:rsidR="00596019" w:rsidRPr="000B14B8">
        <w:rPr>
          <w:rFonts w:ascii="Cambria" w:hAnsi="Cambria"/>
          <w:sz w:val="22"/>
        </w:rPr>
        <w:t xml:space="preserve">ffected or </w:t>
      </w:r>
      <w:r w:rsidR="000C7D17" w:rsidRPr="000B14B8">
        <w:rPr>
          <w:rFonts w:ascii="Cambria" w:hAnsi="Cambria"/>
          <w:sz w:val="22"/>
        </w:rPr>
        <w:t xml:space="preserve">national </w:t>
      </w:r>
      <w:r w:rsidR="00270774" w:rsidRPr="000B14B8">
        <w:rPr>
          <w:rFonts w:ascii="Cambria" w:hAnsi="Cambria"/>
          <w:sz w:val="22"/>
        </w:rPr>
        <w:t xml:space="preserve">industrial relations </w:t>
      </w:r>
      <w:r w:rsidR="000C7D17" w:rsidRPr="000B14B8">
        <w:rPr>
          <w:rFonts w:ascii="Cambria" w:hAnsi="Cambria"/>
          <w:sz w:val="22"/>
        </w:rPr>
        <w:t xml:space="preserve">systems </w:t>
      </w:r>
      <w:r w:rsidR="00596019" w:rsidRPr="000B14B8">
        <w:rPr>
          <w:rFonts w:ascii="Cambria" w:hAnsi="Cambria"/>
          <w:sz w:val="22"/>
        </w:rPr>
        <w:t>are concerned.</w:t>
      </w:r>
    </w:p>
    <w:p w:rsidR="00F96CA8" w:rsidRPr="000B14B8" w:rsidRDefault="00F96CA8" w:rsidP="00170179">
      <w:pPr>
        <w:spacing w:after="0" w:line="240" w:lineRule="auto"/>
        <w:jc w:val="both"/>
        <w:rPr>
          <w:rFonts w:ascii="Cambria" w:hAnsi="Cambria"/>
          <w:sz w:val="22"/>
        </w:rPr>
      </w:pPr>
    </w:p>
    <w:p w:rsidR="004C740B" w:rsidRDefault="00FB613C" w:rsidP="00170179">
      <w:pPr>
        <w:spacing w:after="0" w:line="240" w:lineRule="auto"/>
        <w:jc w:val="both"/>
        <w:rPr>
          <w:rFonts w:ascii="Cambria" w:hAnsi="Cambria"/>
          <w:sz w:val="22"/>
        </w:rPr>
      </w:pPr>
      <w:r w:rsidRPr="000B14B8">
        <w:rPr>
          <w:rFonts w:ascii="Cambria" w:hAnsi="Cambria"/>
          <w:sz w:val="22"/>
        </w:rPr>
        <w:t xml:space="preserve">The </w:t>
      </w:r>
      <w:r w:rsidR="00270774" w:rsidRPr="000B14B8">
        <w:rPr>
          <w:rFonts w:ascii="Cambria" w:hAnsi="Cambria"/>
          <w:sz w:val="22"/>
        </w:rPr>
        <w:t xml:space="preserve">asymmetrical </w:t>
      </w:r>
      <w:r w:rsidRPr="000B14B8">
        <w:rPr>
          <w:rFonts w:ascii="Cambria" w:hAnsi="Cambria"/>
          <w:sz w:val="22"/>
        </w:rPr>
        <w:t xml:space="preserve">division of sovereignty between the EU and its Member States </w:t>
      </w:r>
      <w:r w:rsidR="00270774" w:rsidRPr="000B14B8">
        <w:rPr>
          <w:rFonts w:ascii="Cambria" w:hAnsi="Cambria"/>
          <w:sz w:val="22"/>
        </w:rPr>
        <w:t xml:space="preserve">in the socio-economic field </w:t>
      </w:r>
      <w:r w:rsidRPr="000B14B8">
        <w:rPr>
          <w:rFonts w:ascii="Cambria" w:hAnsi="Cambria"/>
          <w:sz w:val="22"/>
        </w:rPr>
        <w:t xml:space="preserve">- the Single Market is ‘European’ </w:t>
      </w:r>
      <w:r w:rsidR="00270774" w:rsidRPr="000B14B8">
        <w:rPr>
          <w:rFonts w:ascii="Cambria" w:hAnsi="Cambria"/>
          <w:sz w:val="22"/>
        </w:rPr>
        <w:t>whereas</w:t>
      </w:r>
      <w:r w:rsidR="00596019" w:rsidRPr="000B14B8">
        <w:rPr>
          <w:rFonts w:ascii="Cambria" w:hAnsi="Cambria"/>
          <w:sz w:val="22"/>
        </w:rPr>
        <w:t xml:space="preserve"> the regulation of </w:t>
      </w:r>
      <w:r w:rsidR="00270774" w:rsidRPr="000B14B8">
        <w:rPr>
          <w:rFonts w:ascii="Cambria" w:hAnsi="Cambria"/>
          <w:sz w:val="22"/>
        </w:rPr>
        <w:t>workers</w:t>
      </w:r>
      <w:r w:rsidR="00944F3B">
        <w:rPr>
          <w:rFonts w:ascii="Cambria" w:hAnsi="Cambria"/>
          <w:sz w:val="22"/>
        </w:rPr>
        <w:t>’</w:t>
      </w:r>
      <w:r w:rsidR="00270774" w:rsidRPr="000B14B8">
        <w:rPr>
          <w:rFonts w:ascii="Cambria" w:hAnsi="Cambria"/>
          <w:sz w:val="22"/>
        </w:rPr>
        <w:t xml:space="preserve"> protection by the support of industrial relations systems is mainly national – may be </w:t>
      </w:r>
      <w:r w:rsidR="00596019" w:rsidRPr="000B14B8">
        <w:rPr>
          <w:rFonts w:ascii="Cambria" w:hAnsi="Cambria"/>
          <w:sz w:val="22"/>
        </w:rPr>
        <w:t>problematic</w:t>
      </w:r>
      <w:r w:rsidRPr="000B14B8">
        <w:rPr>
          <w:rFonts w:ascii="Cambria" w:hAnsi="Cambria"/>
          <w:sz w:val="22"/>
        </w:rPr>
        <w:t xml:space="preserve">. </w:t>
      </w:r>
      <w:r w:rsidR="00596019" w:rsidRPr="000B14B8">
        <w:rPr>
          <w:rFonts w:ascii="Cambria" w:hAnsi="Cambria"/>
          <w:sz w:val="22"/>
        </w:rPr>
        <w:t xml:space="preserve">Where national social laws conflict with EU law, due to the principle of supremacy, national social provisions are set aside. </w:t>
      </w:r>
    </w:p>
    <w:p w:rsidR="00E94165" w:rsidRPr="001E3E67" w:rsidRDefault="00596019" w:rsidP="00170179">
      <w:pPr>
        <w:spacing w:after="0" w:line="240" w:lineRule="auto"/>
        <w:jc w:val="both"/>
        <w:rPr>
          <w:rFonts w:ascii="Cambria" w:hAnsi="Cambria"/>
          <w:sz w:val="22"/>
          <w:lang w:val="en-US"/>
        </w:rPr>
      </w:pPr>
      <w:r w:rsidRPr="000B14B8">
        <w:rPr>
          <w:rFonts w:ascii="Cambria" w:hAnsi="Cambria"/>
          <w:sz w:val="22"/>
        </w:rPr>
        <w:t xml:space="preserve">Sometimes, conflicts between national social provisions and EU law </w:t>
      </w:r>
      <w:r w:rsidR="006C6257">
        <w:rPr>
          <w:rFonts w:ascii="Cambria" w:hAnsi="Cambria"/>
          <w:sz w:val="22"/>
        </w:rPr>
        <w:t>result in</w:t>
      </w:r>
      <w:r w:rsidRPr="000B14B8">
        <w:rPr>
          <w:rFonts w:ascii="Cambria" w:hAnsi="Cambria"/>
          <w:sz w:val="22"/>
        </w:rPr>
        <w:t xml:space="preserve"> a victory for </w:t>
      </w:r>
      <w:r w:rsidR="00E94165" w:rsidRPr="000B14B8">
        <w:rPr>
          <w:rFonts w:ascii="Cambria" w:hAnsi="Cambria"/>
          <w:sz w:val="22"/>
        </w:rPr>
        <w:t xml:space="preserve">the social dimension of the EU. These </w:t>
      </w:r>
      <w:r w:rsidR="006C6257">
        <w:rPr>
          <w:rFonts w:ascii="Cambria" w:hAnsi="Cambria"/>
          <w:sz w:val="22"/>
        </w:rPr>
        <w:t xml:space="preserve">particularly </w:t>
      </w:r>
      <w:r w:rsidR="00E94165" w:rsidRPr="000B14B8">
        <w:rPr>
          <w:rFonts w:ascii="Cambria" w:hAnsi="Cambria"/>
          <w:sz w:val="22"/>
        </w:rPr>
        <w:t>concern cases where national social legislation exclude</w:t>
      </w:r>
      <w:r w:rsidR="00725606" w:rsidRPr="000B14B8">
        <w:rPr>
          <w:rFonts w:ascii="Cambria" w:hAnsi="Cambria"/>
          <w:sz w:val="22"/>
        </w:rPr>
        <w:t xml:space="preserve">s certain </w:t>
      </w:r>
      <w:r w:rsidR="006C6257">
        <w:rPr>
          <w:rFonts w:ascii="Cambria" w:hAnsi="Cambria"/>
          <w:sz w:val="22"/>
        </w:rPr>
        <w:t>(</w:t>
      </w:r>
      <w:r w:rsidR="00725606" w:rsidRPr="000B14B8">
        <w:rPr>
          <w:rFonts w:ascii="Cambria" w:hAnsi="Cambria"/>
          <w:sz w:val="22"/>
        </w:rPr>
        <w:t>groups</w:t>
      </w:r>
      <w:r w:rsidR="006C6257">
        <w:rPr>
          <w:rFonts w:ascii="Cambria" w:hAnsi="Cambria"/>
          <w:sz w:val="22"/>
        </w:rPr>
        <w:t xml:space="preserve"> of) citizens</w:t>
      </w:r>
      <w:r w:rsidR="00725606" w:rsidRPr="000B14B8">
        <w:rPr>
          <w:rFonts w:ascii="Cambria" w:hAnsi="Cambria"/>
          <w:sz w:val="22"/>
        </w:rPr>
        <w:t xml:space="preserve"> from its</w:t>
      </w:r>
      <w:r w:rsidR="00E94165" w:rsidRPr="000B14B8">
        <w:rPr>
          <w:rFonts w:ascii="Cambria" w:hAnsi="Cambria"/>
          <w:sz w:val="22"/>
        </w:rPr>
        <w:t xml:space="preserve"> scope of protection </w:t>
      </w:r>
      <w:r w:rsidR="00725606" w:rsidRPr="000B14B8">
        <w:rPr>
          <w:rFonts w:ascii="Cambria" w:hAnsi="Cambria"/>
          <w:sz w:val="22"/>
        </w:rPr>
        <w:t xml:space="preserve">on the basis of discriminatory grounds </w:t>
      </w:r>
      <w:r w:rsidR="00E94165" w:rsidRPr="000B14B8">
        <w:rPr>
          <w:rFonts w:ascii="Cambria" w:hAnsi="Cambria"/>
          <w:sz w:val="22"/>
        </w:rPr>
        <w:t xml:space="preserve">(e.g. gay couples, persons </w:t>
      </w:r>
      <w:r w:rsidR="00944F3B">
        <w:rPr>
          <w:rFonts w:ascii="Cambria" w:hAnsi="Cambria"/>
          <w:sz w:val="22"/>
        </w:rPr>
        <w:t>of</w:t>
      </w:r>
      <w:r w:rsidR="00E94165" w:rsidRPr="000B14B8">
        <w:rPr>
          <w:rFonts w:ascii="Cambria" w:hAnsi="Cambria"/>
          <w:sz w:val="22"/>
        </w:rPr>
        <w:t xml:space="preserve"> a certain age, </w:t>
      </w:r>
      <w:r w:rsidR="00944F3B">
        <w:rPr>
          <w:rFonts w:ascii="Cambria" w:hAnsi="Cambria"/>
          <w:sz w:val="22"/>
        </w:rPr>
        <w:t>the</w:t>
      </w:r>
      <w:r w:rsidR="00E94165" w:rsidRPr="000B14B8">
        <w:rPr>
          <w:rFonts w:ascii="Cambria" w:hAnsi="Cambria"/>
          <w:sz w:val="22"/>
        </w:rPr>
        <w:t xml:space="preserve"> handicap</w:t>
      </w:r>
      <w:r w:rsidR="00944F3B">
        <w:rPr>
          <w:rFonts w:ascii="Cambria" w:hAnsi="Cambria"/>
          <w:sz w:val="22"/>
        </w:rPr>
        <w:t>ped</w:t>
      </w:r>
      <w:r w:rsidR="00E94165" w:rsidRPr="000B14B8">
        <w:rPr>
          <w:rFonts w:ascii="Cambria" w:hAnsi="Cambria"/>
          <w:sz w:val="22"/>
        </w:rPr>
        <w:t xml:space="preserve"> etc.).</w:t>
      </w:r>
      <w:bookmarkStart w:id="0" w:name="_Ref420512738"/>
      <w:r w:rsidR="00E94165" w:rsidRPr="000B14B8">
        <w:rPr>
          <w:rStyle w:val="Voetnootmarkering"/>
          <w:rFonts w:ascii="Cambria" w:hAnsi="Cambria"/>
          <w:sz w:val="22"/>
        </w:rPr>
        <w:footnoteReference w:id="2"/>
      </w:r>
      <w:bookmarkEnd w:id="0"/>
      <w:r w:rsidR="00E94165" w:rsidRPr="000B14B8">
        <w:rPr>
          <w:rFonts w:ascii="Cambria" w:hAnsi="Cambria"/>
          <w:sz w:val="22"/>
        </w:rPr>
        <w:t xml:space="preserve"> </w:t>
      </w:r>
      <w:r w:rsidR="00E94165" w:rsidRPr="001E3E67">
        <w:rPr>
          <w:rFonts w:ascii="Cambria" w:hAnsi="Cambria"/>
          <w:sz w:val="22"/>
          <w:lang w:val="en-US"/>
        </w:rPr>
        <w:t xml:space="preserve">But in other cases, the conflict between economic values </w:t>
      </w:r>
      <w:r w:rsidR="00944F3B">
        <w:rPr>
          <w:rFonts w:ascii="Cambria" w:hAnsi="Cambria"/>
          <w:sz w:val="22"/>
          <w:lang w:val="en-US"/>
        </w:rPr>
        <w:t>and</w:t>
      </w:r>
      <w:r w:rsidR="00E94165" w:rsidRPr="001E3E67">
        <w:rPr>
          <w:rFonts w:ascii="Cambria" w:hAnsi="Cambria"/>
          <w:sz w:val="22"/>
          <w:lang w:val="en-US"/>
        </w:rPr>
        <w:t xml:space="preserve"> specific social values, </w:t>
      </w:r>
      <w:r w:rsidR="006C6257">
        <w:rPr>
          <w:rFonts w:ascii="Cambria" w:hAnsi="Cambria"/>
          <w:sz w:val="22"/>
          <w:lang w:val="en-US"/>
        </w:rPr>
        <w:t xml:space="preserve">for instance </w:t>
      </w:r>
      <w:r w:rsidR="00E94165" w:rsidRPr="001E3E67">
        <w:rPr>
          <w:rFonts w:ascii="Cambria" w:hAnsi="Cambria"/>
          <w:sz w:val="22"/>
          <w:lang w:val="en-US"/>
        </w:rPr>
        <w:t>the</w:t>
      </w:r>
      <w:r w:rsidR="00E64C4A" w:rsidRPr="001E3E67">
        <w:rPr>
          <w:rFonts w:ascii="Cambria" w:hAnsi="Cambria"/>
          <w:sz w:val="22"/>
          <w:lang w:val="en-US"/>
        </w:rPr>
        <w:t xml:space="preserve"> right to collective barga</w:t>
      </w:r>
      <w:r w:rsidR="00E64C4A" w:rsidRPr="000B14B8">
        <w:rPr>
          <w:rFonts w:ascii="Cambria" w:hAnsi="Cambria"/>
          <w:sz w:val="22"/>
          <w:lang w:val="en-US"/>
        </w:rPr>
        <w:t>ining</w:t>
      </w:r>
      <w:r w:rsidR="00E94165" w:rsidRPr="000B14B8">
        <w:rPr>
          <w:rFonts w:ascii="Cambria" w:hAnsi="Cambria"/>
          <w:sz w:val="22"/>
          <w:lang w:val="en-US"/>
        </w:rPr>
        <w:t xml:space="preserve"> and action, or </w:t>
      </w:r>
      <w:r w:rsidR="00944F3B">
        <w:rPr>
          <w:rFonts w:ascii="Cambria" w:hAnsi="Cambria"/>
          <w:sz w:val="22"/>
          <w:lang w:val="en-US"/>
        </w:rPr>
        <w:t>between economic values and</w:t>
      </w:r>
      <w:r w:rsidR="006C6257">
        <w:rPr>
          <w:rFonts w:ascii="Cambria" w:hAnsi="Cambria"/>
          <w:sz w:val="22"/>
          <w:lang w:val="en-US"/>
        </w:rPr>
        <w:t xml:space="preserve"> </w:t>
      </w:r>
      <w:r w:rsidR="00E94165" w:rsidRPr="000B14B8">
        <w:rPr>
          <w:rFonts w:ascii="Cambria" w:hAnsi="Cambria"/>
          <w:sz w:val="22"/>
          <w:lang w:val="en-US"/>
        </w:rPr>
        <w:t>othe</w:t>
      </w:r>
      <w:r w:rsidR="00270774" w:rsidRPr="000B14B8">
        <w:rPr>
          <w:rFonts w:ascii="Cambria" w:hAnsi="Cambria"/>
          <w:sz w:val="22"/>
          <w:lang w:val="en-US"/>
        </w:rPr>
        <w:t>r sources of national labour regulation</w:t>
      </w:r>
      <w:r w:rsidR="00E94165" w:rsidRPr="000B14B8">
        <w:rPr>
          <w:rFonts w:ascii="Cambria" w:hAnsi="Cambria"/>
          <w:sz w:val="22"/>
          <w:lang w:val="en-US"/>
        </w:rPr>
        <w:t>, such as collective agreements,</w:t>
      </w:r>
      <w:r w:rsidR="006C6257">
        <w:rPr>
          <w:rFonts w:ascii="Cambria" w:hAnsi="Cambria"/>
          <w:sz w:val="22"/>
          <w:lang w:val="en-US"/>
        </w:rPr>
        <w:t xml:space="preserve"> </w:t>
      </w:r>
      <w:r w:rsidR="00E94165" w:rsidRPr="000B14B8">
        <w:rPr>
          <w:rFonts w:ascii="Cambria" w:hAnsi="Cambria"/>
          <w:sz w:val="22"/>
          <w:lang w:val="en-US"/>
        </w:rPr>
        <w:t xml:space="preserve">is more problematic. </w:t>
      </w:r>
      <w:r w:rsidR="00386DDC">
        <w:rPr>
          <w:rFonts w:ascii="Cambria" w:hAnsi="Cambria"/>
          <w:sz w:val="22"/>
          <w:lang w:val="en-US"/>
        </w:rPr>
        <w:t>Because</w:t>
      </w:r>
      <w:r w:rsidR="00791091" w:rsidRPr="000B14B8">
        <w:rPr>
          <w:rFonts w:ascii="Cambria" w:hAnsi="Cambria"/>
          <w:sz w:val="22"/>
          <w:lang w:val="en-US"/>
        </w:rPr>
        <w:t xml:space="preserve"> c</w:t>
      </w:r>
      <w:r w:rsidR="00E94165" w:rsidRPr="000B14B8">
        <w:rPr>
          <w:rFonts w:ascii="Cambria" w:hAnsi="Cambria"/>
          <w:sz w:val="22"/>
          <w:lang w:val="en-US"/>
        </w:rPr>
        <w:t xml:space="preserve">ollective </w:t>
      </w:r>
      <w:proofErr w:type="spellStart"/>
      <w:r w:rsidR="00E94165" w:rsidRPr="000B14B8">
        <w:rPr>
          <w:rFonts w:ascii="Cambria" w:hAnsi="Cambria"/>
          <w:sz w:val="22"/>
          <w:lang w:val="en-US"/>
        </w:rPr>
        <w:t>labour</w:t>
      </w:r>
      <w:proofErr w:type="spellEnd"/>
      <w:r w:rsidR="00E94165" w:rsidRPr="000B14B8">
        <w:rPr>
          <w:rFonts w:ascii="Cambria" w:hAnsi="Cambria"/>
          <w:sz w:val="22"/>
          <w:lang w:val="en-US"/>
        </w:rPr>
        <w:t xml:space="preserve"> agreements restrict co</w:t>
      </w:r>
      <w:r w:rsidR="00791091" w:rsidRPr="000B14B8">
        <w:rPr>
          <w:rFonts w:ascii="Cambria" w:hAnsi="Cambria"/>
          <w:sz w:val="22"/>
          <w:lang w:val="en-US"/>
        </w:rPr>
        <w:t>mpetition on the labour market</w:t>
      </w:r>
      <w:r w:rsidR="00386DDC">
        <w:rPr>
          <w:rFonts w:ascii="Cambria" w:hAnsi="Cambria"/>
          <w:sz w:val="22"/>
          <w:lang w:val="en-US"/>
        </w:rPr>
        <w:t xml:space="preserve"> and</w:t>
      </w:r>
      <w:r w:rsidR="00791091" w:rsidRPr="000B14B8">
        <w:rPr>
          <w:rFonts w:ascii="Cambria" w:hAnsi="Cambria"/>
          <w:sz w:val="22"/>
          <w:lang w:val="en-US"/>
        </w:rPr>
        <w:t xml:space="preserve"> </w:t>
      </w:r>
      <w:r w:rsidR="00944F3B">
        <w:rPr>
          <w:rFonts w:ascii="Cambria" w:hAnsi="Cambria"/>
          <w:sz w:val="22"/>
          <w:lang w:val="en-US"/>
        </w:rPr>
        <w:t xml:space="preserve"> </w:t>
      </w:r>
      <w:r w:rsidR="00E94165" w:rsidRPr="000B14B8">
        <w:rPr>
          <w:rFonts w:ascii="Cambria" w:hAnsi="Cambria"/>
          <w:sz w:val="22"/>
          <w:lang w:val="en-US"/>
        </w:rPr>
        <w:t>strike action</w:t>
      </w:r>
      <w:r w:rsidR="00944F3B">
        <w:rPr>
          <w:rFonts w:ascii="Cambria" w:hAnsi="Cambria"/>
          <w:sz w:val="22"/>
          <w:lang w:val="en-US"/>
        </w:rPr>
        <w:t xml:space="preserve"> </w:t>
      </w:r>
      <w:r w:rsidR="00386DDC">
        <w:rPr>
          <w:rFonts w:ascii="Cambria" w:hAnsi="Cambria"/>
          <w:sz w:val="22"/>
          <w:lang w:val="en-US"/>
        </w:rPr>
        <w:t>restricts</w:t>
      </w:r>
      <w:r w:rsidR="00E94165" w:rsidRPr="000B14B8">
        <w:rPr>
          <w:rFonts w:ascii="Cambria" w:hAnsi="Cambria"/>
          <w:sz w:val="22"/>
          <w:lang w:val="en-US"/>
        </w:rPr>
        <w:t xml:space="preserve"> </w:t>
      </w:r>
      <w:r w:rsidR="00E64C4A" w:rsidRPr="000B14B8">
        <w:rPr>
          <w:rFonts w:ascii="Cambria" w:hAnsi="Cambria"/>
          <w:sz w:val="22"/>
          <w:lang w:val="en-US"/>
        </w:rPr>
        <w:t xml:space="preserve">entrepreneurial </w:t>
      </w:r>
      <w:r w:rsidR="00E94165" w:rsidRPr="000B14B8">
        <w:rPr>
          <w:rFonts w:ascii="Cambria" w:hAnsi="Cambria"/>
          <w:sz w:val="22"/>
          <w:lang w:val="en-US"/>
        </w:rPr>
        <w:t>freedom</w:t>
      </w:r>
      <w:r w:rsidR="00791091" w:rsidRPr="000B14B8">
        <w:rPr>
          <w:rFonts w:ascii="Cambria" w:hAnsi="Cambria"/>
          <w:sz w:val="22"/>
          <w:lang w:val="en-US"/>
        </w:rPr>
        <w:t>, t</w:t>
      </w:r>
      <w:r w:rsidR="00E94165" w:rsidRPr="000B14B8">
        <w:rPr>
          <w:rFonts w:ascii="Cambria" w:hAnsi="Cambria"/>
          <w:sz w:val="22"/>
          <w:lang w:val="en-US"/>
        </w:rPr>
        <w:t xml:space="preserve">he regulation </w:t>
      </w:r>
      <w:r w:rsidR="00791091" w:rsidRPr="000B14B8">
        <w:rPr>
          <w:rFonts w:ascii="Cambria" w:hAnsi="Cambria"/>
          <w:sz w:val="22"/>
          <w:lang w:val="en-US"/>
        </w:rPr>
        <w:t xml:space="preserve">in </w:t>
      </w:r>
      <w:r w:rsidR="00E94165" w:rsidRPr="000B14B8">
        <w:rPr>
          <w:rFonts w:ascii="Cambria" w:hAnsi="Cambria"/>
          <w:sz w:val="22"/>
          <w:lang w:val="en-US"/>
        </w:rPr>
        <w:t>the field of management and labour requires a constant balancing of conflicting values</w:t>
      </w:r>
      <w:r w:rsidR="00791091" w:rsidRPr="000B14B8">
        <w:rPr>
          <w:rFonts w:ascii="Cambria" w:hAnsi="Cambria"/>
          <w:sz w:val="22"/>
          <w:lang w:val="en-US"/>
        </w:rPr>
        <w:t xml:space="preserve">. At </w:t>
      </w:r>
      <w:r w:rsidR="00944F3B">
        <w:rPr>
          <w:rFonts w:ascii="Cambria" w:hAnsi="Cambria"/>
          <w:sz w:val="22"/>
          <w:lang w:val="en-US"/>
        </w:rPr>
        <w:t xml:space="preserve">the </w:t>
      </w:r>
      <w:r w:rsidR="00791091" w:rsidRPr="000B14B8">
        <w:rPr>
          <w:rFonts w:ascii="Cambria" w:hAnsi="Cambria"/>
          <w:sz w:val="22"/>
          <w:lang w:val="en-US"/>
        </w:rPr>
        <w:t xml:space="preserve">EU level the possibilities to reconcile conflicting </w:t>
      </w:r>
      <w:r w:rsidR="00791091" w:rsidRPr="000B14B8">
        <w:rPr>
          <w:rFonts w:ascii="Cambria" w:hAnsi="Cambria"/>
          <w:sz w:val="22"/>
          <w:lang w:val="en-US"/>
        </w:rPr>
        <w:lastRenderedPageBreak/>
        <w:t xml:space="preserve">economic and social values are severely limited by the fact that the EU does not have the competence to enact binding laws in the fields of collective </w:t>
      </w:r>
      <w:r w:rsidR="00E64C4A" w:rsidRPr="000B14B8">
        <w:rPr>
          <w:rFonts w:ascii="Cambria" w:hAnsi="Cambria"/>
          <w:sz w:val="22"/>
          <w:lang w:val="en-US"/>
        </w:rPr>
        <w:t xml:space="preserve">bargaining </w:t>
      </w:r>
      <w:r w:rsidR="006C6257">
        <w:rPr>
          <w:rFonts w:ascii="Cambria" w:hAnsi="Cambria"/>
          <w:sz w:val="22"/>
          <w:lang w:val="en-US"/>
        </w:rPr>
        <w:t>and</w:t>
      </w:r>
      <w:r w:rsidR="00791091" w:rsidRPr="000B14B8">
        <w:rPr>
          <w:rFonts w:ascii="Cambria" w:hAnsi="Cambria"/>
          <w:sz w:val="22"/>
          <w:lang w:val="en-US"/>
        </w:rPr>
        <w:t xml:space="preserve"> the right to strike. And at national level, economic values represented by the four Treaty freedoms are applied by the </w:t>
      </w:r>
      <w:r w:rsidR="00C104E3">
        <w:rPr>
          <w:rFonts w:ascii="Cambria" w:hAnsi="Cambria"/>
          <w:sz w:val="22"/>
          <w:lang w:val="en-US"/>
        </w:rPr>
        <w:t xml:space="preserve">European </w:t>
      </w:r>
      <w:r w:rsidR="00C104E3" w:rsidRPr="00C104E3">
        <w:rPr>
          <w:rFonts w:ascii="Cambria" w:hAnsi="Cambria"/>
          <w:sz w:val="22"/>
          <w:lang w:val="en-US"/>
        </w:rPr>
        <w:t xml:space="preserve">Court of Justice (hereafter: CJEU) </w:t>
      </w:r>
      <w:r w:rsidR="00791091" w:rsidRPr="000B14B8">
        <w:rPr>
          <w:rFonts w:ascii="Cambria" w:hAnsi="Cambria"/>
          <w:sz w:val="22"/>
          <w:lang w:val="en-US"/>
        </w:rPr>
        <w:t xml:space="preserve">to strike down specific national social rights. </w:t>
      </w:r>
      <w:r w:rsidR="00944F3B">
        <w:rPr>
          <w:rFonts w:ascii="Cambria" w:hAnsi="Cambria"/>
          <w:sz w:val="22"/>
          <w:lang w:val="en-US"/>
        </w:rPr>
        <w:t>N</w:t>
      </w:r>
      <w:r w:rsidR="00791091" w:rsidRPr="000B14B8">
        <w:rPr>
          <w:rFonts w:ascii="Cambria" w:hAnsi="Cambria"/>
          <w:sz w:val="22"/>
          <w:lang w:val="en-US"/>
        </w:rPr>
        <w:t xml:space="preserve">ational trade unions must respect the Treaty freedoms on establishment and services in exercising their right to collective </w:t>
      </w:r>
      <w:r w:rsidR="00E64C4A" w:rsidRPr="000B14B8">
        <w:rPr>
          <w:rFonts w:ascii="Cambria" w:hAnsi="Cambria"/>
          <w:sz w:val="22"/>
          <w:lang w:val="en-US"/>
        </w:rPr>
        <w:t>bargaining</w:t>
      </w:r>
      <w:r w:rsidR="00791091" w:rsidRPr="000B14B8">
        <w:rPr>
          <w:rFonts w:ascii="Cambria" w:hAnsi="Cambria"/>
          <w:sz w:val="22"/>
          <w:lang w:val="en-US"/>
        </w:rPr>
        <w:t xml:space="preserve"> and action.</w:t>
      </w:r>
      <w:bookmarkStart w:id="1" w:name="_Ref420507988"/>
      <w:r w:rsidR="00791091" w:rsidRPr="000B14B8">
        <w:rPr>
          <w:rStyle w:val="Voetnootmarkering"/>
          <w:rFonts w:ascii="Cambria" w:hAnsi="Cambria"/>
          <w:sz w:val="22"/>
          <w:lang w:val="en-US"/>
        </w:rPr>
        <w:footnoteReference w:id="3"/>
      </w:r>
      <w:bookmarkEnd w:id="1"/>
      <w:r w:rsidR="00FA39FD" w:rsidRPr="000B14B8">
        <w:rPr>
          <w:rFonts w:ascii="Cambria" w:hAnsi="Cambria"/>
          <w:sz w:val="22"/>
          <w:lang w:val="en-US"/>
        </w:rPr>
        <w:t xml:space="preserve"> And, although there are limits to the application of the Treaty freedoms – they are not absolute – </w:t>
      </w:r>
      <w:r w:rsidR="00CE3F31" w:rsidRPr="000B14B8">
        <w:rPr>
          <w:rFonts w:ascii="Cambria" w:hAnsi="Cambria"/>
          <w:sz w:val="22"/>
          <w:lang w:val="en-US"/>
        </w:rPr>
        <w:t xml:space="preserve">, </w:t>
      </w:r>
      <w:r w:rsidR="00FA39FD" w:rsidRPr="008921EE">
        <w:rPr>
          <w:rFonts w:ascii="Cambria" w:hAnsi="Cambria"/>
          <w:sz w:val="22"/>
          <w:lang w:val="en-US"/>
        </w:rPr>
        <w:t xml:space="preserve">the way in which the </w:t>
      </w:r>
      <w:r w:rsidR="00C104E3" w:rsidRPr="00C104E3">
        <w:rPr>
          <w:rFonts w:ascii="Cambria" w:hAnsi="Cambria"/>
          <w:sz w:val="22"/>
          <w:lang w:val="en-US"/>
        </w:rPr>
        <w:t xml:space="preserve">CJEU </w:t>
      </w:r>
      <w:r w:rsidR="00FA39FD" w:rsidRPr="008921EE">
        <w:rPr>
          <w:rFonts w:ascii="Cambria" w:hAnsi="Cambria"/>
          <w:sz w:val="22"/>
          <w:lang w:val="en-US"/>
        </w:rPr>
        <w:t>balances econ</w:t>
      </w:r>
      <w:r w:rsidR="00FA39FD" w:rsidRPr="001E3E67">
        <w:rPr>
          <w:rFonts w:ascii="Cambria" w:hAnsi="Cambria"/>
          <w:sz w:val="22"/>
          <w:lang w:val="en-US"/>
        </w:rPr>
        <w:t>omic values and social values has been strongly criticized.</w:t>
      </w:r>
      <w:r w:rsidR="00CF3BB8">
        <w:rPr>
          <w:rStyle w:val="Voetnootmarkering"/>
          <w:rFonts w:ascii="Cambria" w:hAnsi="Cambria"/>
          <w:sz w:val="22"/>
          <w:lang w:val="en-US"/>
        </w:rPr>
        <w:footnoteReference w:id="4"/>
      </w:r>
    </w:p>
    <w:p w:rsidR="00F96CA8" w:rsidRPr="001E3E67" w:rsidRDefault="00F96CA8" w:rsidP="00170179">
      <w:pPr>
        <w:spacing w:after="0" w:line="240" w:lineRule="auto"/>
        <w:jc w:val="both"/>
        <w:rPr>
          <w:rFonts w:ascii="Cambria" w:hAnsi="Cambria"/>
          <w:sz w:val="22"/>
          <w:lang w:val="en-US"/>
        </w:rPr>
      </w:pPr>
    </w:p>
    <w:p w:rsidR="00791091" w:rsidRPr="000B14B8" w:rsidRDefault="00FA39FD" w:rsidP="00170179">
      <w:pPr>
        <w:spacing w:after="0" w:line="240" w:lineRule="auto"/>
        <w:jc w:val="both"/>
        <w:rPr>
          <w:rFonts w:ascii="Cambria" w:hAnsi="Cambria"/>
          <w:sz w:val="22"/>
          <w:lang w:val="en-US"/>
        </w:rPr>
      </w:pPr>
      <w:r w:rsidRPr="000B14B8">
        <w:rPr>
          <w:rFonts w:ascii="Cambria" w:hAnsi="Cambria"/>
          <w:sz w:val="22"/>
          <w:lang w:val="en-US"/>
        </w:rPr>
        <w:t xml:space="preserve">The </w:t>
      </w:r>
      <w:r w:rsidR="00E85A96" w:rsidRPr="000B14B8">
        <w:rPr>
          <w:rFonts w:ascii="Cambria" w:hAnsi="Cambria"/>
          <w:sz w:val="22"/>
          <w:lang w:val="en-US"/>
        </w:rPr>
        <w:t xml:space="preserve">query </w:t>
      </w:r>
      <w:r w:rsidR="00987DA2" w:rsidRPr="000B14B8">
        <w:rPr>
          <w:rFonts w:ascii="Cambria" w:hAnsi="Cambria"/>
          <w:sz w:val="22"/>
          <w:lang w:val="en-US"/>
        </w:rPr>
        <w:t>that is central to this paper</w:t>
      </w:r>
      <w:r w:rsidRPr="000B14B8">
        <w:rPr>
          <w:rFonts w:ascii="Cambria" w:hAnsi="Cambria"/>
          <w:sz w:val="22"/>
          <w:lang w:val="en-US"/>
        </w:rPr>
        <w:t xml:space="preserve"> is therefore</w:t>
      </w:r>
      <w:r w:rsidR="009D4744" w:rsidRPr="000B14B8">
        <w:rPr>
          <w:rFonts w:ascii="Cambria" w:hAnsi="Cambria"/>
          <w:sz w:val="22"/>
          <w:lang w:val="en-US"/>
        </w:rPr>
        <w:t>:</w:t>
      </w:r>
      <w:r w:rsidRPr="000B14B8">
        <w:rPr>
          <w:rFonts w:ascii="Cambria" w:hAnsi="Cambria"/>
          <w:sz w:val="22"/>
          <w:lang w:val="en-US"/>
        </w:rPr>
        <w:t xml:space="preserve"> </w:t>
      </w:r>
      <w:r w:rsidR="00987DA2" w:rsidRPr="000B14B8">
        <w:rPr>
          <w:rFonts w:ascii="Cambria" w:hAnsi="Cambria"/>
          <w:sz w:val="22"/>
          <w:lang w:val="en-US"/>
        </w:rPr>
        <w:t>w</w:t>
      </w:r>
      <w:r w:rsidR="00A67745" w:rsidRPr="000B14B8">
        <w:rPr>
          <w:rFonts w:ascii="Cambria" w:hAnsi="Cambria"/>
          <w:sz w:val="22"/>
          <w:lang w:val="en-US"/>
        </w:rPr>
        <w:t>hat are the main reasons for this</w:t>
      </w:r>
      <w:r w:rsidR="00987DA2" w:rsidRPr="000B14B8">
        <w:rPr>
          <w:rFonts w:ascii="Cambria" w:hAnsi="Cambria"/>
          <w:sz w:val="22"/>
          <w:lang w:val="en-US"/>
        </w:rPr>
        <w:t xml:space="preserve"> conflict of social and economic values within the EU, how does </w:t>
      </w:r>
      <w:r w:rsidR="006C6257">
        <w:rPr>
          <w:rFonts w:ascii="Cambria" w:hAnsi="Cambria"/>
          <w:sz w:val="22"/>
          <w:lang w:val="en-US"/>
        </w:rPr>
        <w:t>this conflict</w:t>
      </w:r>
      <w:r w:rsidR="00987DA2" w:rsidRPr="000B14B8">
        <w:rPr>
          <w:rFonts w:ascii="Cambria" w:hAnsi="Cambria"/>
          <w:sz w:val="22"/>
          <w:lang w:val="en-US"/>
        </w:rPr>
        <w:t xml:space="preserve"> distinguish itself from ‘natural’ controversy between social and economic interests at</w:t>
      </w:r>
      <w:r w:rsidR="00604CEB">
        <w:rPr>
          <w:rFonts w:ascii="Cambria" w:hAnsi="Cambria"/>
          <w:sz w:val="22"/>
          <w:lang w:val="en-US"/>
        </w:rPr>
        <w:t xml:space="preserve"> the</w:t>
      </w:r>
      <w:r w:rsidR="00987DA2" w:rsidRPr="000B14B8">
        <w:rPr>
          <w:rFonts w:ascii="Cambria" w:hAnsi="Cambria"/>
          <w:sz w:val="22"/>
          <w:lang w:val="en-US"/>
        </w:rPr>
        <w:t xml:space="preserve"> national level</w:t>
      </w:r>
      <w:r w:rsidR="00A67745" w:rsidRPr="000B14B8">
        <w:rPr>
          <w:rFonts w:ascii="Cambria" w:hAnsi="Cambria"/>
          <w:sz w:val="22"/>
          <w:lang w:val="en-US"/>
        </w:rPr>
        <w:t>,</w:t>
      </w:r>
      <w:r w:rsidR="00987DA2" w:rsidRPr="000B14B8">
        <w:rPr>
          <w:rFonts w:ascii="Cambria" w:hAnsi="Cambria"/>
          <w:sz w:val="22"/>
          <w:lang w:val="en-US"/>
        </w:rPr>
        <w:t xml:space="preserve"> and</w:t>
      </w:r>
      <w:r w:rsidR="00A67745" w:rsidRPr="000B14B8">
        <w:rPr>
          <w:rFonts w:ascii="Cambria" w:hAnsi="Cambria"/>
          <w:sz w:val="22"/>
          <w:lang w:val="en-US"/>
        </w:rPr>
        <w:t>,</w:t>
      </w:r>
      <w:r w:rsidR="00987DA2" w:rsidRPr="000B14B8">
        <w:rPr>
          <w:rFonts w:ascii="Cambria" w:hAnsi="Cambria"/>
          <w:sz w:val="22"/>
          <w:lang w:val="en-US"/>
        </w:rPr>
        <w:t xml:space="preserve"> </w:t>
      </w:r>
      <w:r w:rsidR="00A67745" w:rsidRPr="000B14B8">
        <w:rPr>
          <w:rFonts w:ascii="Cambria" w:hAnsi="Cambria"/>
          <w:sz w:val="22"/>
          <w:lang w:val="en-US"/>
        </w:rPr>
        <w:t xml:space="preserve">given these reasons, </w:t>
      </w:r>
      <w:r w:rsidR="00987DA2" w:rsidRPr="000B14B8">
        <w:rPr>
          <w:rFonts w:ascii="Cambria" w:hAnsi="Cambria"/>
          <w:sz w:val="22"/>
          <w:lang w:val="en-US"/>
        </w:rPr>
        <w:t>(how) can it be overcome</w:t>
      </w:r>
      <w:r w:rsidR="004337A0" w:rsidRPr="000B14B8">
        <w:rPr>
          <w:rFonts w:ascii="Cambria" w:hAnsi="Cambria"/>
          <w:sz w:val="22"/>
          <w:lang w:val="en-US"/>
        </w:rPr>
        <w:t>, or at least mitigated</w:t>
      </w:r>
      <w:r w:rsidR="00A67745" w:rsidRPr="000B14B8">
        <w:rPr>
          <w:rFonts w:ascii="Cambria" w:hAnsi="Cambria"/>
          <w:sz w:val="22"/>
          <w:lang w:val="en-US"/>
        </w:rPr>
        <w:t>,</w:t>
      </w:r>
      <w:r w:rsidR="009D4744" w:rsidRPr="000B14B8">
        <w:rPr>
          <w:rFonts w:ascii="Cambria" w:hAnsi="Cambria"/>
          <w:sz w:val="22"/>
          <w:lang w:val="en-US"/>
        </w:rPr>
        <w:t xml:space="preserve"> in </w:t>
      </w:r>
      <w:r w:rsidRPr="000B14B8">
        <w:rPr>
          <w:rFonts w:ascii="Cambria" w:hAnsi="Cambria"/>
          <w:sz w:val="22"/>
          <w:lang w:val="en-US"/>
        </w:rPr>
        <w:t xml:space="preserve">order to prevent </w:t>
      </w:r>
      <w:r w:rsidR="006D6A8F" w:rsidRPr="000B14B8">
        <w:rPr>
          <w:rFonts w:ascii="Cambria" w:hAnsi="Cambria"/>
          <w:sz w:val="22"/>
          <w:lang w:val="en-US"/>
        </w:rPr>
        <w:t>(</w:t>
      </w:r>
      <w:r w:rsidR="00A67745" w:rsidRPr="000B14B8">
        <w:rPr>
          <w:rFonts w:ascii="Cambria" w:hAnsi="Cambria"/>
          <w:sz w:val="22"/>
          <w:lang w:val="en-US"/>
        </w:rPr>
        <w:t>national</w:t>
      </w:r>
      <w:r w:rsidR="006D6A8F" w:rsidRPr="000B14B8">
        <w:rPr>
          <w:rFonts w:ascii="Cambria" w:hAnsi="Cambria"/>
          <w:sz w:val="22"/>
          <w:lang w:val="en-US"/>
        </w:rPr>
        <w:t>)</w:t>
      </w:r>
      <w:r w:rsidR="00A67745" w:rsidRPr="000B14B8">
        <w:rPr>
          <w:rFonts w:ascii="Cambria" w:hAnsi="Cambria"/>
          <w:sz w:val="22"/>
          <w:lang w:val="en-US"/>
        </w:rPr>
        <w:t xml:space="preserve"> </w:t>
      </w:r>
      <w:r w:rsidR="009D4744" w:rsidRPr="000B14B8">
        <w:rPr>
          <w:rFonts w:ascii="Cambria" w:hAnsi="Cambria"/>
          <w:sz w:val="22"/>
          <w:lang w:val="en-US"/>
        </w:rPr>
        <w:t>social values becom</w:t>
      </w:r>
      <w:r w:rsidR="00604CEB">
        <w:rPr>
          <w:rFonts w:ascii="Cambria" w:hAnsi="Cambria"/>
          <w:sz w:val="22"/>
          <w:lang w:val="en-US"/>
        </w:rPr>
        <w:t>ing</w:t>
      </w:r>
      <w:r w:rsidR="009D4744" w:rsidRPr="000B14B8">
        <w:rPr>
          <w:rFonts w:ascii="Cambria" w:hAnsi="Cambria"/>
          <w:sz w:val="22"/>
          <w:lang w:val="en-US"/>
        </w:rPr>
        <w:t xml:space="preserve"> wholly</w:t>
      </w:r>
      <w:r w:rsidRPr="000B14B8">
        <w:rPr>
          <w:rFonts w:ascii="Cambria" w:hAnsi="Cambria"/>
          <w:sz w:val="22"/>
          <w:lang w:val="en-US"/>
        </w:rPr>
        <w:t xml:space="preserve"> subsumed under</w:t>
      </w:r>
      <w:r w:rsidR="00A67745" w:rsidRPr="000B14B8">
        <w:rPr>
          <w:rFonts w:ascii="Cambria" w:hAnsi="Cambria"/>
          <w:sz w:val="22"/>
          <w:lang w:val="en-US"/>
        </w:rPr>
        <w:t xml:space="preserve"> </w:t>
      </w:r>
      <w:r w:rsidR="006D6A8F" w:rsidRPr="000B14B8">
        <w:rPr>
          <w:rFonts w:ascii="Cambria" w:hAnsi="Cambria"/>
          <w:sz w:val="22"/>
          <w:lang w:val="en-US"/>
        </w:rPr>
        <w:t>(</w:t>
      </w:r>
      <w:r w:rsidR="00A67745" w:rsidRPr="000B14B8">
        <w:rPr>
          <w:rFonts w:ascii="Cambria" w:hAnsi="Cambria"/>
          <w:sz w:val="22"/>
          <w:lang w:val="en-US"/>
        </w:rPr>
        <w:t>European</w:t>
      </w:r>
      <w:r w:rsidR="006D6A8F" w:rsidRPr="000B14B8">
        <w:rPr>
          <w:rFonts w:ascii="Cambria" w:hAnsi="Cambria"/>
          <w:sz w:val="22"/>
          <w:lang w:val="en-US"/>
        </w:rPr>
        <w:t xml:space="preserve">) </w:t>
      </w:r>
      <w:r w:rsidRPr="000B14B8">
        <w:rPr>
          <w:rFonts w:ascii="Cambria" w:hAnsi="Cambria"/>
          <w:sz w:val="22"/>
          <w:lang w:val="en-US"/>
        </w:rPr>
        <w:t>economic values</w:t>
      </w:r>
      <w:r w:rsidR="00E64C4A" w:rsidRPr="000B14B8">
        <w:rPr>
          <w:rFonts w:ascii="Cambria" w:hAnsi="Cambria"/>
          <w:sz w:val="22"/>
          <w:lang w:val="en-US"/>
        </w:rPr>
        <w:t xml:space="preserve"> </w:t>
      </w:r>
      <w:r w:rsidRPr="000B14B8">
        <w:rPr>
          <w:rFonts w:ascii="Cambria" w:hAnsi="Cambria"/>
          <w:sz w:val="22"/>
          <w:lang w:val="en-US"/>
        </w:rPr>
        <w:t>and</w:t>
      </w:r>
      <w:r w:rsidR="009D4744" w:rsidRPr="000B14B8">
        <w:rPr>
          <w:rFonts w:ascii="Cambria" w:hAnsi="Cambria"/>
          <w:sz w:val="22"/>
          <w:lang w:val="en-US"/>
        </w:rPr>
        <w:t xml:space="preserve"> more</w:t>
      </w:r>
      <w:r w:rsidRPr="000B14B8">
        <w:rPr>
          <w:rFonts w:ascii="Cambria" w:hAnsi="Cambria"/>
          <w:sz w:val="22"/>
          <w:lang w:val="en-US"/>
        </w:rPr>
        <w:t xml:space="preserve"> account can be taken of the social dimension of the EU</w:t>
      </w:r>
      <w:r w:rsidR="009D4744" w:rsidRPr="000B14B8">
        <w:rPr>
          <w:rFonts w:ascii="Cambria" w:hAnsi="Cambria"/>
          <w:sz w:val="22"/>
          <w:lang w:val="en-US"/>
        </w:rPr>
        <w:t>?</w:t>
      </w:r>
    </w:p>
    <w:p w:rsidR="001074A6" w:rsidRPr="000B14B8" w:rsidRDefault="00A67745" w:rsidP="001074A6">
      <w:pPr>
        <w:spacing w:after="0" w:line="240" w:lineRule="auto"/>
        <w:jc w:val="both"/>
        <w:rPr>
          <w:rFonts w:ascii="Cambria" w:hAnsi="Cambria"/>
          <w:sz w:val="22"/>
          <w:lang w:val="en-US"/>
        </w:rPr>
      </w:pPr>
      <w:r w:rsidRPr="000B14B8">
        <w:rPr>
          <w:rFonts w:ascii="Cambria" w:hAnsi="Cambria"/>
          <w:sz w:val="22"/>
          <w:lang w:val="en-US"/>
        </w:rPr>
        <w:t>In order to answer these</w:t>
      </w:r>
      <w:r w:rsidR="009D4744" w:rsidRPr="000B14B8">
        <w:rPr>
          <w:rFonts w:ascii="Cambria" w:hAnsi="Cambria"/>
          <w:sz w:val="22"/>
          <w:lang w:val="en-US"/>
        </w:rPr>
        <w:t xml:space="preserve"> question</w:t>
      </w:r>
      <w:r w:rsidRPr="000B14B8">
        <w:rPr>
          <w:rFonts w:ascii="Cambria" w:hAnsi="Cambria"/>
          <w:sz w:val="22"/>
          <w:lang w:val="en-US"/>
        </w:rPr>
        <w:t>s</w:t>
      </w:r>
      <w:r w:rsidR="009D4744" w:rsidRPr="000B14B8">
        <w:rPr>
          <w:rFonts w:ascii="Cambria" w:hAnsi="Cambria"/>
          <w:sz w:val="22"/>
          <w:lang w:val="en-US"/>
        </w:rPr>
        <w:t xml:space="preserve"> </w:t>
      </w:r>
      <w:r w:rsidR="00641846" w:rsidRPr="000B14B8">
        <w:rPr>
          <w:rFonts w:ascii="Cambria" w:hAnsi="Cambria"/>
          <w:sz w:val="22"/>
          <w:lang w:val="en-US"/>
        </w:rPr>
        <w:t xml:space="preserve">we first identify the core values of the EU economic and social dimension. </w:t>
      </w:r>
      <w:r w:rsidR="00551FD3" w:rsidRPr="000B14B8">
        <w:rPr>
          <w:rFonts w:ascii="Cambria" w:hAnsi="Cambria"/>
          <w:sz w:val="22"/>
          <w:lang w:val="en-US"/>
        </w:rPr>
        <w:t xml:space="preserve">What is their role and place at </w:t>
      </w:r>
      <w:r w:rsidR="00604CEB">
        <w:rPr>
          <w:rFonts w:ascii="Cambria" w:hAnsi="Cambria"/>
          <w:sz w:val="22"/>
          <w:lang w:val="en-US"/>
        </w:rPr>
        <w:t xml:space="preserve">the </w:t>
      </w:r>
      <w:r w:rsidR="00551FD3" w:rsidRPr="000B14B8">
        <w:rPr>
          <w:rFonts w:ascii="Cambria" w:hAnsi="Cambria"/>
          <w:sz w:val="22"/>
          <w:lang w:val="en-US"/>
        </w:rPr>
        <w:t xml:space="preserve">European level </w:t>
      </w:r>
      <w:r w:rsidR="00F6490B" w:rsidRPr="000B14B8">
        <w:rPr>
          <w:rFonts w:ascii="Cambria" w:hAnsi="Cambria"/>
          <w:sz w:val="22"/>
          <w:lang w:val="en-US"/>
        </w:rPr>
        <w:t xml:space="preserve">and why are they deemed </w:t>
      </w:r>
      <w:r w:rsidR="00604CEB">
        <w:rPr>
          <w:rFonts w:ascii="Cambria" w:hAnsi="Cambria"/>
          <w:sz w:val="22"/>
          <w:lang w:val="en-US"/>
        </w:rPr>
        <w:t xml:space="preserve">to be </w:t>
      </w:r>
      <w:r w:rsidR="00F6490B" w:rsidRPr="000B14B8">
        <w:rPr>
          <w:rFonts w:ascii="Cambria" w:hAnsi="Cambria"/>
          <w:sz w:val="22"/>
          <w:lang w:val="en-US"/>
        </w:rPr>
        <w:t xml:space="preserve">‘fundamental’ within the Union’s legal order (section 2)? We will then turn </w:t>
      </w:r>
      <w:r w:rsidR="000303FD" w:rsidRPr="000B14B8">
        <w:rPr>
          <w:rFonts w:ascii="Cambria" w:hAnsi="Cambria"/>
          <w:sz w:val="22"/>
          <w:lang w:val="en-US"/>
        </w:rPr>
        <w:t xml:space="preserve">to the institutional </w:t>
      </w:r>
      <w:r w:rsidR="00875E1F" w:rsidRPr="000B14B8">
        <w:rPr>
          <w:rFonts w:ascii="Cambria" w:hAnsi="Cambria"/>
          <w:sz w:val="22"/>
          <w:lang w:val="en-US"/>
        </w:rPr>
        <w:t xml:space="preserve">arrangements </w:t>
      </w:r>
      <w:r w:rsidR="000303FD" w:rsidRPr="000B14B8">
        <w:rPr>
          <w:rFonts w:ascii="Cambria" w:hAnsi="Cambria"/>
          <w:sz w:val="22"/>
          <w:lang w:val="en-US"/>
        </w:rPr>
        <w:t xml:space="preserve">for the operation of social policy </w:t>
      </w:r>
      <w:r w:rsidR="005438D5" w:rsidRPr="000B14B8">
        <w:rPr>
          <w:rFonts w:ascii="Cambria" w:hAnsi="Cambria"/>
          <w:sz w:val="22"/>
          <w:lang w:val="en-US"/>
        </w:rPr>
        <w:t xml:space="preserve">in the context of a single European market </w:t>
      </w:r>
      <w:r w:rsidR="000303FD" w:rsidRPr="000B14B8">
        <w:rPr>
          <w:rFonts w:ascii="Cambria" w:hAnsi="Cambria"/>
          <w:sz w:val="22"/>
          <w:lang w:val="en-US"/>
        </w:rPr>
        <w:t xml:space="preserve">and its development over time. The </w:t>
      </w:r>
      <w:r w:rsidR="005438D5" w:rsidRPr="000B14B8">
        <w:rPr>
          <w:rFonts w:ascii="Cambria" w:hAnsi="Cambria"/>
          <w:sz w:val="22"/>
          <w:lang w:val="en-US"/>
        </w:rPr>
        <w:t xml:space="preserve">asymmetrical </w:t>
      </w:r>
      <w:r w:rsidR="000303FD" w:rsidRPr="000B14B8">
        <w:rPr>
          <w:rFonts w:ascii="Cambria" w:hAnsi="Cambria"/>
          <w:sz w:val="22"/>
          <w:lang w:val="en-US"/>
        </w:rPr>
        <w:t>distribution</w:t>
      </w:r>
      <w:r w:rsidR="005438D5" w:rsidRPr="000B14B8">
        <w:rPr>
          <w:rFonts w:ascii="Cambria" w:hAnsi="Cambria"/>
          <w:sz w:val="22"/>
          <w:lang w:val="en-US"/>
        </w:rPr>
        <w:t xml:space="preserve"> of sovereignty and competences </w:t>
      </w:r>
      <w:r w:rsidR="00DC7500" w:rsidRPr="000B14B8">
        <w:rPr>
          <w:rFonts w:ascii="Cambria" w:hAnsi="Cambria"/>
          <w:sz w:val="22"/>
          <w:lang w:val="en-US"/>
        </w:rPr>
        <w:t>in</w:t>
      </w:r>
      <w:r w:rsidR="00596EDA" w:rsidRPr="000B14B8">
        <w:rPr>
          <w:rFonts w:ascii="Cambria" w:hAnsi="Cambria"/>
          <w:sz w:val="22"/>
          <w:lang w:val="en-US"/>
        </w:rPr>
        <w:t xml:space="preserve"> the economic and social fields, mentioned above, </w:t>
      </w:r>
      <w:r w:rsidR="005438D5" w:rsidRPr="000B14B8">
        <w:rPr>
          <w:rFonts w:ascii="Cambria" w:hAnsi="Cambria"/>
          <w:sz w:val="22"/>
          <w:lang w:val="en-US"/>
        </w:rPr>
        <w:t>appears to be a source of conflict</w:t>
      </w:r>
      <w:r w:rsidR="00875E1F" w:rsidRPr="000B14B8">
        <w:rPr>
          <w:rFonts w:ascii="Cambria" w:hAnsi="Cambria"/>
          <w:sz w:val="22"/>
          <w:lang w:val="en-US"/>
        </w:rPr>
        <w:t xml:space="preserve"> here</w:t>
      </w:r>
      <w:r w:rsidR="00B635BF" w:rsidRPr="000B14B8">
        <w:rPr>
          <w:rFonts w:ascii="Cambria" w:hAnsi="Cambria"/>
          <w:sz w:val="22"/>
          <w:lang w:val="en-US"/>
        </w:rPr>
        <w:t xml:space="preserve">, with </w:t>
      </w:r>
      <w:r w:rsidR="00DC7500" w:rsidRPr="000B14B8">
        <w:rPr>
          <w:rFonts w:ascii="Cambria" w:hAnsi="Cambria"/>
          <w:sz w:val="22"/>
          <w:lang w:val="en-US"/>
        </w:rPr>
        <w:t xml:space="preserve">repercussions for </w:t>
      </w:r>
      <w:r w:rsidR="00604CEB">
        <w:rPr>
          <w:rFonts w:ascii="Cambria" w:hAnsi="Cambria"/>
          <w:sz w:val="22"/>
          <w:lang w:val="en-US"/>
        </w:rPr>
        <w:t xml:space="preserve">the </w:t>
      </w:r>
      <w:r w:rsidR="00B635BF" w:rsidRPr="000B14B8">
        <w:rPr>
          <w:rFonts w:ascii="Cambria" w:hAnsi="Cambria"/>
          <w:sz w:val="22"/>
          <w:lang w:val="en-US"/>
        </w:rPr>
        <w:t xml:space="preserve">balanced </w:t>
      </w:r>
      <w:r w:rsidR="00DC7500" w:rsidRPr="000B14B8">
        <w:rPr>
          <w:rFonts w:ascii="Cambria" w:hAnsi="Cambria"/>
          <w:sz w:val="22"/>
          <w:lang w:val="en-US"/>
        </w:rPr>
        <w:t xml:space="preserve">regulation of </w:t>
      </w:r>
      <w:r w:rsidR="00176D2F" w:rsidRPr="000B14B8">
        <w:rPr>
          <w:rFonts w:ascii="Cambria" w:hAnsi="Cambria"/>
          <w:sz w:val="22"/>
          <w:lang w:val="en-US"/>
        </w:rPr>
        <w:t xml:space="preserve">social </w:t>
      </w:r>
      <w:r w:rsidR="00551FD3" w:rsidRPr="000B14B8">
        <w:rPr>
          <w:rFonts w:ascii="Cambria" w:hAnsi="Cambria"/>
          <w:sz w:val="22"/>
          <w:lang w:val="en-US"/>
        </w:rPr>
        <w:t>systems</w:t>
      </w:r>
      <w:r w:rsidR="00B635BF" w:rsidRPr="000B14B8">
        <w:rPr>
          <w:rFonts w:ascii="Cambria" w:hAnsi="Cambria"/>
          <w:sz w:val="22"/>
          <w:lang w:val="en-US"/>
        </w:rPr>
        <w:t xml:space="preserve"> as</w:t>
      </w:r>
      <w:r w:rsidR="00604CEB">
        <w:rPr>
          <w:rFonts w:ascii="Cambria" w:hAnsi="Cambria"/>
          <w:sz w:val="22"/>
          <w:lang w:val="en-US"/>
        </w:rPr>
        <w:t xml:space="preserve"> a</w:t>
      </w:r>
      <w:r w:rsidR="00B635BF" w:rsidRPr="000B14B8">
        <w:rPr>
          <w:rFonts w:ascii="Cambria" w:hAnsi="Cambria"/>
          <w:sz w:val="22"/>
          <w:lang w:val="en-US"/>
        </w:rPr>
        <w:t xml:space="preserve"> result </w:t>
      </w:r>
      <w:r w:rsidR="00F360F3" w:rsidRPr="000B14B8">
        <w:rPr>
          <w:rFonts w:ascii="Cambria" w:hAnsi="Cambria"/>
          <w:sz w:val="22"/>
          <w:lang w:val="en-US"/>
        </w:rPr>
        <w:t>(section 3). In section 4</w:t>
      </w:r>
      <w:r w:rsidR="00FF6FDC" w:rsidRPr="000B14B8">
        <w:rPr>
          <w:rFonts w:ascii="Cambria" w:hAnsi="Cambria"/>
          <w:sz w:val="22"/>
          <w:lang w:val="en-US"/>
        </w:rPr>
        <w:t xml:space="preserve"> we will address how</w:t>
      </w:r>
      <w:r w:rsidR="00875E1F" w:rsidRPr="000B14B8">
        <w:rPr>
          <w:rFonts w:ascii="Cambria" w:hAnsi="Cambria"/>
          <w:sz w:val="22"/>
          <w:lang w:val="en-US"/>
        </w:rPr>
        <w:t xml:space="preserve">, </w:t>
      </w:r>
      <w:r w:rsidR="00B40EAB" w:rsidRPr="000B14B8">
        <w:rPr>
          <w:rFonts w:ascii="Cambria" w:hAnsi="Cambria"/>
          <w:sz w:val="22"/>
          <w:lang w:val="en-US"/>
        </w:rPr>
        <w:t xml:space="preserve">within this seemingly ‘flawed’ institutional setting, </w:t>
      </w:r>
      <w:r w:rsidR="001074A6" w:rsidRPr="000B14B8">
        <w:rPr>
          <w:rFonts w:ascii="Cambria" w:hAnsi="Cambria"/>
          <w:sz w:val="22"/>
          <w:lang w:val="en-US"/>
        </w:rPr>
        <w:t>the problem of reconciling economic and social values has been handled so far</w:t>
      </w:r>
      <w:r w:rsidR="00176D2F" w:rsidRPr="000B14B8">
        <w:rPr>
          <w:rFonts w:ascii="Cambria" w:hAnsi="Cambria"/>
          <w:sz w:val="22"/>
          <w:lang w:val="en-US"/>
        </w:rPr>
        <w:t>. In that respect</w:t>
      </w:r>
      <w:r w:rsidR="00B635BF" w:rsidRPr="000B14B8">
        <w:rPr>
          <w:rFonts w:ascii="Cambria" w:hAnsi="Cambria"/>
          <w:sz w:val="22"/>
          <w:lang w:val="en-US"/>
        </w:rPr>
        <w:t>,</w:t>
      </w:r>
      <w:r w:rsidR="00176D2F" w:rsidRPr="000B14B8">
        <w:rPr>
          <w:rFonts w:ascii="Cambria" w:hAnsi="Cambria"/>
          <w:sz w:val="22"/>
          <w:lang w:val="en-US"/>
        </w:rPr>
        <w:t xml:space="preserve"> future prospects arising out </w:t>
      </w:r>
      <w:r w:rsidR="009E6522">
        <w:rPr>
          <w:rFonts w:ascii="Cambria" w:hAnsi="Cambria"/>
          <w:sz w:val="22"/>
          <w:lang w:val="en-US"/>
        </w:rPr>
        <w:t xml:space="preserve">of </w:t>
      </w:r>
      <w:r w:rsidR="00176D2F" w:rsidRPr="000B14B8">
        <w:rPr>
          <w:rFonts w:ascii="Cambria" w:hAnsi="Cambria"/>
          <w:sz w:val="22"/>
          <w:lang w:val="en-US"/>
        </w:rPr>
        <w:t xml:space="preserve">the integration of </w:t>
      </w:r>
      <w:r w:rsidR="00B635BF" w:rsidRPr="000B14B8">
        <w:rPr>
          <w:rFonts w:ascii="Cambria" w:hAnsi="Cambria"/>
          <w:sz w:val="22"/>
          <w:lang w:val="en-US"/>
        </w:rPr>
        <w:t>(</w:t>
      </w:r>
      <w:r w:rsidR="00176D2F" w:rsidRPr="000B14B8">
        <w:rPr>
          <w:rFonts w:ascii="Cambria" w:hAnsi="Cambria"/>
          <w:sz w:val="22"/>
          <w:lang w:val="en-US"/>
        </w:rPr>
        <w:t>social</w:t>
      </w:r>
      <w:r w:rsidR="00B635BF" w:rsidRPr="000B14B8">
        <w:rPr>
          <w:rFonts w:ascii="Cambria" w:hAnsi="Cambria"/>
          <w:sz w:val="22"/>
          <w:lang w:val="en-US"/>
        </w:rPr>
        <w:t>)</w:t>
      </w:r>
      <w:r w:rsidR="00176D2F" w:rsidRPr="000B14B8">
        <w:rPr>
          <w:rFonts w:ascii="Cambria" w:hAnsi="Cambria"/>
          <w:sz w:val="22"/>
          <w:lang w:val="en-US"/>
        </w:rPr>
        <w:t xml:space="preserve"> human rights in the </w:t>
      </w:r>
      <w:r w:rsidR="00F360F3" w:rsidRPr="000B14B8">
        <w:rPr>
          <w:rFonts w:ascii="Cambria" w:hAnsi="Cambria"/>
          <w:sz w:val="22"/>
          <w:lang w:val="en-US"/>
        </w:rPr>
        <w:t>EU Charter</w:t>
      </w:r>
      <w:r w:rsidR="00B635BF" w:rsidRPr="000B14B8">
        <w:rPr>
          <w:rFonts w:ascii="Cambria" w:hAnsi="Cambria"/>
          <w:sz w:val="22"/>
          <w:lang w:val="en-US"/>
        </w:rPr>
        <w:t xml:space="preserve"> will be taken into account</w:t>
      </w:r>
      <w:r w:rsidR="00D117D1" w:rsidRPr="000B14B8">
        <w:rPr>
          <w:rFonts w:ascii="Cambria" w:hAnsi="Cambria"/>
          <w:sz w:val="22"/>
          <w:lang w:val="en-US"/>
        </w:rPr>
        <w:t xml:space="preserve"> in section 5</w:t>
      </w:r>
      <w:r w:rsidR="00B635BF" w:rsidRPr="000B14B8">
        <w:rPr>
          <w:rFonts w:ascii="Cambria" w:hAnsi="Cambria"/>
          <w:sz w:val="22"/>
          <w:lang w:val="en-US"/>
        </w:rPr>
        <w:t xml:space="preserve">. In the </w:t>
      </w:r>
      <w:r w:rsidR="001074A6" w:rsidRPr="000B14B8">
        <w:rPr>
          <w:rFonts w:ascii="Cambria" w:hAnsi="Cambria"/>
          <w:sz w:val="22"/>
          <w:lang w:val="en-US"/>
        </w:rPr>
        <w:t>l</w:t>
      </w:r>
      <w:r w:rsidR="00B635BF" w:rsidRPr="000B14B8">
        <w:rPr>
          <w:rFonts w:ascii="Cambria" w:hAnsi="Cambria"/>
          <w:sz w:val="22"/>
          <w:lang w:val="en-US"/>
        </w:rPr>
        <w:t>ast section some conclusions</w:t>
      </w:r>
      <w:r w:rsidR="00D117D1" w:rsidRPr="000B14B8">
        <w:rPr>
          <w:rFonts w:ascii="Cambria" w:hAnsi="Cambria"/>
          <w:sz w:val="22"/>
          <w:lang w:val="en-US"/>
        </w:rPr>
        <w:t xml:space="preserve"> are drawn</w:t>
      </w:r>
      <w:r w:rsidR="00B635BF" w:rsidRPr="000B14B8">
        <w:rPr>
          <w:rFonts w:ascii="Cambria" w:hAnsi="Cambria"/>
          <w:sz w:val="22"/>
          <w:lang w:val="en-US"/>
        </w:rPr>
        <w:t>.</w:t>
      </w:r>
    </w:p>
    <w:p w:rsidR="00DC7500" w:rsidRPr="000B14B8" w:rsidRDefault="00DC7500" w:rsidP="00170179">
      <w:pPr>
        <w:spacing w:after="0" w:line="240" w:lineRule="auto"/>
        <w:jc w:val="both"/>
        <w:rPr>
          <w:rFonts w:ascii="Cambria" w:hAnsi="Cambria"/>
          <w:sz w:val="22"/>
          <w:lang w:val="en-US"/>
        </w:rPr>
      </w:pPr>
    </w:p>
    <w:p w:rsidR="007676C6" w:rsidRPr="000B14B8" w:rsidRDefault="007676C6" w:rsidP="00170179">
      <w:pPr>
        <w:spacing w:after="0" w:line="240" w:lineRule="auto"/>
        <w:jc w:val="both"/>
        <w:rPr>
          <w:rFonts w:ascii="Cambria" w:hAnsi="Cambria"/>
          <w:sz w:val="22"/>
          <w:lang w:val="en-US"/>
        </w:rPr>
      </w:pPr>
    </w:p>
    <w:p w:rsidR="004F6BD0" w:rsidRPr="000B14B8" w:rsidRDefault="00845290" w:rsidP="00065F9B">
      <w:pPr>
        <w:spacing w:line="240" w:lineRule="auto"/>
        <w:ind w:left="360" w:hanging="360"/>
        <w:jc w:val="both"/>
        <w:outlineLvl w:val="0"/>
        <w:rPr>
          <w:rFonts w:ascii="Cambria" w:hAnsi="Cambria"/>
          <w:b/>
          <w:sz w:val="22"/>
          <w:lang w:val="en-US"/>
        </w:rPr>
      </w:pPr>
      <w:r w:rsidRPr="00845290">
        <w:rPr>
          <w:rFonts w:ascii="Cambria" w:hAnsi="Cambria"/>
          <w:b/>
          <w:sz w:val="22"/>
          <w:lang w:val="en-US"/>
        </w:rPr>
        <w:t>2</w:t>
      </w:r>
      <w:r w:rsidRPr="00845290">
        <w:rPr>
          <w:rFonts w:ascii="Cambria" w:hAnsi="Cambria"/>
          <w:b/>
          <w:sz w:val="22"/>
          <w:lang w:val="en-US"/>
        </w:rPr>
        <w:tab/>
        <w:t>EU economic and social values</w:t>
      </w:r>
    </w:p>
    <w:p w:rsidR="00791EF5" w:rsidRPr="00030460" w:rsidRDefault="00845290" w:rsidP="00170179">
      <w:pPr>
        <w:pStyle w:val="Lijstalinea"/>
        <w:numPr>
          <w:ilvl w:val="1"/>
          <w:numId w:val="21"/>
        </w:numPr>
        <w:spacing w:line="240" w:lineRule="auto"/>
        <w:jc w:val="both"/>
        <w:rPr>
          <w:rFonts w:ascii="Cambria" w:hAnsi="Cambria"/>
          <w:sz w:val="22"/>
          <w:szCs w:val="22"/>
          <w:lang w:val="en-US"/>
        </w:rPr>
      </w:pPr>
      <w:r w:rsidRPr="00030460">
        <w:rPr>
          <w:rFonts w:ascii="Cambria" w:hAnsi="Cambria"/>
          <w:sz w:val="22"/>
          <w:szCs w:val="22"/>
          <w:lang w:val="en-US"/>
        </w:rPr>
        <w:t xml:space="preserve"> The core</w:t>
      </w:r>
      <w:r w:rsidR="00604CEB">
        <w:rPr>
          <w:rFonts w:ascii="Cambria" w:hAnsi="Cambria"/>
          <w:sz w:val="22"/>
          <w:szCs w:val="22"/>
          <w:lang w:val="en-US"/>
        </w:rPr>
        <w:t xml:space="preserve"> </w:t>
      </w:r>
      <w:r w:rsidRPr="00030460">
        <w:rPr>
          <w:rFonts w:ascii="Cambria" w:hAnsi="Cambria"/>
          <w:sz w:val="22"/>
          <w:szCs w:val="22"/>
          <w:lang w:val="en-US"/>
        </w:rPr>
        <w:t>values identified: economic freedoms</w:t>
      </w:r>
    </w:p>
    <w:p w:rsidR="00170179" w:rsidRPr="000B14B8" w:rsidRDefault="00170179" w:rsidP="00170179">
      <w:pPr>
        <w:pStyle w:val="Lijstalinea"/>
        <w:spacing w:line="240" w:lineRule="auto"/>
        <w:ind w:left="735"/>
        <w:jc w:val="both"/>
        <w:rPr>
          <w:rFonts w:ascii="Cambria" w:hAnsi="Cambria"/>
          <w:sz w:val="22"/>
          <w:szCs w:val="22"/>
          <w:lang w:val="en-US"/>
        </w:rPr>
      </w:pPr>
    </w:p>
    <w:p w:rsidR="00CF25E4" w:rsidRDefault="00F751E9">
      <w:pPr>
        <w:widowControl w:val="0"/>
        <w:autoSpaceDE w:val="0"/>
        <w:autoSpaceDN w:val="0"/>
        <w:adjustRightInd w:val="0"/>
        <w:spacing w:after="240" w:line="240" w:lineRule="auto"/>
        <w:jc w:val="both"/>
        <w:rPr>
          <w:rFonts w:ascii="Cambria" w:hAnsi="Cambria" w:cs="Times"/>
          <w:sz w:val="22"/>
          <w:lang w:val="en-US"/>
        </w:rPr>
      </w:pPr>
      <w:r w:rsidRPr="00F751E9">
        <w:rPr>
          <w:rFonts w:ascii="Cambria" w:hAnsi="Cambria" w:cs="Calibri"/>
          <w:sz w:val="22"/>
          <w:lang w:val="en-US"/>
        </w:rPr>
        <w:t xml:space="preserve">At the </w:t>
      </w:r>
      <w:r w:rsidRPr="00837588">
        <w:rPr>
          <w:rFonts w:ascii="Cambria" w:hAnsi="Cambria" w:cs="Calibri"/>
          <w:iCs/>
          <w:sz w:val="22"/>
          <w:lang w:val="en-US"/>
        </w:rPr>
        <w:t xml:space="preserve">national level </w:t>
      </w:r>
      <w:r w:rsidRPr="00837588">
        <w:rPr>
          <w:rFonts w:ascii="Cambria" w:hAnsi="Cambria" w:cs="Calibri"/>
          <w:sz w:val="22"/>
          <w:lang w:val="en-US"/>
        </w:rPr>
        <w:t>economic</w:t>
      </w:r>
      <w:r w:rsidRPr="00F751E9">
        <w:rPr>
          <w:rFonts w:ascii="Cambria" w:hAnsi="Cambria" w:cs="Calibri"/>
          <w:sz w:val="22"/>
          <w:lang w:val="en-US"/>
        </w:rPr>
        <w:t xml:space="preserve"> rights have traditionally been identified as those rights pertaining to market activities, and that are concerned with the regulation of factors of production (capital and labour). Property, labour and economic enterprise are the three main areas in which economic rights can be recognized. But economic rights are not a ‘stable’ category of rights as their legal recognition and/or constitutional status very much depends on the economic order in the Member State and, related to this, historical developments.</w:t>
      </w:r>
    </w:p>
    <w:p w:rsidR="00B37487" w:rsidRDefault="00837588" w:rsidP="00B60022">
      <w:pPr>
        <w:spacing w:after="0" w:line="240" w:lineRule="auto"/>
        <w:jc w:val="both"/>
        <w:rPr>
          <w:rFonts w:ascii="Cambria" w:hAnsi="Cambria"/>
          <w:sz w:val="22"/>
          <w:lang w:val="en-US"/>
        </w:rPr>
      </w:pPr>
      <w:r>
        <w:rPr>
          <w:rFonts w:ascii="Cambria" w:hAnsi="Cambria"/>
          <w:sz w:val="22"/>
          <w:lang w:val="en-US"/>
        </w:rPr>
        <w:t xml:space="preserve">At </w:t>
      </w:r>
      <w:r w:rsidR="00CF25E4">
        <w:rPr>
          <w:rFonts w:ascii="Cambria" w:hAnsi="Cambria"/>
          <w:sz w:val="22"/>
          <w:lang w:val="en-US"/>
        </w:rPr>
        <w:t xml:space="preserve">the </w:t>
      </w:r>
      <w:r>
        <w:rPr>
          <w:rFonts w:ascii="Cambria" w:hAnsi="Cambria"/>
          <w:sz w:val="22"/>
          <w:lang w:val="en-US"/>
        </w:rPr>
        <w:t>European level</w:t>
      </w:r>
      <w:r w:rsidR="00CF25E4">
        <w:rPr>
          <w:rFonts w:ascii="Cambria" w:hAnsi="Cambria"/>
          <w:sz w:val="22"/>
          <w:lang w:val="en-US"/>
        </w:rPr>
        <w:t>,</w:t>
      </w:r>
      <w:r>
        <w:rPr>
          <w:rFonts w:ascii="Cambria" w:hAnsi="Cambria"/>
          <w:sz w:val="22"/>
          <w:lang w:val="en-US"/>
        </w:rPr>
        <w:t xml:space="preserve"> </w:t>
      </w:r>
      <w:r w:rsidR="00774192" w:rsidRPr="00B60022">
        <w:rPr>
          <w:rFonts w:ascii="Cambria" w:hAnsi="Cambria"/>
          <w:sz w:val="22"/>
          <w:lang w:val="en-US"/>
        </w:rPr>
        <w:t>the</w:t>
      </w:r>
      <w:r w:rsidR="00CF25E4">
        <w:rPr>
          <w:rFonts w:ascii="Cambria" w:hAnsi="Cambria"/>
          <w:sz w:val="22"/>
          <w:lang w:val="en-US"/>
        </w:rPr>
        <w:t xml:space="preserve"> </w:t>
      </w:r>
      <w:r w:rsidR="006C6257" w:rsidRPr="00B60022">
        <w:rPr>
          <w:rFonts w:ascii="Cambria" w:hAnsi="Cambria"/>
          <w:sz w:val="22"/>
          <w:lang w:val="en-US"/>
        </w:rPr>
        <w:t>then</w:t>
      </w:r>
      <w:r w:rsidR="00774192" w:rsidRPr="00B60022">
        <w:rPr>
          <w:rFonts w:ascii="Cambria" w:hAnsi="Cambria"/>
          <w:sz w:val="22"/>
          <w:lang w:val="en-US"/>
        </w:rPr>
        <w:t xml:space="preserve"> </w:t>
      </w:r>
      <w:r w:rsidR="00064DEC" w:rsidRPr="00B60022">
        <w:rPr>
          <w:rFonts w:ascii="Cambria" w:hAnsi="Cambria"/>
          <w:sz w:val="22"/>
          <w:lang w:val="en-US"/>
        </w:rPr>
        <w:t xml:space="preserve">young </w:t>
      </w:r>
      <w:r w:rsidR="00723E3B" w:rsidRPr="00B60022">
        <w:rPr>
          <w:rFonts w:ascii="Cambria" w:hAnsi="Cambria"/>
          <w:sz w:val="22"/>
          <w:lang w:val="en-US"/>
        </w:rPr>
        <w:t xml:space="preserve">European Economic Community defined its </w:t>
      </w:r>
      <w:r w:rsidR="00C4172F" w:rsidRPr="00B60022">
        <w:rPr>
          <w:rFonts w:ascii="Cambria" w:hAnsi="Cambria"/>
          <w:sz w:val="22"/>
          <w:lang w:val="en-US"/>
        </w:rPr>
        <w:t>‘</w:t>
      </w:r>
      <w:r w:rsidR="00C05041" w:rsidRPr="00B60022">
        <w:rPr>
          <w:rFonts w:ascii="Cambria" w:hAnsi="Cambria"/>
          <w:sz w:val="22"/>
          <w:lang w:val="en-US"/>
        </w:rPr>
        <w:t>P</w:t>
      </w:r>
      <w:r w:rsidR="00723E3B" w:rsidRPr="00B60022">
        <w:rPr>
          <w:rFonts w:ascii="Cambria" w:hAnsi="Cambria"/>
          <w:sz w:val="22"/>
          <w:lang w:val="en-US"/>
        </w:rPr>
        <w:t>rinciples</w:t>
      </w:r>
      <w:r w:rsidR="00C4172F" w:rsidRPr="00B60022">
        <w:rPr>
          <w:rFonts w:ascii="Cambria" w:hAnsi="Cambria"/>
          <w:sz w:val="22"/>
          <w:lang w:val="en-US"/>
        </w:rPr>
        <w:t>’</w:t>
      </w:r>
      <w:r w:rsidR="00723E3B" w:rsidRPr="00B60022">
        <w:rPr>
          <w:rFonts w:ascii="Cambria" w:hAnsi="Cambria"/>
          <w:sz w:val="22"/>
          <w:lang w:val="en-US"/>
        </w:rPr>
        <w:t xml:space="preserve"> </w:t>
      </w:r>
      <w:r w:rsidR="00774192" w:rsidRPr="00B60022">
        <w:rPr>
          <w:rFonts w:ascii="Cambria" w:hAnsi="Cambria"/>
          <w:sz w:val="22"/>
          <w:lang w:val="en-US"/>
        </w:rPr>
        <w:t xml:space="preserve">in Part I of the </w:t>
      </w:r>
      <w:r w:rsidR="00064DEC" w:rsidRPr="000B14B8">
        <w:rPr>
          <w:rFonts w:ascii="Cambria" w:hAnsi="Cambria"/>
          <w:sz w:val="22"/>
          <w:lang w:val="en-US"/>
        </w:rPr>
        <w:t xml:space="preserve">corresponding </w:t>
      </w:r>
      <w:r w:rsidR="00774192" w:rsidRPr="000B14B8">
        <w:rPr>
          <w:rFonts w:ascii="Cambria" w:hAnsi="Cambria"/>
          <w:sz w:val="22"/>
          <w:lang w:val="en-US"/>
        </w:rPr>
        <w:t xml:space="preserve">Treaty </w:t>
      </w:r>
      <w:r>
        <w:rPr>
          <w:rFonts w:ascii="Cambria" w:hAnsi="Cambria"/>
          <w:sz w:val="22"/>
          <w:lang w:val="en-US"/>
        </w:rPr>
        <w:t xml:space="preserve">of 1957 </w:t>
      </w:r>
      <w:r w:rsidR="00723E3B" w:rsidRPr="000B14B8">
        <w:rPr>
          <w:rFonts w:ascii="Cambria" w:hAnsi="Cambria"/>
          <w:sz w:val="22"/>
          <w:lang w:val="en-US"/>
        </w:rPr>
        <w:t xml:space="preserve">not so much in terms of </w:t>
      </w:r>
      <w:r w:rsidR="005A64D4" w:rsidRPr="000B14B8">
        <w:rPr>
          <w:rFonts w:ascii="Cambria" w:hAnsi="Cambria"/>
          <w:sz w:val="22"/>
          <w:lang w:val="en-US"/>
        </w:rPr>
        <w:t>economic</w:t>
      </w:r>
      <w:r w:rsidR="00064DEC" w:rsidRPr="000B14B8">
        <w:rPr>
          <w:rFonts w:ascii="Cambria" w:hAnsi="Cambria"/>
          <w:sz w:val="22"/>
          <w:lang w:val="en-US"/>
        </w:rPr>
        <w:t xml:space="preserve"> </w:t>
      </w:r>
      <w:r>
        <w:rPr>
          <w:rFonts w:ascii="Cambria" w:hAnsi="Cambria"/>
          <w:sz w:val="22"/>
          <w:lang w:val="en-US"/>
        </w:rPr>
        <w:t xml:space="preserve">rights or </w:t>
      </w:r>
      <w:r w:rsidR="00064DEC" w:rsidRPr="000B14B8">
        <w:rPr>
          <w:rFonts w:ascii="Cambria" w:hAnsi="Cambria"/>
          <w:sz w:val="22"/>
          <w:lang w:val="en-US"/>
        </w:rPr>
        <w:t xml:space="preserve">values, but </w:t>
      </w:r>
      <w:r w:rsidR="005A64D4" w:rsidRPr="000B14B8">
        <w:rPr>
          <w:rFonts w:ascii="Cambria" w:hAnsi="Cambria"/>
          <w:sz w:val="22"/>
          <w:lang w:val="en-US"/>
        </w:rPr>
        <w:t xml:space="preserve">in terms of an economic </w:t>
      </w:r>
      <w:r w:rsidR="004A49C7" w:rsidRPr="000B14B8">
        <w:rPr>
          <w:rFonts w:ascii="Cambria" w:hAnsi="Cambria"/>
          <w:sz w:val="22"/>
          <w:lang w:val="en-US"/>
        </w:rPr>
        <w:t>project. It stated</w:t>
      </w:r>
      <w:r w:rsidR="005A64D4" w:rsidRPr="000B14B8">
        <w:rPr>
          <w:rFonts w:ascii="Cambria" w:hAnsi="Cambria"/>
          <w:sz w:val="22"/>
          <w:lang w:val="en-US"/>
        </w:rPr>
        <w:t xml:space="preserve"> as its objectives</w:t>
      </w:r>
      <w:r w:rsidR="005A2A35" w:rsidRPr="000B14B8">
        <w:rPr>
          <w:rFonts w:ascii="Cambria" w:hAnsi="Cambria"/>
          <w:sz w:val="22"/>
          <w:lang w:val="en-US"/>
        </w:rPr>
        <w:t>:</w:t>
      </w:r>
      <w:r w:rsidR="005A64D4" w:rsidRPr="000B14B8">
        <w:rPr>
          <w:rFonts w:ascii="Cambria" w:hAnsi="Cambria"/>
          <w:sz w:val="22"/>
          <w:lang w:val="en-US"/>
        </w:rPr>
        <w:t xml:space="preserve"> the harmonious</w:t>
      </w:r>
      <w:r w:rsidR="00C4172F" w:rsidRPr="000B14B8">
        <w:rPr>
          <w:rFonts w:ascii="Cambria" w:hAnsi="Cambria"/>
          <w:sz w:val="22"/>
          <w:lang w:val="en-US"/>
        </w:rPr>
        <w:t xml:space="preserve"> development and expansion of economic activity</w:t>
      </w:r>
      <w:r w:rsidR="00234434" w:rsidRPr="000B14B8">
        <w:rPr>
          <w:rFonts w:ascii="Cambria" w:hAnsi="Cambria"/>
          <w:sz w:val="22"/>
          <w:lang w:val="en-US"/>
        </w:rPr>
        <w:t>, more stability and the</w:t>
      </w:r>
      <w:r w:rsidR="00C4172F" w:rsidRPr="000B14B8">
        <w:rPr>
          <w:rFonts w:ascii="Cambria" w:hAnsi="Cambria"/>
          <w:sz w:val="22"/>
          <w:lang w:val="en-US"/>
        </w:rPr>
        <w:t xml:space="preserve"> improvement of living and working conditions by creating a common market and furthering the approximation of national economic policies.</w:t>
      </w:r>
      <w:r w:rsidR="00096DF0" w:rsidRPr="000B14B8">
        <w:rPr>
          <w:rStyle w:val="Voetnootmarkering"/>
          <w:rFonts w:ascii="Cambria" w:hAnsi="Cambria"/>
          <w:sz w:val="22"/>
          <w:lang w:val="en-US"/>
        </w:rPr>
        <w:footnoteReference w:id="5"/>
      </w:r>
      <w:r w:rsidR="008E35FE" w:rsidRPr="000B14B8">
        <w:rPr>
          <w:rFonts w:ascii="Cambria" w:hAnsi="Cambria"/>
          <w:sz w:val="22"/>
          <w:lang w:val="en-US"/>
        </w:rPr>
        <w:t xml:space="preserve"> </w:t>
      </w:r>
      <w:r w:rsidR="00C05041" w:rsidRPr="008921EE">
        <w:rPr>
          <w:rFonts w:ascii="Cambria" w:hAnsi="Cambria"/>
          <w:sz w:val="22"/>
          <w:lang w:val="en-US"/>
        </w:rPr>
        <w:t xml:space="preserve">The </w:t>
      </w:r>
      <w:r w:rsidR="006B1DDB" w:rsidRPr="001E3E67">
        <w:rPr>
          <w:rFonts w:ascii="Cambria" w:hAnsi="Cambria"/>
          <w:sz w:val="22"/>
          <w:lang w:val="en-US"/>
        </w:rPr>
        <w:t>tools</w:t>
      </w:r>
      <w:r w:rsidR="00C05041" w:rsidRPr="001E3E67">
        <w:rPr>
          <w:rFonts w:ascii="Cambria" w:hAnsi="Cambria"/>
          <w:sz w:val="22"/>
          <w:lang w:val="en-US"/>
        </w:rPr>
        <w:t xml:space="preserve"> to </w:t>
      </w:r>
      <w:r w:rsidR="006B1DDB" w:rsidRPr="001E3E67">
        <w:rPr>
          <w:rFonts w:ascii="Cambria" w:hAnsi="Cambria"/>
          <w:sz w:val="22"/>
          <w:lang w:val="en-US"/>
        </w:rPr>
        <w:t xml:space="preserve">achieve the common market were the </w:t>
      </w:r>
      <w:r w:rsidR="006B1DDB" w:rsidRPr="000B14B8">
        <w:rPr>
          <w:rFonts w:ascii="Cambria" w:hAnsi="Cambria"/>
          <w:sz w:val="22"/>
          <w:lang w:val="en-US"/>
        </w:rPr>
        <w:t xml:space="preserve">Treaty freedoms, </w:t>
      </w:r>
      <w:r w:rsidR="006B1DDB" w:rsidRPr="00685533">
        <w:rPr>
          <w:rFonts w:ascii="Cambria" w:hAnsi="Cambria"/>
          <w:i/>
          <w:sz w:val="22"/>
          <w:lang w:val="en-US"/>
        </w:rPr>
        <w:t>i</w:t>
      </w:r>
      <w:r w:rsidR="00685533" w:rsidRPr="00685533">
        <w:rPr>
          <w:rFonts w:ascii="Cambria" w:hAnsi="Cambria"/>
          <w:i/>
          <w:sz w:val="22"/>
          <w:lang w:val="en-US"/>
        </w:rPr>
        <w:t>.</w:t>
      </w:r>
      <w:r w:rsidR="006B1DDB" w:rsidRPr="00685533">
        <w:rPr>
          <w:rFonts w:ascii="Cambria" w:hAnsi="Cambria"/>
          <w:i/>
          <w:sz w:val="22"/>
          <w:lang w:val="en-US"/>
        </w:rPr>
        <w:t>e</w:t>
      </w:r>
      <w:r w:rsidR="00685533" w:rsidRPr="00685533">
        <w:rPr>
          <w:rFonts w:ascii="Cambria" w:hAnsi="Cambria"/>
          <w:i/>
          <w:sz w:val="22"/>
          <w:lang w:val="en-US"/>
        </w:rPr>
        <w:t>.</w:t>
      </w:r>
      <w:r w:rsidR="00685533">
        <w:rPr>
          <w:rFonts w:ascii="Cambria" w:hAnsi="Cambria"/>
          <w:sz w:val="22"/>
          <w:lang w:val="en-US"/>
        </w:rPr>
        <w:t xml:space="preserve"> </w:t>
      </w:r>
      <w:r w:rsidR="006B1DDB" w:rsidRPr="000B14B8">
        <w:rPr>
          <w:rFonts w:ascii="Cambria" w:hAnsi="Cambria"/>
          <w:sz w:val="22"/>
          <w:lang w:val="en-US"/>
        </w:rPr>
        <w:t>the</w:t>
      </w:r>
      <w:r w:rsidR="00774192" w:rsidRPr="000B14B8">
        <w:rPr>
          <w:rFonts w:ascii="Cambria" w:hAnsi="Cambria"/>
          <w:sz w:val="22"/>
          <w:lang w:val="en-US"/>
        </w:rPr>
        <w:t xml:space="preserve"> free movement of goods, workers, services and capital,</w:t>
      </w:r>
      <w:r w:rsidR="00064DEC" w:rsidRPr="000B14B8">
        <w:rPr>
          <w:rFonts w:ascii="Cambria" w:hAnsi="Cambria"/>
          <w:sz w:val="22"/>
          <w:lang w:val="en-US"/>
        </w:rPr>
        <w:t xml:space="preserve"> as well as a common agricultural</w:t>
      </w:r>
      <w:r w:rsidR="00D0687C">
        <w:rPr>
          <w:rFonts w:ascii="Cambria" w:hAnsi="Cambria"/>
          <w:sz w:val="22"/>
          <w:lang w:val="en-US"/>
        </w:rPr>
        <w:t xml:space="preserve">, </w:t>
      </w:r>
      <w:r w:rsidR="00685533">
        <w:rPr>
          <w:rFonts w:ascii="Cambria" w:hAnsi="Cambria"/>
          <w:sz w:val="22"/>
          <w:lang w:val="en-US"/>
        </w:rPr>
        <w:t xml:space="preserve">transport and </w:t>
      </w:r>
      <w:r w:rsidR="006B1DDB" w:rsidRPr="000B14B8">
        <w:rPr>
          <w:rFonts w:ascii="Cambria" w:hAnsi="Cambria"/>
          <w:sz w:val="22"/>
          <w:lang w:val="en-US"/>
        </w:rPr>
        <w:t>competition policy</w:t>
      </w:r>
      <w:r w:rsidR="00774192" w:rsidRPr="000B14B8">
        <w:rPr>
          <w:rFonts w:ascii="Cambria" w:hAnsi="Cambria"/>
          <w:sz w:val="22"/>
          <w:lang w:val="en-US"/>
        </w:rPr>
        <w:t>.</w:t>
      </w:r>
      <w:r w:rsidR="00637077" w:rsidRPr="000B14B8">
        <w:rPr>
          <w:rStyle w:val="Voetnootmarkering"/>
          <w:rFonts w:ascii="Cambria" w:hAnsi="Cambria"/>
          <w:sz w:val="22"/>
          <w:lang w:val="en-US"/>
        </w:rPr>
        <w:footnoteReference w:id="6"/>
      </w:r>
      <w:r w:rsidR="00774192" w:rsidRPr="000B14B8">
        <w:rPr>
          <w:rFonts w:ascii="Cambria" w:hAnsi="Cambria"/>
          <w:sz w:val="22"/>
          <w:lang w:val="en-US"/>
        </w:rPr>
        <w:t xml:space="preserve"> </w:t>
      </w:r>
      <w:r w:rsidR="0065669A" w:rsidRPr="008921EE">
        <w:rPr>
          <w:rFonts w:ascii="Cambria" w:hAnsi="Cambria"/>
          <w:sz w:val="22"/>
          <w:lang w:val="en-US"/>
        </w:rPr>
        <w:t xml:space="preserve">During the following, </w:t>
      </w:r>
      <w:r w:rsidR="0051766F" w:rsidRPr="001E3E67">
        <w:rPr>
          <w:rFonts w:ascii="Cambria" w:hAnsi="Cambria"/>
          <w:sz w:val="22"/>
          <w:lang w:val="en-US"/>
        </w:rPr>
        <w:t xml:space="preserve">gradual </w:t>
      </w:r>
      <w:r w:rsidR="00007395" w:rsidRPr="001E3E67">
        <w:rPr>
          <w:rFonts w:ascii="Cambria" w:hAnsi="Cambria"/>
          <w:sz w:val="22"/>
          <w:lang w:val="en-US"/>
        </w:rPr>
        <w:t xml:space="preserve">process of </w:t>
      </w:r>
      <w:r w:rsidR="00604CEB">
        <w:rPr>
          <w:rFonts w:ascii="Cambria" w:hAnsi="Cambria"/>
          <w:sz w:val="22"/>
          <w:lang w:val="en-US"/>
        </w:rPr>
        <w:t xml:space="preserve">the </w:t>
      </w:r>
      <w:r w:rsidR="00007395" w:rsidRPr="001E3E67">
        <w:rPr>
          <w:rFonts w:ascii="Cambria" w:hAnsi="Cambria"/>
          <w:sz w:val="22"/>
          <w:lang w:val="en-US"/>
        </w:rPr>
        <w:t>‘juridification’ of the European market-building project</w:t>
      </w:r>
      <w:r w:rsidR="005A64D4" w:rsidRPr="001E3E67">
        <w:rPr>
          <w:rFonts w:ascii="Cambria" w:hAnsi="Cambria"/>
          <w:sz w:val="22"/>
          <w:lang w:val="en-US"/>
        </w:rPr>
        <w:t xml:space="preserve">, </w:t>
      </w:r>
      <w:r w:rsidR="009E2A12" w:rsidRPr="001E3E67">
        <w:rPr>
          <w:rFonts w:ascii="Cambria" w:hAnsi="Cambria"/>
          <w:sz w:val="22"/>
          <w:lang w:val="en-US"/>
        </w:rPr>
        <w:t xml:space="preserve">starting with the principal </w:t>
      </w:r>
      <w:r w:rsidR="009E2A12" w:rsidRPr="000B14B8">
        <w:rPr>
          <w:rFonts w:ascii="Cambria" w:hAnsi="Cambria"/>
          <w:i/>
          <w:sz w:val="22"/>
          <w:lang w:val="en-US"/>
        </w:rPr>
        <w:t>Van Gend</w:t>
      </w:r>
      <w:r w:rsidR="00171832" w:rsidRPr="000B14B8">
        <w:rPr>
          <w:rFonts w:ascii="Cambria" w:hAnsi="Cambria"/>
          <w:i/>
          <w:sz w:val="22"/>
          <w:lang w:val="en-US"/>
        </w:rPr>
        <w:t xml:space="preserve"> </w:t>
      </w:r>
      <w:r w:rsidR="009E2A12" w:rsidRPr="000B14B8">
        <w:rPr>
          <w:rFonts w:ascii="Cambria" w:hAnsi="Cambria"/>
          <w:i/>
          <w:sz w:val="22"/>
          <w:lang w:val="en-US"/>
        </w:rPr>
        <w:t>&amp;</w:t>
      </w:r>
      <w:r w:rsidR="00171832" w:rsidRPr="000B14B8">
        <w:rPr>
          <w:rFonts w:ascii="Cambria" w:hAnsi="Cambria"/>
          <w:i/>
          <w:sz w:val="22"/>
          <w:lang w:val="en-US"/>
        </w:rPr>
        <w:t xml:space="preserve"> </w:t>
      </w:r>
      <w:r w:rsidR="009E2A12" w:rsidRPr="000B14B8">
        <w:rPr>
          <w:rFonts w:ascii="Cambria" w:hAnsi="Cambria"/>
          <w:i/>
          <w:sz w:val="22"/>
          <w:lang w:val="en-US"/>
        </w:rPr>
        <w:t>Loos</w:t>
      </w:r>
      <w:r w:rsidR="00171832" w:rsidRPr="000B14B8">
        <w:rPr>
          <w:rFonts w:ascii="Cambria" w:hAnsi="Cambria"/>
          <w:sz w:val="22"/>
          <w:lang w:val="en-US"/>
        </w:rPr>
        <w:t xml:space="preserve"> and </w:t>
      </w:r>
      <w:r w:rsidR="00171832" w:rsidRPr="000B14B8">
        <w:rPr>
          <w:rFonts w:ascii="Cambria" w:hAnsi="Cambria"/>
          <w:i/>
          <w:sz w:val="22"/>
          <w:lang w:val="en-US"/>
        </w:rPr>
        <w:t xml:space="preserve">Costa v. </w:t>
      </w:r>
      <w:proofErr w:type="spellStart"/>
      <w:r w:rsidR="00171832" w:rsidRPr="000B14B8">
        <w:rPr>
          <w:rFonts w:ascii="Cambria" w:hAnsi="Cambria"/>
          <w:i/>
          <w:sz w:val="22"/>
          <w:lang w:val="en-US"/>
        </w:rPr>
        <w:lastRenderedPageBreak/>
        <w:t>Enel</w:t>
      </w:r>
      <w:proofErr w:type="spellEnd"/>
      <w:r w:rsidR="00171832" w:rsidRPr="000B14B8">
        <w:rPr>
          <w:rFonts w:ascii="Cambria" w:hAnsi="Cambria"/>
          <w:sz w:val="22"/>
          <w:lang w:val="en-US"/>
        </w:rPr>
        <w:t xml:space="preserve"> </w:t>
      </w:r>
      <w:r w:rsidR="009E2A12" w:rsidRPr="000B14B8">
        <w:rPr>
          <w:rFonts w:ascii="Cambria" w:hAnsi="Cambria"/>
          <w:sz w:val="22"/>
          <w:lang w:val="en-US"/>
        </w:rPr>
        <w:t>dec</w:t>
      </w:r>
      <w:r w:rsidR="00356D38" w:rsidRPr="000B14B8">
        <w:rPr>
          <w:rFonts w:ascii="Cambria" w:hAnsi="Cambria"/>
          <w:sz w:val="22"/>
          <w:lang w:val="en-US"/>
        </w:rPr>
        <w:t>isions</w:t>
      </w:r>
      <w:r w:rsidR="00171832" w:rsidRPr="000B14B8">
        <w:rPr>
          <w:rFonts w:ascii="Cambria" w:hAnsi="Cambria"/>
          <w:sz w:val="22"/>
          <w:lang w:val="en-US"/>
        </w:rPr>
        <w:t>,</w:t>
      </w:r>
      <w:r w:rsidR="00171832" w:rsidRPr="000B14B8">
        <w:rPr>
          <w:rStyle w:val="Voetnootmarkering"/>
          <w:rFonts w:ascii="Cambria" w:hAnsi="Cambria"/>
          <w:sz w:val="22"/>
          <w:lang w:val="en-US"/>
        </w:rPr>
        <w:footnoteReference w:id="7"/>
      </w:r>
      <w:r w:rsidR="009E2A12" w:rsidRPr="000B14B8">
        <w:rPr>
          <w:rFonts w:ascii="Cambria" w:hAnsi="Cambria"/>
          <w:sz w:val="22"/>
          <w:lang w:val="en-US"/>
        </w:rPr>
        <w:t xml:space="preserve"> </w:t>
      </w:r>
      <w:r w:rsidR="00685533">
        <w:rPr>
          <w:rFonts w:ascii="Cambria" w:hAnsi="Cambria"/>
          <w:sz w:val="22"/>
          <w:lang w:val="en-US"/>
        </w:rPr>
        <w:t xml:space="preserve">the seemingly </w:t>
      </w:r>
      <w:r w:rsidR="00D94EA8" w:rsidRPr="001E3E67">
        <w:rPr>
          <w:rFonts w:ascii="Cambria" w:hAnsi="Cambria"/>
          <w:sz w:val="22"/>
          <w:lang w:val="en-US"/>
        </w:rPr>
        <w:t xml:space="preserve">political-technical commitments of </w:t>
      </w:r>
      <w:r w:rsidR="006C6257">
        <w:rPr>
          <w:rFonts w:ascii="Cambria" w:hAnsi="Cambria"/>
          <w:sz w:val="22"/>
          <w:lang w:val="en-US"/>
        </w:rPr>
        <w:t>M</w:t>
      </w:r>
      <w:r w:rsidR="00D94EA8" w:rsidRPr="001E3E67">
        <w:rPr>
          <w:rFonts w:ascii="Cambria" w:hAnsi="Cambria"/>
          <w:sz w:val="22"/>
          <w:lang w:val="en-US"/>
        </w:rPr>
        <w:t>ember</w:t>
      </w:r>
      <w:r w:rsidR="006C6257">
        <w:rPr>
          <w:rFonts w:ascii="Cambria" w:hAnsi="Cambria"/>
          <w:sz w:val="22"/>
          <w:lang w:val="en-US"/>
        </w:rPr>
        <w:t xml:space="preserve"> S</w:t>
      </w:r>
      <w:r w:rsidR="00D94EA8" w:rsidRPr="001E3E67">
        <w:rPr>
          <w:rFonts w:ascii="Cambria" w:hAnsi="Cambria"/>
          <w:sz w:val="22"/>
          <w:lang w:val="en-US"/>
        </w:rPr>
        <w:t xml:space="preserve">tates </w:t>
      </w:r>
      <w:r w:rsidR="00356D38" w:rsidRPr="000B14B8">
        <w:rPr>
          <w:rFonts w:ascii="Cambria" w:hAnsi="Cambria"/>
          <w:sz w:val="22"/>
          <w:lang w:val="en-US"/>
        </w:rPr>
        <w:t>were</w:t>
      </w:r>
      <w:r w:rsidR="0065669A" w:rsidRPr="000B14B8">
        <w:rPr>
          <w:rFonts w:ascii="Cambria" w:hAnsi="Cambria"/>
          <w:sz w:val="22"/>
          <w:lang w:val="en-US"/>
        </w:rPr>
        <w:t xml:space="preserve"> transform</w:t>
      </w:r>
      <w:r w:rsidR="00356D38" w:rsidRPr="000B14B8">
        <w:rPr>
          <w:rFonts w:ascii="Cambria" w:hAnsi="Cambria"/>
          <w:sz w:val="22"/>
          <w:lang w:val="en-US"/>
        </w:rPr>
        <w:t>ed</w:t>
      </w:r>
      <w:r w:rsidR="0065669A" w:rsidRPr="000B14B8">
        <w:rPr>
          <w:rFonts w:ascii="Cambria" w:hAnsi="Cambria"/>
          <w:sz w:val="22"/>
          <w:lang w:val="en-US"/>
        </w:rPr>
        <w:t xml:space="preserve"> </w:t>
      </w:r>
      <w:r w:rsidR="00875BAE" w:rsidRPr="000B14B8">
        <w:rPr>
          <w:rFonts w:ascii="Cambria" w:hAnsi="Cambria"/>
          <w:sz w:val="22"/>
          <w:lang w:val="en-US"/>
        </w:rPr>
        <w:t>into (</w:t>
      </w:r>
      <w:r w:rsidR="0051766F" w:rsidRPr="000B14B8">
        <w:rPr>
          <w:rFonts w:ascii="Cambria" w:hAnsi="Cambria"/>
          <w:sz w:val="22"/>
          <w:lang w:val="en-US"/>
        </w:rPr>
        <w:t>economic</w:t>
      </w:r>
      <w:r w:rsidR="00875BAE" w:rsidRPr="000B14B8">
        <w:rPr>
          <w:rFonts w:ascii="Cambria" w:hAnsi="Cambria"/>
          <w:sz w:val="22"/>
          <w:lang w:val="en-US"/>
        </w:rPr>
        <w:t>)</w:t>
      </w:r>
      <w:r w:rsidR="0051766F" w:rsidRPr="000B14B8">
        <w:rPr>
          <w:rFonts w:ascii="Cambria" w:hAnsi="Cambria"/>
          <w:sz w:val="22"/>
          <w:lang w:val="en-US"/>
        </w:rPr>
        <w:t xml:space="preserve"> principles and accompanying substantive rights.</w:t>
      </w:r>
      <w:r w:rsidR="00875BAE" w:rsidRPr="000B14B8">
        <w:rPr>
          <w:rFonts w:ascii="Cambria" w:hAnsi="Cambria"/>
          <w:sz w:val="22"/>
          <w:lang w:val="en-US"/>
        </w:rPr>
        <w:t xml:space="preserve"> </w:t>
      </w:r>
      <w:r w:rsidR="00685533">
        <w:rPr>
          <w:rFonts w:ascii="Cambria" w:hAnsi="Cambria"/>
          <w:sz w:val="22"/>
          <w:lang w:val="en-US"/>
        </w:rPr>
        <w:t>I</w:t>
      </w:r>
      <w:r w:rsidR="00356D38" w:rsidRPr="000B14B8">
        <w:rPr>
          <w:rFonts w:ascii="Cambria" w:hAnsi="Cambria"/>
          <w:sz w:val="22"/>
          <w:lang w:val="en-US"/>
        </w:rPr>
        <w:t xml:space="preserve">n the seminal Van </w:t>
      </w:r>
      <w:r w:rsidR="00F751E9" w:rsidRPr="00F751E9">
        <w:rPr>
          <w:rFonts w:ascii="Cambria" w:hAnsi="Cambria"/>
          <w:i/>
          <w:sz w:val="22"/>
          <w:lang w:val="en-US"/>
        </w:rPr>
        <w:t>Gend &amp; Loos</w:t>
      </w:r>
      <w:r w:rsidR="00356D38" w:rsidRPr="000B14B8">
        <w:rPr>
          <w:rFonts w:ascii="Cambria" w:hAnsi="Cambria"/>
          <w:sz w:val="22"/>
          <w:lang w:val="en-US"/>
        </w:rPr>
        <w:t xml:space="preserve"> case </w:t>
      </w:r>
      <w:r w:rsidR="00685533">
        <w:rPr>
          <w:rFonts w:ascii="Cambria" w:hAnsi="Cambria"/>
          <w:sz w:val="22"/>
          <w:lang w:val="en-US"/>
        </w:rPr>
        <w:t xml:space="preserve">the Court </w:t>
      </w:r>
      <w:r w:rsidR="00356D38" w:rsidRPr="000B14B8">
        <w:rPr>
          <w:rFonts w:ascii="Cambria" w:hAnsi="Cambria"/>
          <w:sz w:val="22"/>
          <w:lang w:val="en-US"/>
        </w:rPr>
        <w:t xml:space="preserve">held that ‘the Community constitutes a new legal order of international law for the benefit of which the states have limited their sovereign rights, albeit within limited fields, and the subjects of which comprise not only Member States but also their nationals’. </w:t>
      </w:r>
      <w:r w:rsidR="006D6F01">
        <w:rPr>
          <w:rFonts w:ascii="Cambria" w:hAnsi="Cambria"/>
          <w:sz w:val="22"/>
          <w:lang w:val="en-US"/>
        </w:rPr>
        <w:t>This</w:t>
      </w:r>
      <w:r w:rsidR="00685533">
        <w:rPr>
          <w:rFonts w:ascii="Cambria" w:hAnsi="Cambria"/>
          <w:sz w:val="22"/>
          <w:lang w:val="en-US"/>
        </w:rPr>
        <w:t xml:space="preserve"> ‘new legal order’ </w:t>
      </w:r>
      <w:r w:rsidR="00356D38" w:rsidRPr="000B14B8">
        <w:rPr>
          <w:rFonts w:ascii="Cambria" w:hAnsi="Cambria"/>
          <w:sz w:val="22"/>
          <w:lang w:val="en-US"/>
        </w:rPr>
        <w:t xml:space="preserve">allowed the </w:t>
      </w:r>
      <w:r w:rsidR="00065F9B">
        <w:rPr>
          <w:rFonts w:ascii="Cambria" w:hAnsi="Cambria"/>
          <w:sz w:val="22"/>
          <w:lang w:val="en-US"/>
        </w:rPr>
        <w:t>CJEU</w:t>
      </w:r>
      <w:r w:rsidR="00356D38" w:rsidRPr="000B14B8">
        <w:rPr>
          <w:rFonts w:ascii="Cambria" w:hAnsi="Cambria"/>
          <w:sz w:val="22"/>
          <w:lang w:val="en-US"/>
        </w:rPr>
        <w:t xml:space="preserve"> to postulate the principle of direct effect</w:t>
      </w:r>
      <w:r w:rsidR="00EB2747">
        <w:rPr>
          <w:rFonts w:ascii="Cambria" w:hAnsi="Cambria"/>
          <w:sz w:val="22"/>
          <w:lang w:val="en-US"/>
        </w:rPr>
        <w:t xml:space="preserve">, introducing substantive rights for </w:t>
      </w:r>
      <w:r w:rsidR="006D6F01">
        <w:rPr>
          <w:rFonts w:ascii="Cambria" w:hAnsi="Cambria"/>
          <w:sz w:val="22"/>
          <w:lang w:val="en-US"/>
        </w:rPr>
        <w:t>individuals</w:t>
      </w:r>
      <w:r w:rsidR="00EB2747">
        <w:rPr>
          <w:rFonts w:ascii="Cambria" w:hAnsi="Cambria"/>
          <w:sz w:val="22"/>
          <w:lang w:val="en-US"/>
        </w:rPr>
        <w:t xml:space="preserve">, </w:t>
      </w:r>
      <w:r w:rsidR="00685533">
        <w:rPr>
          <w:rFonts w:ascii="Cambria" w:hAnsi="Cambria"/>
          <w:sz w:val="22"/>
          <w:lang w:val="en-US"/>
        </w:rPr>
        <w:t xml:space="preserve">and, </w:t>
      </w:r>
      <w:r w:rsidR="00356D38" w:rsidRPr="000B14B8">
        <w:rPr>
          <w:rFonts w:ascii="Cambria" w:hAnsi="Cambria"/>
          <w:sz w:val="22"/>
          <w:lang w:val="en-US"/>
        </w:rPr>
        <w:t xml:space="preserve">in </w:t>
      </w:r>
      <w:r w:rsidR="00B37487">
        <w:rPr>
          <w:rFonts w:ascii="Cambria" w:hAnsi="Cambria"/>
          <w:sz w:val="22"/>
          <w:lang w:val="en-US"/>
        </w:rPr>
        <w:t xml:space="preserve">the </w:t>
      </w:r>
      <w:r w:rsidR="00356D38" w:rsidRPr="000B14B8">
        <w:rPr>
          <w:rFonts w:ascii="Cambria" w:hAnsi="Cambria"/>
          <w:sz w:val="22"/>
          <w:lang w:val="en-US"/>
        </w:rPr>
        <w:t>Costa v</w:t>
      </w:r>
      <w:r w:rsidR="00685533">
        <w:rPr>
          <w:rFonts w:ascii="Cambria" w:hAnsi="Cambria"/>
          <w:sz w:val="22"/>
          <w:lang w:val="en-US"/>
        </w:rPr>
        <w:t>.</w:t>
      </w:r>
      <w:r w:rsidR="00356D38" w:rsidRPr="000B14B8">
        <w:rPr>
          <w:rFonts w:ascii="Cambria" w:hAnsi="Cambria"/>
          <w:sz w:val="22"/>
          <w:lang w:val="en-US"/>
        </w:rPr>
        <w:t xml:space="preserve"> Enel</w:t>
      </w:r>
      <w:r w:rsidR="00EB2747">
        <w:rPr>
          <w:rFonts w:ascii="Cambria" w:hAnsi="Cambria"/>
          <w:sz w:val="22"/>
          <w:lang w:val="en-US"/>
        </w:rPr>
        <w:t xml:space="preserve"> case</w:t>
      </w:r>
      <w:r w:rsidR="00685533">
        <w:rPr>
          <w:rFonts w:ascii="Cambria" w:hAnsi="Cambria"/>
          <w:sz w:val="22"/>
          <w:lang w:val="en-US"/>
        </w:rPr>
        <w:t>,</w:t>
      </w:r>
      <w:r w:rsidR="00356D38" w:rsidRPr="000B14B8">
        <w:rPr>
          <w:rFonts w:ascii="Cambria" w:hAnsi="Cambria"/>
          <w:sz w:val="22"/>
          <w:lang w:val="en-US"/>
        </w:rPr>
        <w:t xml:space="preserve"> the p</w:t>
      </w:r>
      <w:r w:rsidR="00EB2747">
        <w:rPr>
          <w:rFonts w:ascii="Cambria" w:hAnsi="Cambria"/>
          <w:sz w:val="22"/>
          <w:lang w:val="en-US"/>
        </w:rPr>
        <w:t xml:space="preserve">rinciple of </w:t>
      </w:r>
      <w:r w:rsidR="00604CEB">
        <w:rPr>
          <w:rFonts w:ascii="Cambria" w:hAnsi="Cambria"/>
          <w:sz w:val="22"/>
          <w:lang w:val="en-US"/>
        </w:rPr>
        <w:t xml:space="preserve">the </w:t>
      </w:r>
      <w:r w:rsidR="00EB2747">
        <w:rPr>
          <w:rFonts w:ascii="Cambria" w:hAnsi="Cambria"/>
          <w:sz w:val="22"/>
          <w:lang w:val="en-US"/>
        </w:rPr>
        <w:t xml:space="preserve">primacy of </w:t>
      </w:r>
      <w:r w:rsidR="00B37487">
        <w:rPr>
          <w:rFonts w:ascii="Cambria" w:hAnsi="Cambria"/>
          <w:sz w:val="22"/>
          <w:lang w:val="en-US"/>
        </w:rPr>
        <w:t>Community</w:t>
      </w:r>
      <w:r w:rsidR="00EB2747">
        <w:rPr>
          <w:rFonts w:ascii="Cambria" w:hAnsi="Cambria"/>
          <w:sz w:val="22"/>
          <w:lang w:val="en-US"/>
        </w:rPr>
        <w:t xml:space="preserve"> law</w:t>
      </w:r>
      <w:r w:rsidR="00B37487">
        <w:rPr>
          <w:rFonts w:ascii="Cambria" w:hAnsi="Cambria"/>
          <w:sz w:val="22"/>
          <w:lang w:val="en-US"/>
        </w:rPr>
        <w:t xml:space="preserve"> over national law</w:t>
      </w:r>
      <w:r w:rsidR="00EB2747">
        <w:rPr>
          <w:rFonts w:ascii="Cambria" w:hAnsi="Cambria"/>
          <w:sz w:val="22"/>
          <w:lang w:val="en-US"/>
        </w:rPr>
        <w:t>.</w:t>
      </w:r>
    </w:p>
    <w:p w:rsidR="00A000AD" w:rsidRPr="000B14B8" w:rsidRDefault="005666E1" w:rsidP="00170179">
      <w:pPr>
        <w:spacing w:after="0" w:line="240" w:lineRule="auto"/>
        <w:jc w:val="both"/>
        <w:rPr>
          <w:rFonts w:ascii="Cambria" w:hAnsi="Cambria"/>
          <w:sz w:val="22"/>
          <w:lang w:val="en-US"/>
        </w:rPr>
      </w:pPr>
      <w:r w:rsidRPr="000B14B8">
        <w:rPr>
          <w:rFonts w:ascii="Cambria" w:hAnsi="Cambria"/>
          <w:sz w:val="22"/>
          <w:lang w:val="en-US"/>
        </w:rPr>
        <w:t xml:space="preserve">As a result of this </w:t>
      </w:r>
      <w:r w:rsidR="00604CEB">
        <w:rPr>
          <w:rFonts w:ascii="Cambria" w:hAnsi="Cambria"/>
          <w:sz w:val="22"/>
          <w:lang w:val="en-US"/>
        </w:rPr>
        <w:t>‘</w:t>
      </w:r>
      <w:r w:rsidRPr="000B14B8">
        <w:rPr>
          <w:rFonts w:ascii="Cambria" w:hAnsi="Cambria"/>
          <w:sz w:val="22"/>
          <w:lang w:val="en-US"/>
        </w:rPr>
        <w:t>int</w:t>
      </w:r>
      <w:r w:rsidR="002216C7" w:rsidRPr="000B14B8">
        <w:rPr>
          <w:rFonts w:ascii="Cambria" w:hAnsi="Cambria"/>
          <w:sz w:val="22"/>
          <w:lang w:val="en-US"/>
        </w:rPr>
        <w:t>egration</w:t>
      </w:r>
      <w:r w:rsidR="00604CEB">
        <w:rPr>
          <w:rFonts w:ascii="Cambria" w:hAnsi="Cambria"/>
          <w:sz w:val="22"/>
          <w:lang w:val="en-US"/>
        </w:rPr>
        <w:t xml:space="preserve"> </w:t>
      </w:r>
      <w:r w:rsidR="002216C7" w:rsidRPr="000B14B8">
        <w:rPr>
          <w:rFonts w:ascii="Cambria" w:hAnsi="Cambria"/>
          <w:sz w:val="22"/>
          <w:lang w:val="en-US"/>
        </w:rPr>
        <w:t>through</w:t>
      </w:r>
      <w:r w:rsidR="00604CEB">
        <w:rPr>
          <w:rFonts w:ascii="Cambria" w:hAnsi="Cambria"/>
          <w:sz w:val="22"/>
          <w:lang w:val="en-US"/>
        </w:rPr>
        <w:t xml:space="preserve"> </w:t>
      </w:r>
      <w:r w:rsidR="002216C7" w:rsidRPr="000B14B8">
        <w:rPr>
          <w:rFonts w:ascii="Cambria" w:hAnsi="Cambria"/>
          <w:sz w:val="22"/>
          <w:lang w:val="en-US"/>
        </w:rPr>
        <w:t>law</w:t>
      </w:r>
      <w:r w:rsidR="00604CEB">
        <w:rPr>
          <w:rFonts w:ascii="Cambria" w:hAnsi="Cambria"/>
          <w:sz w:val="22"/>
          <w:lang w:val="en-US"/>
        </w:rPr>
        <w:t>’</w:t>
      </w:r>
      <w:r w:rsidR="002216C7" w:rsidRPr="000B14B8">
        <w:rPr>
          <w:rFonts w:ascii="Cambria" w:hAnsi="Cambria"/>
          <w:sz w:val="22"/>
          <w:lang w:val="en-US"/>
        </w:rPr>
        <w:t>,</w:t>
      </w:r>
      <w:r w:rsidR="002B0CCB" w:rsidRPr="000B14B8">
        <w:rPr>
          <w:rStyle w:val="Voetnootmarkering"/>
          <w:rFonts w:ascii="Cambria" w:hAnsi="Cambria"/>
          <w:sz w:val="22"/>
          <w:lang w:val="en-US"/>
        </w:rPr>
        <w:footnoteReference w:id="8"/>
      </w:r>
      <w:r w:rsidR="002216C7" w:rsidRPr="000B14B8">
        <w:rPr>
          <w:rFonts w:ascii="Cambria" w:hAnsi="Cambria"/>
          <w:sz w:val="22"/>
          <w:lang w:val="en-US"/>
        </w:rPr>
        <w:t xml:space="preserve"> politi</w:t>
      </w:r>
      <w:r w:rsidR="002216C7" w:rsidRPr="008921EE">
        <w:rPr>
          <w:rFonts w:ascii="Cambria" w:hAnsi="Cambria"/>
          <w:sz w:val="22"/>
          <w:lang w:val="en-US"/>
        </w:rPr>
        <w:t>cal-</w:t>
      </w:r>
      <w:r w:rsidRPr="001E3E67">
        <w:rPr>
          <w:rFonts w:ascii="Cambria" w:hAnsi="Cambria"/>
          <w:sz w:val="22"/>
          <w:lang w:val="en-US"/>
        </w:rPr>
        <w:t xml:space="preserve">economic </w:t>
      </w:r>
      <w:r w:rsidR="00F0353E" w:rsidRPr="001E3E67">
        <w:rPr>
          <w:rFonts w:ascii="Cambria" w:hAnsi="Cambria"/>
          <w:sz w:val="22"/>
          <w:lang w:val="en-US"/>
        </w:rPr>
        <w:t>values</w:t>
      </w:r>
      <w:r w:rsidR="00F30132" w:rsidRPr="001E3E67">
        <w:rPr>
          <w:rFonts w:ascii="Cambria" w:hAnsi="Cambria"/>
          <w:sz w:val="22"/>
          <w:lang w:val="en-US"/>
        </w:rPr>
        <w:t xml:space="preserve">, such as the furthering of </w:t>
      </w:r>
      <w:r w:rsidR="00604CEB">
        <w:rPr>
          <w:rFonts w:ascii="Cambria" w:hAnsi="Cambria"/>
          <w:sz w:val="22"/>
          <w:lang w:val="en-US"/>
        </w:rPr>
        <w:t xml:space="preserve">the </w:t>
      </w:r>
      <w:r w:rsidR="00F30132" w:rsidRPr="001E3E67">
        <w:rPr>
          <w:rFonts w:ascii="Cambria" w:hAnsi="Cambria"/>
          <w:sz w:val="22"/>
          <w:lang w:val="en-US"/>
        </w:rPr>
        <w:t xml:space="preserve">market economy, </w:t>
      </w:r>
      <w:r w:rsidR="00F0353E" w:rsidRPr="001E3E67">
        <w:rPr>
          <w:rFonts w:ascii="Cambria" w:hAnsi="Cambria"/>
          <w:sz w:val="22"/>
          <w:lang w:val="en-US"/>
        </w:rPr>
        <w:t xml:space="preserve">the </w:t>
      </w:r>
      <w:r w:rsidR="00F30132" w:rsidRPr="000B14B8">
        <w:rPr>
          <w:rFonts w:ascii="Cambria" w:hAnsi="Cambria"/>
          <w:sz w:val="22"/>
          <w:lang w:val="en-US"/>
        </w:rPr>
        <w:t xml:space="preserve">opening up of national markets by </w:t>
      </w:r>
      <w:r w:rsidR="00F0353E" w:rsidRPr="000B14B8">
        <w:rPr>
          <w:rFonts w:ascii="Cambria" w:hAnsi="Cambria"/>
          <w:sz w:val="22"/>
          <w:lang w:val="en-US"/>
        </w:rPr>
        <w:t>anti-discrimi</w:t>
      </w:r>
      <w:r w:rsidR="00A000AD" w:rsidRPr="000B14B8">
        <w:rPr>
          <w:rFonts w:ascii="Cambria" w:hAnsi="Cambria"/>
          <w:sz w:val="22"/>
          <w:lang w:val="en-US"/>
        </w:rPr>
        <w:softHyphen/>
      </w:r>
      <w:r w:rsidR="00F0353E" w:rsidRPr="000B14B8">
        <w:rPr>
          <w:rFonts w:ascii="Cambria" w:hAnsi="Cambria"/>
          <w:sz w:val="22"/>
          <w:lang w:val="en-US"/>
        </w:rPr>
        <w:t>nation rules and the commitment to a system of undistorted competition,</w:t>
      </w:r>
      <w:r w:rsidR="00E23AB5" w:rsidRPr="000B14B8">
        <w:rPr>
          <w:rFonts w:ascii="Cambria" w:hAnsi="Cambria"/>
          <w:sz w:val="22"/>
          <w:lang w:val="en-US"/>
        </w:rPr>
        <w:t xml:space="preserve"> were</w:t>
      </w:r>
      <w:r w:rsidR="00F0353E" w:rsidRPr="000B14B8">
        <w:rPr>
          <w:rFonts w:ascii="Cambria" w:hAnsi="Cambria"/>
          <w:sz w:val="22"/>
          <w:lang w:val="en-US"/>
        </w:rPr>
        <w:t xml:space="preserve"> now supported</w:t>
      </w:r>
      <w:r w:rsidR="00007395" w:rsidRPr="000B14B8">
        <w:rPr>
          <w:rFonts w:ascii="Cambria" w:hAnsi="Cambria"/>
          <w:sz w:val="22"/>
          <w:lang w:val="en-US"/>
        </w:rPr>
        <w:t xml:space="preserve"> by</w:t>
      </w:r>
      <w:r w:rsidR="004A49C7" w:rsidRPr="000B14B8">
        <w:rPr>
          <w:rFonts w:ascii="Cambria" w:hAnsi="Cambria"/>
          <w:sz w:val="22"/>
          <w:lang w:val="en-US"/>
        </w:rPr>
        <w:t>,</w:t>
      </w:r>
      <w:r w:rsidR="00F0353E" w:rsidRPr="000B14B8">
        <w:rPr>
          <w:rFonts w:ascii="Cambria" w:hAnsi="Cambria"/>
          <w:sz w:val="22"/>
          <w:lang w:val="en-US"/>
        </w:rPr>
        <w:t xml:space="preserve"> </w:t>
      </w:r>
      <w:r w:rsidR="004A49C7" w:rsidRPr="000B14B8">
        <w:rPr>
          <w:rFonts w:ascii="Cambria" w:hAnsi="Cambria"/>
          <w:sz w:val="22"/>
          <w:lang w:val="en-US"/>
        </w:rPr>
        <w:t xml:space="preserve">what </w:t>
      </w:r>
      <w:r w:rsidR="00EB2747">
        <w:rPr>
          <w:rFonts w:ascii="Cambria" w:hAnsi="Cambria"/>
          <w:sz w:val="22"/>
          <w:lang w:val="en-US"/>
        </w:rPr>
        <w:t xml:space="preserve">has been called by some, </w:t>
      </w:r>
      <w:r w:rsidR="00F0353E" w:rsidRPr="000B14B8">
        <w:rPr>
          <w:rFonts w:ascii="Cambria" w:hAnsi="Cambria"/>
          <w:sz w:val="22"/>
          <w:lang w:val="en-US"/>
        </w:rPr>
        <w:t xml:space="preserve">an </w:t>
      </w:r>
      <w:r w:rsidR="00F30132" w:rsidRPr="000B14B8">
        <w:rPr>
          <w:rFonts w:ascii="Cambria" w:hAnsi="Cambria"/>
          <w:sz w:val="22"/>
          <w:lang w:val="en-US"/>
        </w:rPr>
        <w:t xml:space="preserve">European </w:t>
      </w:r>
      <w:r w:rsidR="00F0353E" w:rsidRPr="000B14B8">
        <w:rPr>
          <w:rFonts w:ascii="Cambria" w:hAnsi="Cambria"/>
          <w:sz w:val="22"/>
          <w:lang w:val="en-US"/>
        </w:rPr>
        <w:t>economic ‘constitution’.</w:t>
      </w:r>
      <w:bookmarkStart w:id="2" w:name="_Ref420507634"/>
      <w:r w:rsidR="004A49C7" w:rsidRPr="000B14B8">
        <w:rPr>
          <w:rStyle w:val="Voetnootmarkering"/>
          <w:rFonts w:ascii="Cambria" w:hAnsi="Cambria"/>
          <w:sz w:val="22"/>
          <w:lang w:val="en-US"/>
        </w:rPr>
        <w:footnoteReference w:id="9"/>
      </w:r>
      <w:bookmarkEnd w:id="2"/>
      <w:r w:rsidR="00007395" w:rsidRPr="000B14B8">
        <w:rPr>
          <w:rFonts w:ascii="Cambria" w:hAnsi="Cambria"/>
          <w:sz w:val="22"/>
          <w:lang w:val="en-US"/>
        </w:rPr>
        <w:t xml:space="preserve"> That is to say, </w:t>
      </w:r>
      <w:r w:rsidR="00F0353E" w:rsidRPr="008921EE">
        <w:rPr>
          <w:rFonts w:ascii="Cambria" w:hAnsi="Cambria"/>
          <w:sz w:val="22"/>
          <w:lang w:val="en-US"/>
        </w:rPr>
        <w:t>a law-based order that guarantees economic freedoms and protects competition by supranational institutions,</w:t>
      </w:r>
      <w:r w:rsidR="00875BAE" w:rsidRPr="001E3E67">
        <w:rPr>
          <w:rFonts w:ascii="Cambria" w:hAnsi="Cambria"/>
          <w:sz w:val="22"/>
          <w:lang w:val="en-US"/>
        </w:rPr>
        <w:t xml:space="preserve"> </w:t>
      </w:r>
      <w:r w:rsidR="00F0353E" w:rsidRPr="001E3E67">
        <w:rPr>
          <w:rFonts w:ascii="Cambria" w:hAnsi="Cambria"/>
          <w:sz w:val="22"/>
          <w:lang w:val="en-US"/>
        </w:rPr>
        <w:t xml:space="preserve">which is </w:t>
      </w:r>
      <w:r w:rsidRPr="001E3E67">
        <w:rPr>
          <w:rFonts w:ascii="Cambria" w:hAnsi="Cambria"/>
          <w:sz w:val="22"/>
          <w:lang w:val="en-US"/>
        </w:rPr>
        <w:t>not only independent from political</w:t>
      </w:r>
      <w:r w:rsidR="00F0353E" w:rsidRPr="001E3E67">
        <w:rPr>
          <w:rFonts w:ascii="Cambria" w:hAnsi="Cambria"/>
          <w:sz w:val="22"/>
          <w:lang w:val="en-US"/>
        </w:rPr>
        <w:t xml:space="preserve"> decision</w:t>
      </w:r>
      <w:r w:rsidR="00007395" w:rsidRPr="000B14B8">
        <w:rPr>
          <w:rFonts w:ascii="Cambria" w:hAnsi="Cambria"/>
          <w:sz w:val="22"/>
          <w:lang w:val="en-US"/>
        </w:rPr>
        <w:t>,</w:t>
      </w:r>
      <w:r w:rsidR="00F0353E" w:rsidRPr="000B14B8">
        <w:rPr>
          <w:rFonts w:ascii="Cambria" w:hAnsi="Cambria"/>
          <w:sz w:val="22"/>
          <w:lang w:val="en-US"/>
        </w:rPr>
        <w:t xml:space="preserve"> but </w:t>
      </w:r>
      <w:r w:rsidR="004A49C7" w:rsidRPr="000B14B8">
        <w:rPr>
          <w:rFonts w:ascii="Cambria" w:hAnsi="Cambria"/>
          <w:sz w:val="22"/>
          <w:lang w:val="en-US"/>
        </w:rPr>
        <w:t>also trumps</w:t>
      </w:r>
      <w:r w:rsidR="005A2A35" w:rsidRPr="000B14B8">
        <w:rPr>
          <w:rFonts w:ascii="Cambria" w:hAnsi="Cambria"/>
          <w:sz w:val="22"/>
          <w:lang w:val="en-US"/>
        </w:rPr>
        <w:t xml:space="preserve"> national (constitu</w:t>
      </w:r>
      <w:r w:rsidR="00F30132" w:rsidRPr="000B14B8">
        <w:rPr>
          <w:rFonts w:ascii="Cambria" w:hAnsi="Cambria"/>
          <w:sz w:val="22"/>
          <w:lang w:val="en-US"/>
        </w:rPr>
        <w:softHyphen/>
      </w:r>
      <w:r w:rsidR="005A2A35" w:rsidRPr="000B14B8">
        <w:rPr>
          <w:rFonts w:ascii="Cambria" w:hAnsi="Cambria"/>
          <w:sz w:val="22"/>
          <w:lang w:val="en-US"/>
        </w:rPr>
        <w:t xml:space="preserve">tional) law. </w:t>
      </w:r>
      <w:r w:rsidR="0065669A" w:rsidRPr="000B14B8">
        <w:rPr>
          <w:rFonts w:ascii="Cambria" w:hAnsi="Cambria"/>
          <w:sz w:val="22"/>
          <w:lang w:val="en-US"/>
        </w:rPr>
        <w:t>In this process of</w:t>
      </w:r>
      <w:r w:rsidR="00AF6C81" w:rsidRPr="000B14B8">
        <w:rPr>
          <w:rFonts w:ascii="Cambria" w:hAnsi="Cambria"/>
          <w:sz w:val="22"/>
          <w:lang w:val="en-US"/>
        </w:rPr>
        <w:t xml:space="preserve"> </w:t>
      </w:r>
      <w:r w:rsidR="00604CEB">
        <w:rPr>
          <w:rFonts w:ascii="Cambria" w:hAnsi="Cambria"/>
          <w:sz w:val="22"/>
          <w:lang w:val="en-US"/>
        </w:rPr>
        <w:t xml:space="preserve">the </w:t>
      </w:r>
      <w:r w:rsidR="00AF6C81" w:rsidRPr="000B14B8">
        <w:rPr>
          <w:rFonts w:ascii="Cambria" w:hAnsi="Cambria"/>
          <w:sz w:val="22"/>
          <w:lang w:val="en-US"/>
        </w:rPr>
        <w:t>‘constitutionalization’</w:t>
      </w:r>
      <w:r w:rsidR="002216C7" w:rsidRPr="000B14B8">
        <w:rPr>
          <w:rFonts w:ascii="Cambria" w:hAnsi="Cambria"/>
          <w:sz w:val="22"/>
          <w:lang w:val="en-US"/>
        </w:rPr>
        <w:t xml:space="preserve"> of economic </w:t>
      </w:r>
      <w:r w:rsidR="00A000AD" w:rsidRPr="000B14B8">
        <w:rPr>
          <w:rFonts w:ascii="Cambria" w:hAnsi="Cambria"/>
          <w:sz w:val="22"/>
          <w:lang w:val="en-US"/>
        </w:rPr>
        <w:t xml:space="preserve">policy and </w:t>
      </w:r>
      <w:r w:rsidR="002216C7" w:rsidRPr="000B14B8">
        <w:rPr>
          <w:rFonts w:ascii="Cambria" w:hAnsi="Cambria"/>
          <w:sz w:val="22"/>
          <w:lang w:val="en-US"/>
        </w:rPr>
        <w:t>law</w:t>
      </w:r>
      <w:r w:rsidR="0065669A" w:rsidRPr="000B14B8">
        <w:rPr>
          <w:rFonts w:ascii="Cambria" w:hAnsi="Cambria"/>
          <w:sz w:val="22"/>
          <w:lang w:val="en-US"/>
        </w:rPr>
        <w:t>, the</w:t>
      </w:r>
      <w:r w:rsidR="00AF6C81" w:rsidRPr="000B14B8">
        <w:rPr>
          <w:rFonts w:ascii="Cambria" w:hAnsi="Cambria"/>
          <w:sz w:val="22"/>
          <w:lang w:val="en-US"/>
        </w:rPr>
        <w:t xml:space="preserve"> </w:t>
      </w:r>
      <w:r w:rsidR="00171832" w:rsidRPr="000B14B8">
        <w:rPr>
          <w:rFonts w:ascii="Cambria" w:hAnsi="Cambria"/>
          <w:sz w:val="22"/>
          <w:lang w:val="en-US"/>
        </w:rPr>
        <w:t>economic freedoms</w:t>
      </w:r>
      <w:r w:rsidR="0065669A" w:rsidRPr="000B14B8">
        <w:rPr>
          <w:rFonts w:ascii="Cambria" w:hAnsi="Cambria"/>
          <w:sz w:val="22"/>
          <w:lang w:val="en-US"/>
        </w:rPr>
        <w:t xml:space="preserve">, </w:t>
      </w:r>
      <w:r w:rsidR="002216C7" w:rsidRPr="000B14B8">
        <w:rPr>
          <w:rFonts w:ascii="Cambria" w:hAnsi="Cambria"/>
          <w:sz w:val="22"/>
          <w:lang w:val="en-US"/>
        </w:rPr>
        <w:t>that l</w:t>
      </w:r>
      <w:r w:rsidR="006C6257">
        <w:rPr>
          <w:rFonts w:ascii="Cambria" w:hAnsi="Cambria"/>
          <w:sz w:val="22"/>
          <w:lang w:val="en-US"/>
        </w:rPr>
        <w:t>ay</w:t>
      </w:r>
      <w:r w:rsidR="002216C7" w:rsidRPr="000B14B8">
        <w:rPr>
          <w:rFonts w:ascii="Cambria" w:hAnsi="Cambria"/>
          <w:sz w:val="22"/>
          <w:lang w:val="en-US"/>
        </w:rPr>
        <w:t xml:space="preserve"> at the heart of this </w:t>
      </w:r>
      <w:r w:rsidR="0065669A" w:rsidRPr="000B14B8">
        <w:rPr>
          <w:rFonts w:ascii="Cambria" w:hAnsi="Cambria"/>
          <w:sz w:val="22"/>
          <w:lang w:val="en-US"/>
        </w:rPr>
        <w:t xml:space="preserve">new </w:t>
      </w:r>
      <w:r w:rsidR="002216C7" w:rsidRPr="000B14B8">
        <w:rPr>
          <w:rFonts w:ascii="Cambria" w:hAnsi="Cambria"/>
          <w:sz w:val="22"/>
          <w:lang w:val="en-US"/>
        </w:rPr>
        <w:t xml:space="preserve">legal order, </w:t>
      </w:r>
      <w:r w:rsidR="0065669A" w:rsidRPr="000B14B8">
        <w:rPr>
          <w:rFonts w:ascii="Cambria" w:hAnsi="Cambria"/>
          <w:sz w:val="22"/>
          <w:lang w:val="en-US"/>
        </w:rPr>
        <w:t xml:space="preserve">acquired what may be called a </w:t>
      </w:r>
      <w:r w:rsidR="00875BAE" w:rsidRPr="000B14B8">
        <w:rPr>
          <w:rFonts w:ascii="Cambria" w:hAnsi="Cambria"/>
          <w:sz w:val="22"/>
          <w:lang w:val="en-US"/>
        </w:rPr>
        <w:t>fundamen</w:t>
      </w:r>
      <w:r w:rsidR="00AF6C81" w:rsidRPr="000B14B8">
        <w:rPr>
          <w:rFonts w:ascii="Cambria" w:hAnsi="Cambria"/>
          <w:sz w:val="22"/>
          <w:lang w:val="en-US"/>
        </w:rPr>
        <w:softHyphen/>
      </w:r>
      <w:r w:rsidR="002216C7" w:rsidRPr="000B14B8">
        <w:rPr>
          <w:rFonts w:ascii="Cambria" w:hAnsi="Cambria"/>
          <w:sz w:val="22"/>
          <w:lang w:val="en-US"/>
        </w:rPr>
        <w:t>tal status,</w:t>
      </w:r>
      <w:r w:rsidR="00AF6C81" w:rsidRPr="000B14B8">
        <w:rPr>
          <w:rFonts w:ascii="Cambria" w:hAnsi="Cambria"/>
          <w:sz w:val="22"/>
          <w:lang w:val="en-US"/>
        </w:rPr>
        <w:t xml:space="preserve"> </w:t>
      </w:r>
      <w:r w:rsidR="0065669A" w:rsidRPr="000B14B8">
        <w:rPr>
          <w:rFonts w:ascii="Cambria" w:hAnsi="Cambria"/>
          <w:sz w:val="22"/>
          <w:lang w:val="en-US"/>
        </w:rPr>
        <w:t xml:space="preserve">for </w:t>
      </w:r>
      <w:r w:rsidR="00875BAE" w:rsidRPr="000B14B8">
        <w:rPr>
          <w:rFonts w:ascii="Cambria" w:hAnsi="Cambria"/>
          <w:sz w:val="22"/>
          <w:lang w:val="en-US"/>
        </w:rPr>
        <w:t>t</w:t>
      </w:r>
      <w:r w:rsidR="00C66CC2" w:rsidRPr="000B14B8">
        <w:rPr>
          <w:rFonts w:ascii="Cambria" w:hAnsi="Cambria"/>
          <w:sz w:val="22"/>
          <w:lang w:val="en-US"/>
        </w:rPr>
        <w:t xml:space="preserve">hey represent rights </w:t>
      </w:r>
      <w:r w:rsidR="00A000AD" w:rsidRPr="000B14B8">
        <w:rPr>
          <w:rFonts w:ascii="Cambria" w:hAnsi="Cambria"/>
          <w:sz w:val="22"/>
          <w:lang w:val="en-US"/>
        </w:rPr>
        <w:t>that constitute</w:t>
      </w:r>
      <w:r w:rsidR="00C66CC2" w:rsidRPr="000B14B8">
        <w:rPr>
          <w:rFonts w:ascii="Cambria" w:hAnsi="Cambria"/>
          <w:sz w:val="22"/>
          <w:lang w:val="en-US"/>
        </w:rPr>
        <w:t xml:space="preserve"> the </w:t>
      </w:r>
      <w:r w:rsidR="00171832" w:rsidRPr="000B14B8">
        <w:rPr>
          <w:rFonts w:ascii="Cambria" w:hAnsi="Cambria"/>
          <w:sz w:val="22"/>
          <w:lang w:val="en-US"/>
        </w:rPr>
        <w:t xml:space="preserve">basic </w:t>
      </w:r>
      <w:r w:rsidR="00C66CC2" w:rsidRPr="000B14B8">
        <w:rPr>
          <w:rFonts w:ascii="Cambria" w:hAnsi="Cambria"/>
          <w:sz w:val="22"/>
          <w:lang w:val="en-US"/>
        </w:rPr>
        <w:t>framework conditions for the making of a single market economy.</w:t>
      </w:r>
      <w:r w:rsidR="00A000AD" w:rsidRPr="000B14B8">
        <w:rPr>
          <w:rFonts w:ascii="Cambria" w:hAnsi="Cambria"/>
          <w:sz w:val="22"/>
          <w:lang w:val="en-US"/>
        </w:rPr>
        <w:t xml:space="preserve"> </w:t>
      </w:r>
    </w:p>
    <w:p w:rsidR="00A000AD" w:rsidRPr="000B14B8" w:rsidRDefault="00A000AD" w:rsidP="00170179">
      <w:pPr>
        <w:spacing w:after="0" w:line="240" w:lineRule="auto"/>
        <w:jc w:val="both"/>
        <w:rPr>
          <w:rFonts w:ascii="Cambria" w:hAnsi="Cambria"/>
          <w:sz w:val="22"/>
          <w:lang w:val="en-US"/>
        </w:rPr>
      </w:pPr>
    </w:p>
    <w:p w:rsidR="00234803" w:rsidRDefault="00234803" w:rsidP="00170179">
      <w:pPr>
        <w:spacing w:after="0" w:line="240" w:lineRule="auto"/>
        <w:jc w:val="both"/>
        <w:rPr>
          <w:rFonts w:ascii="Cambria" w:hAnsi="Cambria"/>
          <w:sz w:val="22"/>
        </w:rPr>
      </w:pPr>
      <w:r w:rsidRPr="000B14B8">
        <w:rPr>
          <w:rFonts w:ascii="Cambria" w:hAnsi="Cambria"/>
          <w:sz w:val="22"/>
        </w:rPr>
        <w:t xml:space="preserve">When we look at the four economic freedoms in the case law of the </w:t>
      </w:r>
      <w:r w:rsidR="006C6257">
        <w:rPr>
          <w:rFonts w:ascii="Cambria" w:hAnsi="Cambria"/>
          <w:sz w:val="22"/>
        </w:rPr>
        <w:t>CJEU</w:t>
      </w:r>
      <w:r w:rsidRPr="000B14B8">
        <w:rPr>
          <w:rFonts w:ascii="Cambria" w:hAnsi="Cambria"/>
          <w:sz w:val="22"/>
        </w:rPr>
        <w:t xml:space="preserve"> we can find various references to the fundamental character of the freedoms.</w:t>
      </w:r>
      <w:bookmarkStart w:id="3" w:name="_Ref420488514"/>
      <w:r w:rsidRPr="000B14B8">
        <w:rPr>
          <w:rStyle w:val="Voetnootmarkering"/>
          <w:rFonts w:ascii="Cambria" w:hAnsi="Cambria"/>
          <w:sz w:val="22"/>
        </w:rPr>
        <w:footnoteReference w:id="10"/>
      </w:r>
      <w:bookmarkEnd w:id="3"/>
      <w:r w:rsidRPr="000B14B8">
        <w:rPr>
          <w:rFonts w:ascii="Cambria" w:hAnsi="Cambria"/>
          <w:sz w:val="22"/>
        </w:rPr>
        <w:t xml:space="preserve"> The Court itself uses words like fun</w:t>
      </w:r>
      <w:r w:rsidR="001926E5">
        <w:rPr>
          <w:rFonts w:ascii="Cambria" w:hAnsi="Cambria"/>
          <w:sz w:val="22"/>
        </w:rPr>
        <w:softHyphen/>
      </w:r>
      <w:r w:rsidRPr="000B14B8">
        <w:rPr>
          <w:rFonts w:ascii="Cambria" w:hAnsi="Cambria"/>
          <w:sz w:val="22"/>
        </w:rPr>
        <w:t>da</w:t>
      </w:r>
      <w:r w:rsidR="001926E5">
        <w:rPr>
          <w:rFonts w:ascii="Cambria" w:hAnsi="Cambria"/>
          <w:sz w:val="22"/>
        </w:rPr>
        <w:softHyphen/>
      </w:r>
      <w:r w:rsidRPr="000B14B8">
        <w:rPr>
          <w:rFonts w:ascii="Cambria" w:hAnsi="Cambria"/>
          <w:sz w:val="22"/>
        </w:rPr>
        <w:t>mental freedom,</w:t>
      </w:r>
      <w:r w:rsidRPr="000B14B8">
        <w:rPr>
          <w:rStyle w:val="Voetnootmarkering"/>
          <w:rFonts w:ascii="Cambria" w:hAnsi="Cambria"/>
          <w:sz w:val="22"/>
        </w:rPr>
        <w:footnoteReference w:id="11"/>
      </w:r>
      <w:r w:rsidRPr="000B14B8">
        <w:rPr>
          <w:rFonts w:ascii="Cambria" w:hAnsi="Cambria"/>
          <w:sz w:val="22"/>
        </w:rPr>
        <w:t xml:space="preserve"> one of the fundamental principles of the Treaty,</w:t>
      </w:r>
      <w:r w:rsidRPr="000B14B8">
        <w:rPr>
          <w:rStyle w:val="Voetnootmarkering"/>
          <w:rFonts w:ascii="Cambria" w:hAnsi="Cambria"/>
          <w:sz w:val="22"/>
        </w:rPr>
        <w:footnoteReference w:id="12"/>
      </w:r>
      <w:r w:rsidR="008502DD">
        <w:rPr>
          <w:rFonts w:ascii="Cambria" w:hAnsi="Cambria"/>
          <w:sz w:val="22"/>
        </w:rPr>
        <w:t xml:space="preserve"> </w:t>
      </w:r>
      <w:r w:rsidRPr="000B14B8">
        <w:rPr>
          <w:rFonts w:ascii="Cambria" w:hAnsi="Cambria"/>
          <w:sz w:val="22"/>
        </w:rPr>
        <w:t>or fundamental Com</w:t>
      </w:r>
      <w:r w:rsidR="001926E5">
        <w:rPr>
          <w:rFonts w:ascii="Cambria" w:hAnsi="Cambria"/>
          <w:sz w:val="22"/>
        </w:rPr>
        <w:softHyphen/>
      </w:r>
      <w:r w:rsidRPr="000B14B8">
        <w:rPr>
          <w:rFonts w:ascii="Cambria" w:hAnsi="Cambria"/>
          <w:sz w:val="22"/>
        </w:rPr>
        <w:t>munity provision.</w:t>
      </w:r>
      <w:r w:rsidRPr="000B14B8">
        <w:rPr>
          <w:rStyle w:val="Voetnootmarkering"/>
          <w:rFonts w:ascii="Cambria" w:hAnsi="Cambria"/>
          <w:sz w:val="22"/>
        </w:rPr>
        <w:footnoteReference w:id="13"/>
      </w:r>
      <w:r w:rsidRPr="000B14B8">
        <w:rPr>
          <w:rFonts w:ascii="Cambria" w:hAnsi="Cambria"/>
          <w:sz w:val="22"/>
        </w:rPr>
        <w:t xml:space="preserve"> The ‘fundamental nature’ of the freedoms can furthermore be deduced from the substanti</w:t>
      </w:r>
      <w:r w:rsidRPr="008921EE">
        <w:rPr>
          <w:rFonts w:ascii="Cambria" w:hAnsi="Cambria"/>
          <w:sz w:val="22"/>
        </w:rPr>
        <w:t>ve scope of the Treaty freedoms, wh</w:t>
      </w:r>
      <w:r w:rsidR="00604CEB">
        <w:rPr>
          <w:rFonts w:ascii="Cambria" w:hAnsi="Cambria"/>
          <w:sz w:val="22"/>
        </w:rPr>
        <w:t>ose</w:t>
      </w:r>
      <w:r w:rsidRPr="008921EE">
        <w:rPr>
          <w:rFonts w:ascii="Cambria" w:hAnsi="Cambria"/>
          <w:sz w:val="22"/>
        </w:rPr>
        <w:t xml:space="preserve"> dogmatic foundation is provided for in </w:t>
      </w:r>
      <w:r w:rsidRPr="001E3E67">
        <w:rPr>
          <w:rFonts w:ascii="Cambria" w:hAnsi="Cambria"/>
          <w:i/>
          <w:iCs/>
          <w:sz w:val="22"/>
        </w:rPr>
        <w:t xml:space="preserve">Dassonville, </w:t>
      </w:r>
      <w:r w:rsidRPr="001E3E67">
        <w:rPr>
          <w:rFonts w:ascii="Cambria" w:hAnsi="Cambria"/>
          <w:sz w:val="22"/>
        </w:rPr>
        <w:t>defining measures having equivalent effect to quantitative import restrictions very broadly.</w:t>
      </w:r>
      <w:r w:rsidRPr="000B14B8">
        <w:rPr>
          <w:rStyle w:val="Voetnootmarkering"/>
          <w:rFonts w:ascii="Cambria" w:hAnsi="Cambria"/>
          <w:sz w:val="22"/>
        </w:rPr>
        <w:footnoteReference w:id="14"/>
      </w:r>
      <w:r w:rsidRPr="000B14B8">
        <w:rPr>
          <w:rFonts w:ascii="Cambria" w:hAnsi="Cambria"/>
          <w:sz w:val="22"/>
        </w:rPr>
        <w:t xml:space="preserve"> The very fact that an indirect and potential effect on trade </w:t>
      </w:r>
      <w:r w:rsidR="00873F43" w:rsidRPr="008921EE">
        <w:rPr>
          <w:rFonts w:ascii="Cambria" w:hAnsi="Cambria"/>
          <w:sz w:val="22"/>
        </w:rPr>
        <w:t>or free mo</w:t>
      </w:r>
      <w:r w:rsidR="00873F43" w:rsidRPr="001E3E67">
        <w:rPr>
          <w:rFonts w:ascii="Cambria" w:hAnsi="Cambria"/>
          <w:sz w:val="22"/>
        </w:rPr>
        <w:t xml:space="preserve">vement </w:t>
      </w:r>
      <w:r w:rsidRPr="001E3E67">
        <w:rPr>
          <w:rFonts w:ascii="Cambria" w:hAnsi="Cambria"/>
          <w:sz w:val="22"/>
        </w:rPr>
        <w:t>suffices for the national measure to fall within the scope of Article</w:t>
      </w:r>
      <w:r w:rsidR="00873F43" w:rsidRPr="001E3E67">
        <w:rPr>
          <w:rFonts w:ascii="Cambria" w:hAnsi="Cambria"/>
          <w:sz w:val="22"/>
        </w:rPr>
        <w:t>s</w:t>
      </w:r>
      <w:r w:rsidRPr="001E3E67">
        <w:rPr>
          <w:rFonts w:ascii="Cambria" w:hAnsi="Cambria"/>
          <w:sz w:val="22"/>
        </w:rPr>
        <w:t xml:space="preserve"> 34</w:t>
      </w:r>
      <w:r w:rsidR="00873F43" w:rsidRPr="000B14B8">
        <w:rPr>
          <w:rFonts w:ascii="Cambria" w:hAnsi="Cambria"/>
          <w:sz w:val="22"/>
        </w:rPr>
        <w:t>, 49 or 56</w:t>
      </w:r>
      <w:r w:rsidRPr="000B14B8">
        <w:rPr>
          <w:rFonts w:ascii="Cambria" w:hAnsi="Cambria"/>
          <w:sz w:val="22"/>
        </w:rPr>
        <w:t xml:space="preserve"> TFEU, means that </w:t>
      </w:r>
      <w:r w:rsidR="00364D7E">
        <w:rPr>
          <w:rFonts w:ascii="Cambria" w:hAnsi="Cambria"/>
          <w:sz w:val="22"/>
        </w:rPr>
        <w:t xml:space="preserve">EU </w:t>
      </w:r>
      <w:r w:rsidRPr="000B14B8">
        <w:rPr>
          <w:rFonts w:ascii="Cambria" w:hAnsi="Cambria"/>
          <w:sz w:val="22"/>
        </w:rPr>
        <w:t>citizens have a far-reaching right to challenge national legislation which they find in their way and which restricts their (economic) rights.</w:t>
      </w:r>
      <w:r w:rsidRPr="000B14B8">
        <w:rPr>
          <w:rStyle w:val="Voetnootmarkering"/>
          <w:rFonts w:ascii="Cambria" w:hAnsi="Cambria"/>
          <w:sz w:val="22"/>
        </w:rPr>
        <w:footnoteReference w:id="15"/>
      </w:r>
      <w:r w:rsidRPr="000B14B8">
        <w:rPr>
          <w:rFonts w:ascii="Cambria" w:hAnsi="Cambria"/>
          <w:sz w:val="22"/>
        </w:rPr>
        <w:t xml:space="preserve"> </w:t>
      </w:r>
      <w:r w:rsidR="00EB4194">
        <w:rPr>
          <w:rFonts w:ascii="Cambria" w:hAnsi="Cambria"/>
          <w:sz w:val="22"/>
        </w:rPr>
        <w:t xml:space="preserve">Economic rights continue to constitute an indispensable element of European citizenship. </w:t>
      </w:r>
      <w:r w:rsidRPr="008921EE">
        <w:rPr>
          <w:rFonts w:ascii="Cambria" w:hAnsi="Cambria"/>
          <w:sz w:val="22"/>
        </w:rPr>
        <w:t>In a similar vein, Article 34 TFEU has been described as a ‘fundamental political right’, or as ‘subjective public rights’.</w:t>
      </w:r>
      <w:r w:rsidRPr="000B14B8">
        <w:rPr>
          <w:rStyle w:val="Voetnootmarkering"/>
          <w:rFonts w:ascii="Cambria" w:hAnsi="Cambria"/>
          <w:sz w:val="22"/>
        </w:rPr>
        <w:footnoteReference w:id="16"/>
      </w:r>
      <w:r w:rsidRPr="000B14B8">
        <w:rPr>
          <w:rFonts w:ascii="Cambria" w:hAnsi="Cambria"/>
          <w:sz w:val="22"/>
        </w:rPr>
        <w:t xml:space="preserve"> </w:t>
      </w:r>
    </w:p>
    <w:p w:rsidR="00EB4194" w:rsidRPr="008921EE" w:rsidRDefault="00EB4194" w:rsidP="00170179">
      <w:pPr>
        <w:spacing w:after="0" w:line="240" w:lineRule="auto"/>
        <w:jc w:val="both"/>
        <w:rPr>
          <w:rFonts w:ascii="Cambria" w:hAnsi="Cambria"/>
          <w:sz w:val="22"/>
          <w:lang w:val="en-US"/>
        </w:rPr>
      </w:pPr>
    </w:p>
    <w:p w:rsidR="00234803" w:rsidRPr="000B14B8" w:rsidRDefault="00234803" w:rsidP="00170179">
      <w:pPr>
        <w:autoSpaceDE w:val="0"/>
        <w:autoSpaceDN w:val="0"/>
        <w:adjustRightInd w:val="0"/>
        <w:spacing w:after="0" w:line="240" w:lineRule="auto"/>
        <w:jc w:val="both"/>
        <w:rPr>
          <w:rFonts w:ascii="Cambria" w:hAnsi="Cambria"/>
          <w:sz w:val="22"/>
        </w:rPr>
      </w:pPr>
      <w:r w:rsidRPr="001E3E67">
        <w:rPr>
          <w:rFonts w:ascii="Cambria" w:hAnsi="Cambria"/>
          <w:sz w:val="22"/>
        </w:rPr>
        <w:t>The fundamental nature of the Treaty freedoms also appears, although in an indirect fashion, from their institutional dimension, where some provisions have (a limited form of) horizontal direct effect.</w:t>
      </w:r>
      <w:r w:rsidRPr="000B14B8">
        <w:rPr>
          <w:rStyle w:val="Voetnootmarkering"/>
          <w:rFonts w:ascii="Cambria" w:hAnsi="Cambria"/>
          <w:sz w:val="22"/>
        </w:rPr>
        <w:footnoteReference w:id="17"/>
      </w:r>
      <w:r w:rsidRPr="000B14B8">
        <w:rPr>
          <w:rFonts w:ascii="Cambria" w:hAnsi="Cambria"/>
          <w:sz w:val="22"/>
        </w:rPr>
        <w:t xml:space="preserve"> Interesting in this respect is the Opinion of Advocate General Maduro in the </w:t>
      </w:r>
      <w:r w:rsidRPr="008921EE">
        <w:rPr>
          <w:rFonts w:ascii="Cambria" w:hAnsi="Cambria"/>
          <w:i/>
          <w:iCs/>
          <w:sz w:val="22"/>
        </w:rPr>
        <w:t>Vodafone</w:t>
      </w:r>
      <w:r w:rsidRPr="001E3E67">
        <w:rPr>
          <w:rFonts w:ascii="Cambria" w:hAnsi="Cambria"/>
          <w:sz w:val="22"/>
        </w:rPr>
        <w:t xml:space="preserve"> case arguing in favour of, more generally, a horizontal application of the free </w:t>
      </w:r>
      <w:r w:rsidRPr="001E3E67">
        <w:rPr>
          <w:rFonts w:ascii="Cambria" w:hAnsi="Cambria"/>
          <w:sz w:val="22"/>
        </w:rPr>
        <w:lastRenderedPageBreak/>
        <w:t>movement rules, as a consequence of which the scope of Article 114 TFEU – the legal basis for internal market legislation – could be extended to the regulation of private behaviour as well.</w:t>
      </w:r>
      <w:r w:rsidRPr="000B14B8">
        <w:rPr>
          <w:rStyle w:val="Voetnootmarkering"/>
          <w:rFonts w:ascii="Cambria" w:hAnsi="Cambria"/>
          <w:sz w:val="22"/>
        </w:rPr>
        <w:footnoteReference w:id="18"/>
      </w:r>
      <w:r w:rsidRPr="000B14B8">
        <w:rPr>
          <w:rFonts w:ascii="Cambria" w:hAnsi="Cambria"/>
          <w:sz w:val="22"/>
        </w:rPr>
        <w:t xml:space="preserve"> </w:t>
      </w:r>
    </w:p>
    <w:p w:rsidR="007C474D" w:rsidRPr="008921EE" w:rsidRDefault="007C474D" w:rsidP="00170179">
      <w:pPr>
        <w:autoSpaceDE w:val="0"/>
        <w:autoSpaceDN w:val="0"/>
        <w:adjustRightInd w:val="0"/>
        <w:spacing w:after="0" w:line="240" w:lineRule="auto"/>
        <w:jc w:val="both"/>
        <w:rPr>
          <w:rFonts w:ascii="Cambria" w:hAnsi="Cambria"/>
          <w:sz w:val="22"/>
        </w:rPr>
      </w:pPr>
    </w:p>
    <w:p w:rsidR="008F6DC6" w:rsidRDefault="00234803" w:rsidP="008F6DC6">
      <w:pPr>
        <w:autoSpaceDE w:val="0"/>
        <w:autoSpaceDN w:val="0"/>
        <w:adjustRightInd w:val="0"/>
        <w:spacing w:after="0" w:line="240" w:lineRule="auto"/>
        <w:jc w:val="both"/>
        <w:rPr>
          <w:rFonts w:ascii="Cambria" w:hAnsi="Cambria"/>
          <w:sz w:val="22"/>
        </w:rPr>
      </w:pPr>
      <w:r w:rsidRPr="001E3E67">
        <w:rPr>
          <w:rFonts w:ascii="Cambria" w:hAnsi="Cambria"/>
          <w:sz w:val="22"/>
        </w:rPr>
        <w:t>Other arguments to support the fundamental character of the freedoms are that</w:t>
      </w:r>
      <w:r w:rsidR="00604CEB">
        <w:rPr>
          <w:rFonts w:ascii="Cambria" w:hAnsi="Cambria"/>
          <w:sz w:val="22"/>
        </w:rPr>
        <w:t>,</w:t>
      </w:r>
      <w:r w:rsidRPr="001E3E67">
        <w:rPr>
          <w:rFonts w:ascii="Cambria" w:hAnsi="Cambria"/>
          <w:sz w:val="22"/>
        </w:rPr>
        <w:t xml:space="preserve"> firstly, the freedoms have played a vital role in building Europe’s economic constitution. According to the Ordo-liberal school, which originates from the German town of Freiburg in the 1930s, the constitution should protect the economic freedoms, ‘which are as integral to the protection of human dignity, and as indicative of a free society, as political freedoms, which are themselves liberal in nature and which therefore underscore individual economic freedoms’.</w:t>
      </w:r>
      <w:r w:rsidRPr="000B14B8">
        <w:rPr>
          <w:rStyle w:val="Voetnootmarkering"/>
          <w:rFonts w:ascii="Cambria" w:hAnsi="Cambria"/>
          <w:sz w:val="22"/>
        </w:rPr>
        <w:footnoteReference w:id="19"/>
      </w:r>
      <w:r w:rsidRPr="000B14B8">
        <w:rPr>
          <w:rFonts w:ascii="Cambria" w:hAnsi="Cambria"/>
          <w:sz w:val="22"/>
        </w:rPr>
        <w:t xml:space="preserve"> Secondly, </w:t>
      </w:r>
      <w:r w:rsidR="00845290" w:rsidRPr="00845290">
        <w:rPr>
          <w:rFonts w:ascii="Cambria" w:hAnsi="Cambria"/>
          <w:sz w:val="22"/>
        </w:rPr>
        <w:t>the economic freedoms can often be defined in terms of the freedom to pursue a trade or profession, which is a fundamental right laid down in the Charter.</w:t>
      </w:r>
      <w:bookmarkStart w:id="4" w:name="_Ref420514579"/>
      <w:r w:rsidR="00845290" w:rsidRPr="00845290">
        <w:rPr>
          <w:rStyle w:val="Voetnootmarkering"/>
          <w:rFonts w:ascii="Cambria" w:hAnsi="Cambria"/>
          <w:sz w:val="22"/>
        </w:rPr>
        <w:footnoteReference w:id="20"/>
      </w:r>
      <w:bookmarkEnd w:id="4"/>
      <w:r w:rsidR="00845290" w:rsidRPr="00845290">
        <w:rPr>
          <w:rFonts w:ascii="Cambria" w:hAnsi="Cambria"/>
          <w:sz w:val="22"/>
        </w:rPr>
        <w:t xml:space="preserve"> </w:t>
      </w:r>
      <w:r w:rsidR="00845290" w:rsidRPr="00845290">
        <w:rPr>
          <w:rFonts w:ascii="Cambria" w:hAnsi="Cambria" w:cs="Times New Roman"/>
          <w:sz w:val="22"/>
        </w:rPr>
        <w:t xml:space="preserve">Interestingly, in a number of cases </w:t>
      </w:r>
      <w:r w:rsidR="00845290" w:rsidRPr="00845290">
        <w:rPr>
          <w:rFonts w:ascii="Cambria" w:hAnsi="Cambria" w:cs="Times New Roman"/>
          <w:spacing w:val="-2"/>
          <w:sz w:val="22"/>
        </w:rPr>
        <w:t>the Court has confirmed this view by making clear that the economic Treaty freedoms could also be seen as a specific amplification of the Charter.</w:t>
      </w:r>
      <w:r w:rsidR="00845290" w:rsidRPr="00845290">
        <w:rPr>
          <w:rStyle w:val="Voetnootmarkering"/>
          <w:rFonts w:ascii="Cambria" w:hAnsi="Cambria" w:cs="Times New Roman"/>
          <w:spacing w:val="-2"/>
          <w:sz w:val="22"/>
        </w:rPr>
        <w:footnoteReference w:id="21"/>
      </w:r>
      <w:r w:rsidR="00845290" w:rsidRPr="00845290">
        <w:rPr>
          <w:rFonts w:ascii="Cambria" w:hAnsi="Cambria" w:cs="Times New Roman"/>
          <w:spacing w:val="-2"/>
          <w:sz w:val="22"/>
        </w:rPr>
        <w:t xml:space="preserve"> Certain Charter provisions, i</w:t>
      </w:r>
      <w:r w:rsidR="00DB1D85">
        <w:rPr>
          <w:rFonts w:ascii="Cambria" w:hAnsi="Cambria" w:cs="Times New Roman"/>
          <w:spacing w:val="-2"/>
          <w:sz w:val="22"/>
        </w:rPr>
        <w:t>.</w:t>
      </w:r>
      <w:r w:rsidR="00845290" w:rsidRPr="00845290">
        <w:rPr>
          <w:rFonts w:ascii="Cambria" w:hAnsi="Cambria" w:cs="Times New Roman"/>
          <w:spacing w:val="-2"/>
          <w:sz w:val="22"/>
        </w:rPr>
        <w:t>e</w:t>
      </w:r>
      <w:r w:rsidR="00DB1D85">
        <w:rPr>
          <w:rFonts w:ascii="Cambria" w:hAnsi="Cambria" w:cs="Times New Roman"/>
          <w:spacing w:val="-2"/>
          <w:sz w:val="22"/>
        </w:rPr>
        <w:t>.</w:t>
      </w:r>
      <w:r w:rsidR="00845290" w:rsidRPr="00845290">
        <w:rPr>
          <w:rFonts w:ascii="Cambria" w:hAnsi="Cambria" w:cs="Times New Roman"/>
          <w:spacing w:val="-2"/>
          <w:sz w:val="22"/>
        </w:rPr>
        <w:t xml:space="preserve"> Article 15(2) on the freedom of every EU citizen to exercise the right of establishment and to provide services in any Member State, Article 16 on the freedom to conduct a business and Article 17 on the right to property, may reinforce the free movement rules and thus the market integration process. </w:t>
      </w:r>
      <w:r w:rsidR="00871EAD" w:rsidRPr="000B14B8">
        <w:rPr>
          <w:rFonts w:ascii="Cambria" w:hAnsi="Cambria"/>
          <w:sz w:val="22"/>
        </w:rPr>
        <w:t xml:space="preserve">According to the </w:t>
      </w:r>
      <w:r w:rsidR="00065F9B">
        <w:rPr>
          <w:rFonts w:ascii="Cambria" w:hAnsi="Cambria"/>
          <w:sz w:val="22"/>
        </w:rPr>
        <w:t>CJEU</w:t>
      </w:r>
      <w:r w:rsidR="00871EAD" w:rsidRPr="000B14B8">
        <w:rPr>
          <w:rFonts w:ascii="Cambria" w:hAnsi="Cambria"/>
          <w:sz w:val="22"/>
        </w:rPr>
        <w:t xml:space="preserve"> in the </w:t>
      </w:r>
      <w:r w:rsidR="00871EAD" w:rsidRPr="008921EE">
        <w:rPr>
          <w:rFonts w:ascii="Cambria" w:hAnsi="Cambria"/>
          <w:i/>
          <w:sz w:val="22"/>
        </w:rPr>
        <w:t xml:space="preserve">Sokoll-Seebacher </w:t>
      </w:r>
      <w:r w:rsidR="00871EAD" w:rsidRPr="001E3E67">
        <w:rPr>
          <w:rFonts w:ascii="Cambria" w:hAnsi="Cambria"/>
          <w:sz w:val="22"/>
        </w:rPr>
        <w:t>case “[…] Article 16 of the Charter refers, inter alia, to Article 49 TFEU, which guarantees the freedom of establishment”.</w:t>
      </w:r>
      <w:r w:rsidR="00871EAD" w:rsidRPr="000B14B8">
        <w:rPr>
          <w:rStyle w:val="Voetnootmarkering"/>
          <w:rFonts w:ascii="Cambria" w:hAnsi="Cambria"/>
          <w:sz w:val="22"/>
        </w:rPr>
        <w:footnoteReference w:id="22"/>
      </w:r>
      <w:r w:rsidR="00871EAD" w:rsidRPr="000B14B8">
        <w:rPr>
          <w:rFonts w:ascii="Cambria" w:hAnsi="Cambria"/>
          <w:sz w:val="22"/>
        </w:rPr>
        <w:t xml:space="preserve"> And in </w:t>
      </w:r>
      <w:r w:rsidR="00871EAD" w:rsidRPr="008921EE">
        <w:rPr>
          <w:rFonts w:ascii="Cambria" w:hAnsi="Cambria"/>
          <w:i/>
          <w:sz w:val="22"/>
        </w:rPr>
        <w:t xml:space="preserve">Gardella </w:t>
      </w:r>
      <w:r w:rsidR="00871EAD" w:rsidRPr="001E3E67">
        <w:rPr>
          <w:rFonts w:ascii="Cambria" w:hAnsi="Cambria"/>
          <w:sz w:val="22"/>
        </w:rPr>
        <w:t>the Court held that “Article 15(2) of the Charter reiterates inter alia the free movement of workers guaranteed by Article 45 TFEU”.</w:t>
      </w:r>
      <w:r w:rsidR="00871EAD" w:rsidRPr="000B14B8">
        <w:rPr>
          <w:rStyle w:val="Voetnootmarkering"/>
          <w:rFonts w:ascii="Cambria" w:hAnsi="Cambria"/>
          <w:sz w:val="22"/>
        </w:rPr>
        <w:footnoteReference w:id="23"/>
      </w:r>
    </w:p>
    <w:p w:rsidR="00871EAD" w:rsidRDefault="00845290" w:rsidP="008F6DC6">
      <w:pPr>
        <w:autoSpaceDE w:val="0"/>
        <w:autoSpaceDN w:val="0"/>
        <w:adjustRightInd w:val="0"/>
        <w:spacing w:after="0" w:line="240" w:lineRule="auto"/>
        <w:jc w:val="both"/>
        <w:rPr>
          <w:rFonts w:ascii="Cambria" w:hAnsi="Cambria"/>
          <w:sz w:val="22"/>
        </w:rPr>
      </w:pPr>
      <w:r w:rsidRPr="00845290">
        <w:rPr>
          <w:rFonts w:ascii="Cambria" w:hAnsi="Cambria" w:cs="Times New Roman"/>
          <w:spacing w:val="-2"/>
          <w:sz w:val="22"/>
        </w:rPr>
        <w:t>The question that may arise in this context is whether the four fre</w:t>
      </w:r>
      <w:r w:rsidR="00DB1D85">
        <w:rPr>
          <w:rFonts w:ascii="Cambria" w:hAnsi="Cambria" w:cs="Times New Roman"/>
          <w:spacing w:val="-2"/>
          <w:sz w:val="22"/>
        </w:rPr>
        <w:t xml:space="preserve">edoms – and the economic rights </w:t>
      </w:r>
      <w:r w:rsidRPr="00845290">
        <w:rPr>
          <w:rFonts w:ascii="Cambria" w:hAnsi="Cambria" w:cs="Times New Roman"/>
          <w:spacing w:val="-2"/>
          <w:sz w:val="22"/>
        </w:rPr>
        <w:t>contained in the Charter - have gained more importance at the expense of other funda</w:t>
      </w:r>
      <w:r w:rsidR="00062EF5">
        <w:rPr>
          <w:rFonts w:ascii="Cambria" w:hAnsi="Cambria" w:cs="Times New Roman"/>
          <w:spacing w:val="-2"/>
          <w:sz w:val="22"/>
        </w:rPr>
        <w:softHyphen/>
      </w:r>
      <w:r w:rsidRPr="00845290">
        <w:rPr>
          <w:rFonts w:ascii="Cambria" w:hAnsi="Cambria" w:cs="Times New Roman"/>
          <w:spacing w:val="-2"/>
          <w:sz w:val="22"/>
        </w:rPr>
        <w:t>mental rights enshrined in the Charter (see hereafter). But where the Charter provisions can be applied alongside the free movement rules, the Court will normally focus on the latter.</w:t>
      </w:r>
      <w:r w:rsidRPr="00845290">
        <w:rPr>
          <w:rStyle w:val="Voetnootmarkering"/>
          <w:rFonts w:ascii="Cambria" w:hAnsi="Cambria" w:cs="Times New Roman"/>
          <w:spacing w:val="-2"/>
          <w:sz w:val="22"/>
        </w:rPr>
        <w:footnoteReference w:id="24"/>
      </w:r>
      <w:r w:rsidR="00062EF5">
        <w:rPr>
          <w:rFonts w:ascii="Cambria" w:hAnsi="Cambria" w:cs="Times New Roman"/>
          <w:spacing w:val="-2"/>
          <w:sz w:val="22"/>
        </w:rPr>
        <w:t xml:space="preserve"> </w:t>
      </w:r>
      <w:r w:rsidRPr="00845290">
        <w:rPr>
          <w:rFonts w:ascii="Cambria" w:hAnsi="Cambria" w:cs="Tahoma"/>
          <w:sz w:val="22"/>
          <w:lang w:val="en-US"/>
        </w:rPr>
        <w:t>A</w:t>
      </w:r>
      <w:r w:rsidRPr="00845290">
        <w:rPr>
          <w:rFonts w:ascii="Cambria" w:hAnsi="Cambria"/>
          <w:sz w:val="22"/>
        </w:rPr>
        <w:t xml:space="preserve"> last point that illustrates the fundamental nature of the four freedoms is that rights, which are implicit in the economic freedoms, such as the right to equal treatment (non-discrimination) on grounds of nationality, the right to move and reside in another Member State, transcend beyond the economic dimension of the free movement rules. The principle of non-discrimination </w:t>
      </w:r>
      <w:r w:rsidR="00DB1D85">
        <w:rPr>
          <w:rFonts w:ascii="Cambria" w:hAnsi="Cambria"/>
          <w:sz w:val="22"/>
        </w:rPr>
        <w:t xml:space="preserve">on grounds of nationality </w:t>
      </w:r>
      <w:r w:rsidRPr="00845290">
        <w:rPr>
          <w:rFonts w:ascii="Cambria" w:hAnsi="Cambria"/>
          <w:sz w:val="22"/>
        </w:rPr>
        <w:t xml:space="preserve">is in fact transformed into a fundamental right </w:t>
      </w:r>
      <w:r w:rsidR="00EB4194">
        <w:rPr>
          <w:rFonts w:ascii="Cambria" w:hAnsi="Cambria"/>
          <w:sz w:val="22"/>
        </w:rPr>
        <w:t xml:space="preserve">for European citizens </w:t>
      </w:r>
      <w:r w:rsidRPr="00845290">
        <w:rPr>
          <w:rFonts w:ascii="Cambria" w:hAnsi="Cambria"/>
          <w:sz w:val="22"/>
        </w:rPr>
        <w:t>to protect individual personality and human dignity.</w:t>
      </w:r>
      <w:r w:rsidRPr="00845290">
        <w:rPr>
          <w:rStyle w:val="Voetnootmarkering"/>
          <w:rFonts w:ascii="Cambria" w:hAnsi="Cambria"/>
          <w:sz w:val="22"/>
        </w:rPr>
        <w:footnoteReference w:id="25"/>
      </w:r>
    </w:p>
    <w:p w:rsidR="004C392B" w:rsidRPr="008921EE" w:rsidRDefault="004C392B" w:rsidP="004C392B">
      <w:pPr>
        <w:widowControl w:val="0"/>
        <w:tabs>
          <w:tab w:val="left" w:pos="220"/>
          <w:tab w:val="left" w:pos="720"/>
        </w:tabs>
        <w:autoSpaceDE w:val="0"/>
        <w:autoSpaceDN w:val="0"/>
        <w:adjustRightInd w:val="0"/>
        <w:spacing w:after="0"/>
        <w:jc w:val="both"/>
        <w:rPr>
          <w:rFonts w:ascii="Cambria" w:hAnsi="Cambria"/>
          <w:sz w:val="22"/>
        </w:rPr>
      </w:pPr>
    </w:p>
    <w:p w:rsidR="006D6F01" w:rsidRPr="00030460" w:rsidRDefault="00845290" w:rsidP="006D6F01">
      <w:pPr>
        <w:pStyle w:val="Lijstalinea"/>
        <w:spacing w:line="240" w:lineRule="auto"/>
        <w:ind w:left="0"/>
        <w:jc w:val="both"/>
        <w:rPr>
          <w:rFonts w:ascii="Cambria" w:hAnsi="Cambria"/>
          <w:sz w:val="22"/>
          <w:szCs w:val="22"/>
          <w:lang w:val="en-US"/>
        </w:rPr>
      </w:pPr>
      <w:r w:rsidRPr="00030460">
        <w:rPr>
          <w:rFonts w:ascii="Cambria" w:hAnsi="Cambria"/>
          <w:sz w:val="22"/>
          <w:szCs w:val="22"/>
          <w:lang w:val="en-US"/>
        </w:rPr>
        <w:tab/>
        <w:t>2.2 The core</w:t>
      </w:r>
      <w:r w:rsidR="008526BD">
        <w:rPr>
          <w:rFonts w:ascii="Cambria" w:hAnsi="Cambria"/>
          <w:sz w:val="22"/>
          <w:szCs w:val="22"/>
          <w:lang w:val="en-US"/>
        </w:rPr>
        <w:t xml:space="preserve"> </w:t>
      </w:r>
      <w:r w:rsidRPr="00030460">
        <w:rPr>
          <w:rFonts w:ascii="Cambria" w:hAnsi="Cambria"/>
          <w:sz w:val="22"/>
          <w:szCs w:val="22"/>
          <w:lang w:val="en-US"/>
        </w:rPr>
        <w:t>values identified: social protection</w:t>
      </w:r>
    </w:p>
    <w:p w:rsidR="006D6F01" w:rsidRDefault="006D6F01" w:rsidP="006D6F01">
      <w:pPr>
        <w:pStyle w:val="Lijstalinea"/>
        <w:spacing w:line="240" w:lineRule="auto"/>
        <w:ind w:left="0"/>
        <w:jc w:val="both"/>
        <w:rPr>
          <w:rFonts w:ascii="Cambria" w:hAnsi="Cambria"/>
          <w:i/>
          <w:sz w:val="22"/>
          <w:szCs w:val="22"/>
          <w:lang w:val="en-US"/>
        </w:rPr>
      </w:pPr>
    </w:p>
    <w:p w:rsidR="005C45BC" w:rsidRDefault="009E2A12" w:rsidP="00A23B35">
      <w:pPr>
        <w:pStyle w:val="Lijstalinea"/>
        <w:spacing w:line="240" w:lineRule="auto"/>
        <w:ind w:left="0"/>
        <w:jc w:val="both"/>
        <w:rPr>
          <w:rFonts w:ascii="Cambria" w:hAnsi="Cambria"/>
          <w:sz w:val="22"/>
          <w:lang w:val="en-US"/>
        </w:rPr>
      </w:pPr>
      <w:r w:rsidRPr="000B14B8">
        <w:rPr>
          <w:rFonts w:ascii="Cambria" w:hAnsi="Cambria"/>
          <w:sz w:val="22"/>
          <w:lang w:val="en-US"/>
        </w:rPr>
        <w:t xml:space="preserve">Social </w:t>
      </w:r>
      <w:r w:rsidR="001D7C6B" w:rsidRPr="008921EE">
        <w:rPr>
          <w:rFonts w:ascii="Cambria" w:hAnsi="Cambria"/>
          <w:sz w:val="22"/>
          <w:lang w:val="en-US"/>
        </w:rPr>
        <w:t>policy</w:t>
      </w:r>
      <w:r w:rsidR="00FA316F">
        <w:rPr>
          <w:rFonts w:ascii="Cambria" w:hAnsi="Cambria"/>
          <w:sz w:val="22"/>
          <w:lang w:val="en-US"/>
        </w:rPr>
        <w:t>,</w:t>
      </w:r>
      <w:r w:rsidR="001D7C6B" w:rsidRPr="008921EE">
        <w:rPr>
          <w:rFonts w:ascii="Cambria" w:hAnsi="Cambria"/>
          <w:sz w:val="22"/>
          <w:lang w:val="en-US"/>
        </w:rPr>
        <w:t xml:space="preserve"> or </w:t>
      </w:r>
      <w:r w:rsidR="007676C6" w:rsidRPr="001E3E67">
        <w:rPr>
          <w:rFonts w:ascii="Cambria" w:hAnsi="Cambria"/>
          <w:sz w:val="22"/>
          <w:lang w:val="en-US"/>
        </w:rPr>
        <w:t>social protection</w:t>
      </w:r>
      <w:r w:rsidR="00FA316F">
        <w:rPr>
          <w:rFonts w:ascii="Cambria" w:hAnsi="Cambria"/>
          <w:sz w:val="22"/>
          <w:lang w:val="en-US"/>
        </w:rPr>
        <w:t>,</w:t>
      </w:r>
      <w:r w:rsidR="007676C6" w:rsidRPr="001E3E67">
        <w:rPr>
          <w:rFonts w:ascii="Cambria" w:hAnsi="Cambria"/>
          <w:sz w:val="22"/>
          <w:lang w:val="en-US"/>
        </w:rPr>
        <w:t xml:space="preserve"> </w:t>
      </w:r>
      <w:r w:rsidR="0076750C" w:rsidRPr="001E3E67">
        <w:rPr>
          <w:rFonts w:ascii="Cambria" w:hAnsi="Cambria"/>
          <w:sz w:val="22"/>
          <w:lang w:val="en-US"/>
        </w:rPr>
        <w:t>generally stand</w:t>
      </w:r>
      <w:r w:rsidR="00FA316F">
        <w:rPr>
          <w:rFonts w:ascii="Cambria" w:hAnsi="Cambria"/>
          <w:sz w:val="22"/>
          <w:lang w:val="en-US"/>
        </w:rPr>
        <w:t>s</w:t>
      </w:r>
      <w:r w:rsidR="0076750C" w:rsidRPr="001E3E67">
        <w:rPr>
          <w:rFonts w:ascii="Cambria" w:hAnsi="Cambria"/>
          <w:sz w:val="22"/>
          <w:lang w:val="en-US"/>
        </w:rPr>
        <w:t xml:space="preserve"> for </w:t>
      </w:r>
      <w:r w:rsidR="007676C6" w:rsidRPr="001E3E67">
        <w:rPr>
          <w:rFonts w:ascii="Cambria" w:hAnsi="Cambria"/>
          <w:sz w:val="22"/>
          <w:lang w:val="en-US"/>
        </w:rPr>
        <w:t xml:space="preserve">values </w:t>
      </w:r>
      <w:r w:rsidR="008526BD">
        <w:rPr>
          <w:rFonts w:ascii="Cambria" w:hAnsi="Cambria"/>
          <w:sz w:val="22"/>
          <w:lang w:val="en-US"/>
        </w:rPr>
        <w:t xml:space="preserve">such </w:t>
      </w:r>
      <w:r w:rsidR="007676C6" w:rsidRPr="001E3E67">
        <w:rPr>
          <w:rFonts w:ascii="Cambria" w:hAnsi="Cambria"/>
          <w:sz w:val="22"/>
          <w:lang w:val="en-US"/>
        </w:rPr>
        <w:t xml:space="preserve">as </w:t>
      </w:r>
      <w:r w:rsidR="0076750C" w:rsidRPr="001E3E67">
        <w:rPr>
          <w:rFonts w:ascii="Cambria" w:hAnsi="Cambria"/>
          <w:sz w:val="22"/>
          <w:lang w:val="en-US"/>
        </w:rPr>
        <w:t>solidarity, equality</w:t>
      </w:r>
      <w:r w:rsidR="007676C6" w:rsidRPr="000B14B8">
        <w:rPr>
          <w:rFonts w:ascii="Cambria" w:hAnsi="Cambria"/>
          <w:sz w:val="22"/>
          <w:lang w:val="en-US"/>
        </w:rPr>
        <w:t xml:space="preserve"> and</w:t>
      </w:r>
      <w:r w:rsidR="0076750C" w:rsidRPr="000B14B8">
        <w:rPr>
          <w:rFonts w:ascii="Cambria" w:hAnsi="Cambria"/>
          <w:sz w:val="22"/>
          <w:lang w:val="en-US"/>
        </w:rPr>
        <w:t xml:space="preserve"> social justice.</w:t>
      </w:r>
      <w:r w:rsidR="00346C16" w:rsidRPr="000B14B8">
        <w:rPr>
          <w:rFonts w:ascii="Cambria" w:hAnsi="Cambria"/>
          <w:sz w:val="22"/>
          <w:lang w:val="en-US"/>
        </w:rPr>
        <w:t xml:space="preserve"> From a socio-economic perspective</w:t>
      </w:r>
      <w:r w:rsidR="00982C02" w:rsidRPr="000B14B8">
        <w:rPr>
          <w:rFonts w:ascii="Cambria" w:hAnsi="Cambria"/>
          <w:sz w:val="22"/>
          <w:lang w:val="en-US"/>
        </w:rPr>
        <w:t>,</w:t>
      </w:r>
      <w:r w:rsidR="00346C16" w:rsidRPr="000B14B8">
        <w:rPr>
          <w:rFonts w:ascii="Cambria" w:hAnsi="Cambria"/>
          <w:sz w:val="22"/>
          <w:lang w:val="en-US"/>
        </w:rPr>
        <w:t xml:space="preserve"> </w:t>
      </w:r>
      <w:r w:rsidR="008526BD">
        <w:rPr>
          <w:rFonts w:ascii="Cambria" w:hAnsi="Cambria"/>
          <w:sz w:val="22"/>
          <w:lang w:val="en-US"/>
        </w:rPr>
        <w:t xml:space="preserve">the </w:t>
      </w:r>
      <w:r w:rsidR="00346C16" w:rsidRPr="000B14B8">
        <w:rPr>
          <w:rFonts w:ascii="Cambria" w:hAnsi="Cambria"/>
          <w:sz w:val="22"/>
          <w:lang w:val="en-US"/>
        </w:rPr>
        <w:t xml:space="preserve">social policy </w:t>
      </w:r>
      <w:r w:rsidR="002D745D" w:rsidRPr="000B14B8">
        <w:rPr>
          <w:rFonts w:ascii="Cambria" w:hAnsi="Cambria"/>
          <w:sz w:val="22"/>
          <w:lang w:val="en-US"/>
        </w:rPr>
        <w:t xml:space="preserve">of welfare states </w:t>
      </w:r>
      <w:r w:rsidR="00346C16" w:rsidRPr="000B14B8">
        <w:rPr>
          <w:rFonts w:ascii="Cambria" w:hAnsi="Cambria"/>
          <w:sz w:val="22"/>
          <w:lang w:val="en-US"/>
        </w:rPr>
        <w:t>addresses the social integration of capitalist societies</w:t>
      </w:r>
      <w:r w:rsidR="00696219" w:rsidRPr="000B14B8">
        <w:rPr>
          <w:rFonts w:ascii="Cambria" w:hAnsi="Cambria"/>
          <w:sz w:val="22"/>
          <w:lang w:val="en-US"/>
        </w:rPr>
        <w:t xml:space="preserve"> by coping with the negative externalities of market mechanisms</w:t>
      </w:r>
      <w:r w:rsidR="001911A0" w:rsidRPr="000B14B8">
        <w:rPr>
          <w:rFonts w:ascii="Cambria" w:hAnsi="Cambria"/>
          <w:sz w:val="22"/>
          <w:lang w:val="en-US"/>
        </w:rPr>
        <w:t xml:space="preserve">. </w:t>
      </w:r>
      <w:r w:rsidR="00982C02" w:rsidRPr="000B14B8">
        <w:rPr>
          <w:rFonts w:ascii="Cambria" w:hAnsi="Cambria"/>
          <w:sz w:val="22"/>
          <w:lang w:val="en-US"/>
        </w:rPr>
        <w:t xml:space="preserve">These externalities </w:t>
      </w:r>
      <w:r w:rsidR="00E23AB5" w:rsidRPr="000B14B8">
        <w:rPr>
          <w:rFonts w:ascii="Cambria" w:hAnsi="Cambria"/>
          <w:sz w:val="22"/>
          <w:lang w:val="en-US"/>
        </w:rPr>
        <w:t xml:space="preserve">may </w:t>
      </w:r>
      <w:r w:rsidR="00982C02" w:rsidRPr="000B14B8">
        <w:rPr>
          <w:rFonts w:ascii="Cambria" w:hAnsi="Cambria"/>
          <w:sz w:val="22"/>
          <w:lang w:val="en-US"/>
        </w:rPr>
        <w:t>consist of all kind</w:t>
      </w:r>
      <w:r w:rsidR="008526BD">
        <w:rPr>
          <w:rFonts w:ascii="Cambria" w:hAnsi="Cambria"/>
          <w:sz w:val="22"/>
          <w:lang w:val="en-US"/>
        </w:rPr>
        <w:t>s</w:t>
      </w:r>
      <w:r w:rsidR="00982C02" w:rsidRPr="000B14B8">
        <w:rPr>
          <w:rFonts w:ascii="Cambria" w:hAnsi="Cambria"/>
          <w:sz w:val="22"/>
          <w:lang w:val="en-US"/>
        </w:rPr>
        <w:t xml:space="preserve"> of societal cost</w:t>
      </w:r>
      <w:r w:rsidR="00AF6C81" w:rsidRPr="000B14B8">
        <w:rPr>
          <w:rFonts w:ascii="Cambria" w:hAnsi="Cambria"/>
          <w:sz w:val="22"/>
          <w:lang w:val="en-US"/>
        </w:rPr>
        <w:t>s</w:t>
      </w:r>
      <w:r w:rsidR="00A23B35">
        <w:rPr>
          <w:rFonts w:ascii="Cambria" w:hAnsi="Cambria"/>
          <w:sz w:val="22"/>
          <w:lang w:val="en-US"/>
        </w:rPr>
        <w:t xml:space="preserve">, </w:t>
      </w:r>
      <w:r w:rsidR="00A23B35" w:rsidRPr="00A23B35">
        <w:rPr>
          <w:rFonts w:ascii="Cambria" w:hAnsi="Cambria"/>
          <w:sz w:val="22"/>
          <w:lang w:val="en-US"/>
        </w:rPr>
        <w:t>which are not taken into account by the ‘invisible hand’ of undisturbed markets.</w:t>
      </w:r>
      <w:bookmarkStart w:id="5" w:name="_Ref420507718"/>
      <w:r w:rsidR="00A23B35" w:rsidRPr="00A23B35">
        <w:rPr>
          <w:rFonts w:ascii="Cambria" w:hAnsi="Cambria"/>
          <w:sz w:val="22"/>
          <w:vertAlign w:val="superscript"/>
          <w:lang w:val="en-US"/>
        </w:rPr>
        <w:footnoteReference w:id="26"/>
      </w:r>
      <w:bookmarkEnd w:id="5"/>
      <w:r w:rsidR="009316E3">
        <w:rPr>
          <w:rFonts w:ascii="Cambria" w:hAnsi="Cambria"/>
          <w:sz w:val="22"/>
          <w:lang w:val="en-US"/>
        </w:rPr>
        <w:t xml:space="preserve"> </w:t>
      </w:r>
      <w:r w:rsidR="002D745D" w:rsidRPr="000B14B8">
        <w:rPr>
          <w:rFonts w:ascii="Cambria" w:hAnsi="Cambria"/>
          <w:sz w:val="22"/>
          <w:lang w:val="en-US"/>
        </w:rPr>
        <w:t xml:space="preserve">In respect of </w:t>
      </w:r>
      <w:r w:rsidR="009316E3">
        <w:rPr>
          <w:rFonts w:ascii="Cambria" w:hAnsi="Cambria"/>
          <w:sz w:val="22"/>
          <w:lang w:val="en-US"/>
        </w:rPr>
        <w:t xml:space="preserve">the functioning of the labour market </w:t>
      </w:r>
      <w:r w:rsidR="002D745D" w:rsidRPr="000B14B8">
        <w:rPr>
          <w:rFonts w:ascii="Cambria" w:hAnsi="Cambria"/>
          <w:sz w:val="22"/>
          <w:lang w:val="en-US"/>
        </w:rPr>
        <w:t>social costs</w:t>
      </w:r>
      <w:r w:rsidR="006955D1" w:rsidRPr="000B14B8">
        <w:rPr>
          <w:rFonts w:ascii="Cambria" w:hAnsi="Cambria"/>
          <w:sz w:val="22"/>
          <w:lang w:val="en-US"/>
        </w:rPr>
        <w:t xml:space="preserve"> </w:t>
      </w:r>
      <w:r w:rsidR="002D745D" w:rsidRPr="000B14B8">
        <w:rPr>
          <w:rFonts w:ascii="Cambria" w:hAnsi="Cambria"/>
          <w:sz w:val="22"/>
          <w:lang w:val="en-US"/>
        </w:rPr>
        <w:t>may flow</w:t>
      </w:r>
      <w:r w:rsidR="006955D1" w:rsidRPr="000B14B8">
        <w:rPr>
          <w:rFonts w:ascii="Cambria" w:hAnsi="Cambria"/>
          <w:sz w:val="22"/>
          <w:lang w:val="en-US"/>
        </w:rPr>
        <w:t>, for instance,</w:t>
      </w:r>
      <w:r w:rsidR="00982C02" w:rsidRPr="000B14B8">
        <w:rPr>
          <w:rFonts w:ascii="Cambria" w:hAnsi="Cambria"/>
          <w:sz w:val="22"/>
          <w:lang w:val="en-US"/>
        </w:rPr>
        <w:t xml:space="preserve"> </w:t>
      </w:r>
      <w:r w:rsidR="002D745D" w:rsidRPr="000B14B8">
        <w:rPr>
          <w:rFonts w:ascii="Cambria" w:hAnsi="Cambria"/>
          <w:sz w:val="22"/>
          <w:lang w:val="en-US"/>
        </w:rPr>
        <w:t xml:space="preserve">from </w:t>
      </w:r>
      <w:r w:rsidR="00982C02" w:rsidRPr="000B14B8">
        <w:rPr>
          <w:rFonts w:ascii="Cambria" w:hAnsi="Cambria"/>
          <w:sz w:val="22"/>
          <w:lang w:val="en-US"/>
        </w:rPr>
        <w:t>unemployment</w:t>
      </w:r>
      <w:r w:rsidR="002D745D" w:rsidRPr="000B14B8">
        <w:rPr>
          <w:rFonts w:ascii="Cambria" w:hAnsi="Cambria"/>
          <w:sz w:val="22"/>
          <w:lang w:val="en-US"/>
        </w:rPr>
        <w:t xml:space="preserve"> or health and safety risks at work</w:t>
      </w:r>
      <w:r w:rsidR="00A23B35">
        <w:rPr>
          <w:rFonts w:ascii="Cambria" w:hAnsi="Cambria"/>
          <w:sz w:val="22"/>
          <w:lang w:val="en-US"/>
        </w:rPr>
        <w:t xml:space="preserve">. </w:t>
      </w:r>
      <w:r w:rsidR="00B72E81" w:rsidRPr="008921EE">
        <w:rPr>
          <w:rFonts w:ascii="Cambria" w:hAnsi="Cambria"/>
          <w:sz w:val="22"/>
          <w:lang w:val="en-US"/>
        </w:rPr>
        <w:t>Social</w:t>
      </w:r>
      <w:r w:rsidR="00137493" w:rsidRPr="001E3E67">
        <w:rPr>
          <w:rFonts w:ascii="Cambria" w:hAnsi="Cambria"/>
          <w:sz w:val="22"/>
          <w:lang w:val="en-US"/>
        </w:rPr>
        <w:t xml:space="preserve"> policy, therefore, involves redistri</w:t>
      </w:r>
      <w:r w:rsidR="00A23B35">
        <w:rPr>
          <w:rFonts w:ascii="Cambria" w:hAnsi="Cambria"/>
          <w:sz w:val="22"/>
          <w:lang w:val="en-US"/>
        </w:rPr>
        <w:softHyphen/>
      </w:r>
      <w:r w:rsidR="00137493" w:rsidRPr="001E3E67">
        <w:rPr>
          <w:rFonts w:ascii="Cambria" w:hAnsi="Cambria"/>
          <w:sz w:val="22"/>
          <w:lang w:val="en-US"/>
        </w:rPr>
        <w:t>butive</w:t>
      </w:r>
      <w:r w:rsidR="002D745D" w:rsidRPr="001E3E67">
        <w:rPr>
          <w:rFonts w:ascii="Cambria" w:hAnsi="Cambria"/>
          <w:sz w:val="22"/>
          <w:lang w:val="en-US"/>
        </w:rPr>
        <w:t xml:space="preserve"> transfers, social protection </w:t>
      </w:r>
      <w:r w:rsidR="00AF6C81" w:rsidRPr="001E3E67">
        <w:rPr>
          <w:rFonts w:ascii="Cambria" w:hAnsi="Cambria"/>
          <w:sz w:val="22"/>
          <w:lang w:val="en-US"/>
        </w:rPr>
        <w:t xml:space="preserve">and social services </w:t>
      </w:r>
      <w:r w:rsidR="008526BD">
        <w:rPr>
          <w:rFonts w:ascii="Cambria" w:hAnsi="Cambria"/>
          <w:sz w:val="22"/>
          <w:lang w:val="en-US"/>
        </w:rPr>
        <w:t xml:space="preserve">which </w:t>
      </w:r>
      <w:r w:rsidR="00AF6C81" w:rsidRPr="001E3E67">
        <w:rPr>
          <w:rFonts w:ascii="Cambria" w:hAnsi="Cambria"/>
          <w:sz w:val="22"/>
          <w:lang w:val="en-US"/>
        </w:rPr>
        <w:t>the market cannot provide.</w:t>
      </w:r>
      <w:r w:rsidR="00137493" w:rsidRPr="001E3E67">
        <w:rPr>
          <w:rFonts w:ascii="Cambria" w:hAnsi="Cambria"/>
          <w:sz w:val="22"/>
          <w:lang w:val="en-US"/>
        </w:rPr>
        <w:t xml:space="preserve"> In respect </w:t>
      </w:r>
      <w:r w:rsidR="00137493" w:rsidRPr="000B14B8">
        <w:rPr>
          <w:rFonts w:ascii="Cambria" w:hAnsi="Cambria"/>
          <w:sz w:val="22"/>
          <w:lang w:val="en-US"/>
        </w:rPr>
        <w:t xml:space="preserve">of sustainable </w:t>
      </w:r>
      <w:r w:rsidR="00AF6C81" w:rsidRPr="000B14B8">
        <w:rPr>
          <w:rFonts w:ascii="Cambria" w:hAnsi="Cambria"/>
          <w:sz w:val="22"/>
          <w:lang w:val="en-US"/>
        </w:rPr>
        <w:t xml:space="preserve">employment and income </w:t>
      </w:r>
      <w:r w:rsidR="00D733D6" w:rsidRPr="000B14B8">
        <w:rPr>
          <w:rFonts w:ascii="Cambria" w:hAnsi="Cambria"/>
          <w:sz w:val="22"/>
          <w:lang w:val="en-US"/>
        </w:rPr>
        <w:lastRenderedPageBreak/>
        <w:t xml:space="preserve">this may require social insurances against risks </w:t>
      </w:r>
      <w:r w:rsidR="00673F4A" w:rsidRPr="000B14B8">
        <w:rPr>
          <w:rFonts w:ascii="Cambria" w:hAnsi="Cambria"/>
          <w:sz w:val="22"/>
          <w:lang w:val="en-US"/>
        </w:rPr>
        <w:t>such as unemployment or</w:t>
      </w:r>
      <w:r w:rsidR="00D733D6" w:rsidRPr="000B14B8">
        <w:rPr>
          <w:rFonts w:ascii="Cambria" w:hAnsi="Cambria"/>
          <w:sz w:val="22"/>
          <w:lang w:val="en-US"/>
        </w:rPr>
        <w:t xml:space="preserve"> disability</w:t>
      </w:r>
      <w:r w:rsidR="00673F4A" w:rsidRPr="000B14B8">
        <w:rPr>
          <w:rFonts w:ascii="Cambria" w:hAnsi="Cambria"/>
          <w:sz w:val="22"/>
          <w:lang w:val="en-US"/>
        </w:rPr>
        <w:t xml:space="preserve">, </w:t>
      </w:r>
      <w:r w:rsidR="00D733D6" w:rsidRPr="000B14B8">
        <w:rPr>
          <w:rFonts w:ascii="Cambria" w:hAnsi="Cambria"/>
          <w:sz w:val="22"/>
          <w:lang w:val="en-US"/>
        </w:rPr>
        <w:t xml:space="preserve">social assistance </w:t>
      </w:r>
      <w:r w:rsidR="00673F4A" w:rsidRPr="000B14B8">
        <w:rPr>
          <w:rFonts w:ascii="Cambria" w:hAnsi="Cambria"/>
          <w:sz w:val="22"/>
          <w:lang w:val="en-US"/>
        </w:rPr>
        <w:t>and</w:t>
      </w:r>
      <w:r w:rsidR="006955D1" w:rsidRPr="000B14B8">
        <w:rPr>
          <w:rFonts w:ascii="Cambria" w:hAnsi="Cambria"/>
          <w:sz w:val="22"/>
          <w:lang w:val="en-US"/>
        </w:rPr>
        <w:t xml:space="preserve"> </w:t>
      </w:r>
      <w:r w:rsidR="00673F4A" w:rsidRPr="000B14B8">
        <w:rPr>
          <w:rFonts w:ascii="Cambria" w:hAnsi="Cambria"/>
          <w:sz w:val="22"/>
          <w:lang w:val="en-US"/>
        </w:rPr>
        <w:t xml:space="preserve">(tax-based) </w:t>
      </w:r>
      <w:r w:rsidR="00D733D6" w:rsidRPr="000B14B8">
        <w:rPr>
          <w:rFonts w:ascii="Cambria" w:hAnsi="Cambria"/>
          <w:sz w:val="22"/>
          <w:lang w:val="en-US"/>
        </w:rPr>
        <w:t xml:space="preserve">transfers to combat </w:t>
      </w:r>
      <w:r w:rsidR="006955D1" w:rsidRPr="000B14B8">
        <w:rPr>
          <w:rFonts w:ascii="Cambria" w:hAnsi="Cambria"/>
          <w:sz w:val="22"/>
          <w:lang w:val="en-US"/>
        </w:rPr>
        <w:t xml:space="preserve">social inequality </w:t>
      </w:r>
      <w:r w:rsidR="00D733D6" w:rsidRPr="000B14B8">
        <w:rPr>
          <w:rFonts w:ascii="Cambria" w:hAnsi="Cambria"/>
          <w:sz w:val="22"/>
          <w:lang w:val="en-US"/>
        </w:rPr>
        <w:t>and exclusion</w:t>
      </w:r>
      <w:r w:rsidR="00721042" w:rsidRPr="000B14B8">
        <w:rPr>
          <w:rFonts w:ascii="Cambria" w:hAnsi="Cambria"/>
          <w:sz w:val="22"/>
          <w:lang w:val="en-US"/>
        </w:rPr>
        <w:t>.</w:t>
      </w:r>
      <w:r w:rsidR="003552B0" w:rsidRPr="000B14B8">
        <w:rPr>
          <w:rFonts w:ascii="Cambria" w:hAnsi="Cambria"/>
          <w:sz w:val="22"/>
          <w:lang w:val="en-US"/>
        </w:rPr>
        <w:t xml:space="preserve"> </w:t>
      </w:r>
    </w:p>
    <w:p w:rsidR="00B12A84" w:rsidRPr="005C45BC" w:rsidRDefault="00A23B35" w:rsidP="00A23B35">
      <w:pPr>
        <w:pStyle w:val="Lijstalinea"/>
        <w:spacing w:line="240" w:lineRule="auto"/>
        <w:ind w:left="0"/>
        <w:jc w:val="both"/>
        <w:rPr>
          <w:rFonts w:ascii="Cambria" w:hAnsi="Cambria"/>
          <w:sz w:val="22"/>
          <w:lang w:val="en-US"/>
        </w:rPr>
      </w:pPr>
      <w:r>
        <w:rPr>
          <w:rFonts w:ascii="Cambria" w:hAnsi="Cambria"/>
          <w:sz w:val="22"/>
          <w:lang w:val="en-US"/>
        </w:rPr>
        <w:t xml:space="preserve">More specifically, </w:t>
      </w:r>
      <w:r w:rsidR="002D745D" w:rsidRPr="000B14B8">
        <w:rPr>
          <w:rFonts w:ascii="Cambria" w:hAnsi="Cambria"/>
          <w:sz w:val="22"/>
          <w:lang w:val="en-US"/>
        </w:rPr>
        <w:t xml:space="preserve">welfare states have </w:t>
      </w:r>
      <w:r w:rsidR="00B12A84" w:rsidRPr="000B14B8">
        <w:rPr>
          <w:rFonts w:ascii="Cambria" w:hAnsi="Cambria"/>
          <w:sz w:val="22"/>
          <w:lang w:val="en-US"/>
        </w:rPr>
        <w:t>furthered</w:t>
      </w:r>
      <w:r w:rsidR="008526BD">
        <w:rPr>
          <w:rFonts w:ascii="Cambria" w:hAnsi="Cambria"/>
          <w:sz w:val="22"/>
          <w:lang w:val="en-US"/>
        </w:rPr>
        <w:t xml:space="preserve"> the</w:t>
      </w:r>
      <w:r w:rsidR="00B12A84" w:rsidRPr="000B14B8">
        <w:rPr>
          <w:rFonts w:ascii="Cambria" w:hAnsi="Cambria"/>
          <w:sz w:val="22"/>
          <w:lang w:val="en-US"/>
        </w:rPr>
        <w:t xml:space="preserve"> </w:t>
      </w:r>
      <w:r w:rsidR="006955D1" w:rsidRPr="000B14B8">
        <w:rPr>
          <w:rFonts w:ascii="Cambria" w:hAnsi="Cambria"/>
          <w:sz w:val="22"/>
          <w:lang w:val="en-US"/>
        </w:rPr>
        <w:t>‘</w:t>
      </w:r>
      <w:r w:rsidR="00B12A84" w:rsidRPr="000B14B8">
        <w:rPr>
          <w:rFonts w:ascii="Cambria" w:hAnsi="Cambria"/>
          <w:sz w:val="22"/>
          <w:lang w:val="en-US"/>
        </w:rPr>
        <w:t>decommo</w:t>
      </w:r>
      <w:r w:rsidR="00F23B7B" w:rsidRPr="000B14B8">
        <w:rPr>
          <w:rFonts w:ascii="Cambria" w:hAnsi="Cambria"/>
          <w:sz w:val="22"/>
          <w:lang w:val="en-US"/>
        </w:rPr>
        <w:softHyphen/>
      </w:r>
      <w:r w:rsidR="00B12A84" w:rsidRPr="000B14B8">
        <w:rPr>
          <w:rFonts w:ascii="Cambria" w:hAnsi="Cambria"/>
          <w:sz w:val="22"/>
          <w:lang w:val="en-US"/>
        </w:rPr>
        <w:t>dification</w:t>
      </w:r>
      <w:r w:rsidR="006955D1" w:rsidRPr="000B14B8">
        <w:rPr>
          <w:rFonts w:ascii="Cambria" w:hAnsi="Cambria"/>
          <w:sz w:val="22"/>
          <w:lang w:val="en-US"/>
        </w:rPr>
        <w:t>’</w:t>
      </w:r>
      <w:bookmarkStart w:id="6" w:name="_Ref420508378"/>
      <w:r w:rsidR="00A4186E" w:rsidRPr="000B14B8">
        <w:rPr>
          <w:rStyle w:val="Voetnootmarkering"/>
          <w:rFonts w:ascii="Cambria" w:hAnsi="Cambria"/>
          <w:sz w:val="22"/>
          <w:lang w:val="en-US"/>
        </w:rPr>
        <w:footnoteReference w:id="27"/>
      </w:r>
      <w:bookmarkEnd w:id="6"/>
      <w:r w:rsidR="00B12A84" w:rsidRPr="000B14B8">
        <w:rPr>
          <w:rFonts w:ascii="Cambria" w:hAnsi="Cambria"/>
          <w:sz w:val="22"/>
          <w:lang w:val="en-US"/>
        </w:rPr>
        <w:t xml:space="preserve"> of human labour by providing </w:t>
      </w:r>
      <w:r w:rsidR="008526BD">
        <w:rPr>
          <w:rFonts w:ascii="Cambria" w:hAnsi="Cambria"/>
          <w:sz w:val="22"/>
          <w:lang w:val="en-US"/>
        </w:rPr>
        <w:t xml:space="preserve">for </w:t>
      </w:r>
      <w:r w:rsidR="00B12A84" w:rsidRPr="000B14B8">
        <w:rPr>
          <w:rFonts w:ascii="Cambria" w:hAnsi="Cambria"/>
          <w:sz w:val="22"/>
          <w:lang w:val="en-US"/>
        </w:rPr>
        <w:t xml:space="preserve">workers’ protection through labour law and support </w:t>
      </w:r>
      <w:r w:rsidR="008526BD">
        <w:rPr>
          <w:rFonts w:ascii="Cambria" w:hAnsi="Cambria"/>
          <w:sz w:val="22"/>
          <w:lang w:val="en-US"/>
        </w:rPr>
        <w:t>for</w:t>
      </w:r>
      <w:r w:rsidR="00B12A84" w:rsidRPr="000B14B8">
        <w:rPr>
          <w:rFonts w:ascii="Cambria" w:hAnsi="Cambria"/>
          <w:sz w:val="22"/>
          <w:lang w:val="en-US"/>
        </w:rPr>
        <w:t xml:space="preserve"> collective bargaining systems</w:t>
      </w:r>
      <w:r w:rsidR="00673F4A" w:rsidRPr="008921EE">
        <w:rPr>
          <w:rFonts w:ascii="Cambria" w:hAnsi="Cambria"/>
          <w:sz w:val="22"/>
          <w:lang w:val="en-US"/>
        </w:rPr>
        <w:t>. I</w:t>
      </w:r>
      <w:r w:rsidR="00F130A2" w:rsidRPr="001E3E67">
        <w:rPr>
          <w:rFonts w:ascii="Cambria" w:hAnsi="Cambria"/>
          <w:sz w:val="22"/>
          <w:lang w:val="en-US"/>
        </w:rPr>
        <w:t>ndustrial relations</w:t>
      </w:r>
      <w:r w:rsidR="00673F4A" w:rsidRPr="001E3E67">
        <w:rPr>
          <w:rFonts w:ascii="Cambria" w:hAnsi="Cambria"/>
          <w:sz w:val="22"/>
          <w:lang w:val="en-US"/>
        </w:rPr>
        <w:t>hips</w:t>
      </w:r>
      <w:r w:rsidR="00F130A2" w:rsidRPr="001E3E67">
        <w:rPr>
          <w:rFonts w:ascii="Cambria" w:hAnsi="Cambria"/>
          <w:sz w:val="22"/>
          <w:lang w:val="en-US"/>
        </w:rPr>
        <w:t xml:space="preserve"> in the labour market are predominantly regulated </w:t>
      </w:r>
      <w:r w:rsidR="00673F4A" w:rsidRPr="000B14B8">
        <w:rPr>
          <w:rFonts w:ascii="Cambria" w:hAnsi="Cambria"/>
          <w:sz w:val="22"/>
          <w:lang w:val="en-US"/>
        </w:rPr>
        <w:t xml:space="preserve">in social market economies </w:t>
      </w:r>
      <w:r w:rsidR="00F130A2" w:rsidRPr="000B14B8">
        <w:rPr>
          <w:rFonts w:ascii="Cambria" w:hAnsi="Cambria"/>
          <w:sz w:val="22"/>
          <w:lang w:val="en-US"/>
        </w:rPr>
        <w:t xml:space="preserve">by </w:t>
      </w:r>
      <w:r w:rsidR="00B12A84" w:rsidRPr="000B14B8">
        <w:rPr>
          <w:rFonts w:ascii="Cambria" w:hAnsi="Cambria"/>
          <w:sz w:val="22"/>
          <w:lang w:val="en-US"/>
        </w:rPr>
        <w:t xml:space="preserve">restoring equal bargaining </w:t>
      </w:r>
      <w:r w:rsidR="00673F4A" w:rsidRPr="000B14B8">
        <w:rPr>
          <w:rFonts w:ascii="Cambria" w:hAnsi="Cambria"/>
          <w:sz w:val="22"/>
          <w:lang w:val="en-US"/>
        </w:rPr>
        <w:t xml:space="preserve">power to </w:t>
      </w:r>
      <w:r w:rsidR="00947A28" w:rsidRPr="000B14B8">
        <w:rPr>
          <w:rFonts w:ascii="Cambria" w:hAnsi="Cambria"/>
          <w:sz w:val="22"/>
          <w:lang w:val="en-US"/>
        </w:rPr>
        <w:t>dependent wage earners</w:t>
      </w:r>
      <w:r w:rsidR="00F130A2" w:rsidRPr="000B14B8">
        <w:rPr>
          <w:rFonts w:ascii="Cambria" w:hAnsi="Cambria"/>
          <w:sz w:val="22"/>
          <w:lang w:val="en-US"/>
        </w:rPr>
        <w:t xml:space="preserve">, in order </w:t>
      </w:r>
      <w:r w:rsidR="00947A28" w:rsidRPr="000B14B8">
        <w:rPr>
          <w:rFonts w:ascii="Cambria" w:hAnsi="Cambria"/>
          <w:sz w:val="22"/>
          <w:lang w:val="en-US"/>
        </w:rPr>
        <w:t xml:space="preserve">to ensure fair outcomes </w:t>
      </w:r>
      <w:r w:rsidR="00673F4A" w:rsidRPr="000B14B8">
        <w:rPr>
          <w:rFonts w:ascii="Cambria" w:hAnsi="Cambria"/>
          <w:sz w:val="22"/>
          <w:lang w:val="en-US"/>
        </w:rPr>
        <w:t>of</w:t>
      </w:r>
      <w:r w:rsidR="00F130A2" w:rsidRPr="000B14B8">
        <w:rPr>
          <w:rFonts w:ascii="Cambria" w:hAnsi="Cambria"/>
          <w:sz w:val="22"/>
          <w:lang w:val="en-US"/>
        </w:rPr>
        <w:t xml:space="preserve"> the market</w:t>
      </w:r>
      <w:r w:rsidR="00673F4A" w:rsidRPr="000B14B8">
        <w:rPr>
          <w:rFonts w:ascii="Cambria" w:hAnsi="Cambria"/>
          <w:sz w:val="22"/>
          <w:lang w:val="en-US"/>
        </w:rPr>
        <w:t>’s</w:t>
      </w:r>
      <w:r w:rsidR="00F130A2" w:rsidRPr="000B14B8">
        <w:rPr>
          <w:rFonts w:ascii="Cambria" w:hAnsi="Cambria"/>
          <w:sz w:val="22"/>
          <w:lang w:val="en-US"/>
        </w:rPr>
        <w:t xml:space="preserve"> negotiations on </w:t>
      </w:r>
      <w:r w:rsidR="00947A28" w:rsidRPr="000B14B8">
        <w:rPr>
          <w:rFonts w:ascii="Cambria" w:hAnsi="Cambria"/>
          <w:sz w:val="22"/>
          <w:lang w:val="en-US"/>
        </w:rPr>
        <w:t>terms of employment,</w:t>
      </w:r>
      <w:r w:rsidR="00E45E62" w:rsidRPr="000B14B8">
        <w:rPr>
          <w:rFonts w:ascii="Cambria" w:hAnsi="Cambria"/>
          <w:sz w:val="22"/>
          <w:lang w:val="en-US"/>
        </w:rPr>
        <w:t xml:space="preserve"> including, most importantly, the pri</w:t>
      </w:r>
      <w:r w:rsidR="008E1093">
        <w:rPr>
          <w:rFonts w:ascii="Cambria" w:hAnsi="Cambria"/>
          <w:sz w:val="22"/>
          <w:lang w:val="en-US"/>
        </w:rPr>
        <w:t>c</w:t>
      </w:r>
      <w:r w:rsidR="00E45E62" w:rsidRPr="000B14B8">
        <w:rPr>
          <w:rFonts w:ascii="Cambria" w:hAnsi="Cambria"/>
          <w:sz w:val="22"/>
          <w:lang w:val="en-US"/>
        </w:rPr>
        <w:t xml:space="preserve">e of </w:t>
      </w:r>
      <w:proofErr w:type="spellStart"/>
      <w:r w:rsidR="00E45E62" w:rsidRPr="000B14B8">
        <w:rPr>
          <w:rFonts w:ascii="Cambria" w:hAnsi="Cambria"/>
          <w:sz w:val="22"/>
          <w:lang w:val="en-US"/>
        </w:rPr>
        <w:t>labour</w:t>
      </w:r>
      <w:proofErr w:type="spellEnd"/>
      <w:r w:rsidR="00E45E62" w:rsidRPr="000B14B8">
        <w:rPr>
          <w:rFonts w:ascii="Cambria" w:hAnsi="Cambria"/>
          <w:sz w:val="22"/>
          <w:lang w:val="en-US"/>
        </w:rPr>
        <w:t xml:space="preserve">. This </w:t>
      </w:r>
      <w:r w:rsidR="00CE3F31" w:rsidRPr="000B14B8">
        <w:rPr>
          <w:rFonts w:ascii="Cambria" w:hAnsi="Cambria"/>
          <w:sz w:val="22"/>
          <w:lang w:val="en-US"/>
        </w:rPr>
        <w:t xml:space="preserve">is </w:t>
      </w:r>
      <w:r w:rsidR="00E45E62" w:rsidRPr="000B14B8">
        <w:rPr>
          <w:rFonts w:ascii="Cambria" w:hAnsi="Cambria"/>
          <w:sz w:val="22"/>
          <w:lang w:val="en-US"/>
        </w:rPr>
        <w:t xml:space="preserve">done by legally guaranteeing employers and employees the possibility to associate and to further their </w:t>
      </w:r>
      <w:r w:rsidR="00B72E81" w:rsidRPr="000B14B8">
        <w:rPr>
          <w:rFonts w:ascii="Cambria" w:hAnsi="Cambria"/>
          <w:sz w:val="22"/>
          <w:lang w:val="en-US"/>
        </w:rPr>
        <w:t xml:space="preserve">respective </w:t>
      </w:r>
      <w:r w:rsidR="00E45E62" w:rsidRPr="000B14B8">
        <w:rPr>
          <w:rFonts w:ascii="Cambria" w:hAnsi="Cambria"/>
          <w:sz w:val="22"/>
          <w:lang w:val="en-US"/>
        </w:rPr>
        <w:t>in</w:t>
      </w:r>
      <w:r w:rsidR="00047FA7" w:rsidRPr="000B14B8">
        <w:rPr>
          <w:rFonts w:ascii="Cambria" w:hAnsi="Cambria"/>
          <w:sz w:val="22"/>
          <w:lang w:val="en-US"/>
        </w:rPr>
        <w:t>t</w:t>
      </w:r>
      <w:r w:rsidR="002D745D" w:rsidRPr="000B14B8">
        <w:rPr>
          <w:rFonts w:ascii="Cambria" w:hAnsi="Cambria"/>
          <w:sz w:val="22"/>
          <w:lang w:val="en-US"/>
        </w:rPr>
        <w:t xml:space="preserve">erests collectively, while the </w:t>
      </w:r>
      <w:r w:rsidR="008E1093">
        <w:rPr>
          <w:rFonts w:ascii="Cambria" w:hAnsi="Cambria"/>
          <w:sz w:val="22"/>
          <w:lang w:val="en-US"/>
        </w:rPr>
        <w:t>–</w:t>
      </w:r>
      <w:r w:rsidR="002D745D" w:rsidRPr="000B14B8">
        <w:rPr>
          <w:rFonts w:ascii="Cambria" w:hAnsi="Cambria"/>
          <w:sz w:val="22"/>
          <w:lang w:val="en-US"/>
        </w:rPr>
        <w:t xml:space="preserve"> </w:t>
      </w:r>
      <w:r w:rsidR="008E1093">
        <w:rPr>
          <w:rFonts w:ascii="Cambria" w:hAnsi="Cambria"/>
          <w:sz w:val="22"/>
          <w:lang w:val="en-US"/>
        </w:rPr>
        <w:t xml:space="preserve">voluntary </w:t>
      </w:r>
      <w:r w:rsidR="00047FA7" w:rsidRPr="000B14B8">
        <w:rPr>
          <w:rFonts w:ascii="Cambria" w:hAnsi="Cambria"/>
          <w:sz w:val="22"/>
          <w:lang w:val="en-US"/>
        </w:rPr>
        <w:t>in nature</w:t>
      </w:r>
      <w:r w:rsidR="002D745D" w:rsidRPr="000B14B8">
        <w:rPr>
          <w:rFonts w:ascii="Cambria" w:hAnsi="Cambria"/>
          <w:sz w:val="22"/>
          <w:lang w:val="en-US"/>
        </w:rPr>
        <w:t xml:space="preserve"> -</w:t>
      </w:r>
      <w:r w:rsidR="00E45E62" w:rsidRPr="000B14B8">
        <w:rPr>
          <w:rFonts w:ascii="Cambria" w:hAnsi="Cambria"/>
          <w:sz w:val="22"/>
          <w:lang w:val="en-US"/>
        </w:rPr>
        <w:t xml:space="preserve"> process of </w:t>
      </w:r>
      <w:r w:rsidR="00922729" w:rsidRPr="000B14B8">
        <w:rPr>
          <w:rFonts w:ascii="Cambria" w:hAnsi="Cambria"/>
          <w:sz w:val="22"/>
          <w:lang w:val="en-US"/>
        </w:rPr>
        <w:t xml:space="preserve">collective </w:t>
      </w:r>
      <w:r w:rsidR="00047FA7" w:rsidRPr="000B14B8">
        <w:rPr>
          <w:rFonts w:ascii="Cambria" w:hAnsi="Cambria"/>
          <w:sz w:val="22"/>
          <w:lang w:val="en-US"/>
        </w:rPr>
        <w:t>bargaining is held up by the recognition of the righ</w:t>
      </w:r>
      <w:r w:rsidR="00922729" w:rsidRPr="000B14B8">
        <w:rPr>
          <w:rFonts w:ascii="Cambria" w:hAnsi="Cambria"/>
          <w:sz w:val="22"/>
          <w:lang w:val="en-US"/>
        </w:rPr>
        <w:t>t to collective action and –</w:t>
      </w:r>
      <w:r w:rsidR="00F23B7B" w:rsidRPr="000B14B8">
        <w:rPr>
          <w:rFonts w:ascii="Cambria" w:hAnsi="Cambria"/>
          <w:sz w:val="22"/>
          <w:lang w:val="en-US"/>
        </w:rPr>
        <w:t xml:space="preserve"> </w:t>
      </w:r>
      <w:r w:rsidR="00922729" w:rsidRPr="000B14B8">
        <w:rPr>
          <w:rFonts w:ascii="Cambria" w:hAnsi="Cambria"/>
          <w:sz w:val="22"/>
          <w:lang w:val="en-US"/>
        </w:rPr>
        <w:t xml:space="preserve">predominantly </w:t>
      </w:r>
      <w:r w:rsidR="00F23B7B" w:rsidRPr="000B14B8">
        <w:rPr>
          <w:rFonts w:ascii="Cambria" w:hAnsi="Cambria"/>
          <w:sz w:val="22"/>
          <w:lang w:val="en-US"/>
        </w:rPr>
        <w:t>in c</w:t>
      </w:r>
      <w:r w:rsidR="00922729" w:rsidRPr="000B14B8">
        <w:rPr>
          <w:rFonts w:ascii="Cambria" w:hAnsi="Cambria"/>
          <w:sz w:val="22"/>
          <w:lang w:val="en-US"/>
        </w:rPr>
        <w:t xml:space="preserve">ontinental Europe – by </w:t>
      </w:r>
      <w:r w:rsidR="00047FA7" w:rsidRPr="000B14B8">
        <w:rPr>
          <w:rFonts w:ascii="Cambria" w:hAnsi="Cambria"/>
          <w:sz w:val="22"/>
          <w:lang w:val="en-US"/>
        </w:rPr>
        <w:t xml:space="preserve">legal mechanisms for the extension of </w:t>
      </w:r>
      <w:r w:rsidR="008E1093">
        <w:rPr>
          <w:rFonts w:ascii="Cambria" w:hAnsi="Cambria"/>
          <w:sz w:val="22"/>
          <w:lang w:val="en-US"/>
        </w:rPr>
        <w:t xml:space="preserve">the </w:t>
      </w:r>
      <w:r w:rsidR="00047FA7" w:rsidRPr="000B14B8">
        <w:rPr>
          <w:rFonts w:ascii="Cambria" w:hAnsi="Cambria"/>
          <w:sz w:val="22"/>
          <w:lang w:val="en-US"/>
        </w:rPr>
        <w:t xml:space="preserve">applicability </w:t>
      </w:r>
      <w:r w:rsidR="00772756" w:rsidRPr="000B14B8">
        <w:rPr>
          <w:rFonts w:ascii="Cambria" w:hAnsi="Cambria"/>
          <w:sz w:val="22"/>
          <w:lang w:val="en-US"/>
        </w:rPr>
        <w:t>of agreements to non-signatory</w:t>
      </w:r>
      <w:r w:rsidR="00047FA7" w:rsidRPr="000B14B8">
        <w:rPr>
          <w:rFonts w:ascii="Cambria" w:hAnsi="Cambria"/>
          <w:sz w:val="22"/>
          <w:lang w:val="en-US"/>
        </w:rPr>
        <w:t xml:space="preserve"> parties. The latter is often </w:t>
      </w:r>
      <w:r w:rsidR="00DA7172" w:rsidRPr="000B14B8">
        <w:rPr>
          <w:rFonts w:ascii="Cambria" w:hAnsi="Cambria"/>
          <w:sz w:val="22"/>
          <w:lang w:val="en-US"/>
        </w:rPr>
        <w:t xml:space="preserve">executed </w:t>
      </w:r>
      <w:r w:rsidR="00047FA7" w:rsidRPr="000B14B8">
        <w:rPr>
          <w:rFonts w:ascii="Cambria" w:hAnsi="Cambria"/>
          <w:sz w:val="22"/>
          <w:lang w:val="en-US"/>
        </w:rPr>
        <w:t xml:space="preserve">at the </w:t>
      </w:r>
      <w:r w:rsidR="008B0148" w:rsidRPr="000B14B8">
        <w:rPr>
          <w:rFonts w:ascii="Cambria" w:hAnsi="Cambria"/>
          <w:sz w:val="22"/>
          <w:lang w:val="en-US"/>
        </w:rPr>
        <w:t xml:space="preserve">joint </w:t>
      </w:r>
      <w:r w:rsidR="00047FA7" w:rsidRPr="000B14B8">
        <w:rPr>
          <w:rFonts w:ascii="Cambria" w:hAnsi="Cambria"/>
          <w:sz w:val="22"/>
          <w:lang w:val="en-US"/>
        </w:rPr>
        <w:t xml:space="preserve">request of </w:t>
      </w:r>
      <w:r w:rsidR="00772756" w:rsidRPr="000B14B8">
        <w:rPr>
          <w:rFonts w:ascii="Cambria" w:hAnsi="Cambria"/>
          <w:sz w:val="22"/>
          <w:lang w:val="en-US"/>
        </w:rPr>
        <w:t xml:space="preserve">employers and employees, </w:t>
      </w:r>
      <w:r w:rsidR="00047FA7" w:rsidRPr="000B14B8">
        <w:rPr>
          <w:rFonts w:ascii="Cambria" w:hAnsi="Cambria"/>
          <w:sz w:val="22"/>
          <w:lang w:val="en-US"/>
        </w:rPr>
        <w:t>because it protects against</w:t>
      </w:r>
      <w:r w:rsidR="00DA7172" w:rsidRPr="000B14B8">
        <w:rPr>
          <w:rFonts w:ascii="Cambria" w:hAnsi="Cambria"/>
          <w:sz w:val="22"/>
          <w:lang w:val="en-US"/>
        </w:rPr>
        <w:t xml:space="preserve"> </w:t>
      </w:r>
      <w:r w:rsidR="00047FA7" w:rsidRPr="000B14B8">
        <w:rPr>
          <w:rFonts w:ascii="Cambria" w:hAnsi="Cambria"/>
          <w:sz w:val="22"/>
          <w:lang w:val="en-US"/>
        </w:rPr>
        <w:t>undercut</w:t>
      </w:r>
      <w:r w:rsidR="007E09BA" w:rsidRPr="000B14B8">
        <w:rPr>
          <w:rFonts w:ascii="Cambria" w:hAnsi="Cambria"/>
          <w:sz w:val="22"/>
          <w:lang w:val="en-US"/>
        </w:rPr>
        <w:t xml:space="preserve">ting </w:t>
      </w:r>
      <w:r w:rsidR="00922729" w:rsidRPr="000B14B8">
        <w:rPr>
          <w:rFonts w:ascii="Cambria" w:hAnsi="Cambria"/>
          <w:sz w:val="22"/>
          <w:lang w:val="en-US"/>
        </w:rPr>
        <w:t xml:space="preserve">the negotiated </w:t>
      </w:r>
      <w:r w:rsidR="00672A99" w:rsidRPr="000B14B8">
        <w:rPr>
          <w:rFonts w:ascii="Cambria" w:hAnsi="Cambria"/>
          <w:sz w:val="22"/>
          <w:lang w:val="en-US"/>
        </w:rPr>
        <w:t xml:space="preserve">employment standards </w:t>
      </w:r>
      <w:r w:rsidR="00922729" w:rsidRPr="000B14B8">
        <w:rPr>
          <w:rFonts w:ascii="Cambria" w:hAnsi="Cambria"/>
          <w:sz w:val="22"/>
          <w:lang w:val="en-US"/>
        </w:rPr>
        <w:t>and, by the same token, creates</w:t>
      </w:r>
      <w:r w:rsidR="00A01528" w:rsidRPr="000B14B8">
        <w:rPr>
          <w:rFonts w:ascii="Cambria" w:hAnsi="Cambria"/>
          <w:sz w:val="22"/>
          <w:lang w:val="en-US"/>
        </w:rPr>
        <w:t xml:space="preserve"> a level playing</w:t>
      </w:r>
      <w:r w:rsidR="00772756" w:rsidRPr="000B14B8">
        <w:rPr>
          <w:rFonts w:ascii="Cambria" w:hAnsi="Cambria"/>
          <w:sz w:val="22"/>
          <w:lang w:val="en-US"/>
        </w:rPr>
        <w:t xml:space="preserve"> field</w:t>
      </w:r>
      <w:r w:rsidR="00A01528" w:rsidRPr="000B14B8">
        <w:rPr>
          <w:rFonts w:ascii="Cambria" w:hAnsi="Cambria"/>
          <w:sz w:val="22"/>
          <w:lang w:val="en-US"/>
        </w:rPr>
        <w:t xml:space="preserve"> </w:t>
      </w:r>
      <w:r w:rsidR="00922729" w:rsidRPr="000B14B8">
        <w:rPr>
          <w:rFonts w:ascii="Cambria" w:hAnsi="Cambria"/>
          <w:sz w:val="22"/>
          <w:lang w:val="en-US"/>
        </w:rPr>
        <w:t>for economic competition</w:t>
      </w:r>
      <w:r w:rsidR="00A01528" w:rsidRPr="000B14B8">
        <w:rPr>
          <w:rFonts w:ascii="Cambria" w:hAnsi="Cambria"/>
          <w:sz w:val="22"/>
          <w:lang w:val="en-US"/>
        </w:rPr>
        <w:t xml:space="preserve"> </w:t>
      </w:r>
      <w:r w:rsidR="008E1093">
        <w:rPr>
          <w:rFonts w:ascii="Cambria" w:hAnsi="Cambria"/>
          <w:sz w:val="22"/>
          <w:lang w:val="en-US"/>
        </w:rPr>
        <w:t>with</w:t>
      </w:r>
      <w:r w:rsidR="00A01528" w:rsidRPr="000B14B8">
        <w:rPr>
          <w:rFonts w:ascii="Cambria" w:hAnsi="Cambria"/>
          <w:sz w:val="22"/>
          <w:lang w:val="en-US"/>
        </w:rPr>
        <w:t xml:space="preserve"> regard </w:t>
      </w:r>
      <w:r w:rsidR="008E1093">
        <w:rPr>
          <w:rFonts w:ascii="Cambria" w:hAnsi="Cambria"/>
          <w:sz w:val="22"/>
          <w:lang w:val="en-US"/>
        </w:rPr>
        <w:t>to</w:t>
      </w:r>
      <w:r w:rsidR="00A01528" w:rsidRPr="000B14B8">
        <w:rPr>
          <w:rFonts w:ascii="Cambria" w:hAnsi="Cambria"/>
          <w:sz w:val="22"/>
          <w:lang w:val="en-US"/>
        </w:rPr>
        <w:t xml:space="preserve"> unorganized firms</w:t>
      </w:r>
      <w:r w:rsidR="00DA7172" w:rsidRPr="000B14B8">
        <w:rPr>
          <w:rFonts w:ascii="Cambria" w:hAnsi="Cambria"/>
          <w:sz w:val="22"/>
          <w:lang w:val="en-US"/>
        </w:rPr>
        <w:t>.</w:t>
      </w:r>
    </w:p>
    <w:p w:rsidR="007C474D" w:rsidRPr="000B14B8" w:rsidRDefault="007C474D" w:rsidP="00982C02">
      <w:pPr>
        <w:spacing w:after="0" w:line="240" w:lineRule="auto"/>
        <w:jc w:val="both"/>
        <w:rPr>
          <w:rFonts w:ascii="Cambria" w:hAnsi="Cambria"/>
          <w:sz w:val="22"/>
          <w:lang w:val="en-US"/>
        </w:rPr>
      </w:pPr>
    </w:p>
    <w:p w:rsidR="00215518" w:rsidRPr="000B14B8" w:rsidRDefault="00A52FB2" w:rsidP="00982C02">
      <w:pPr>
        <w:spacing w:after="0" w:line="240" w:lineRule="auto"/>
        <w:jc w:val="both"/>
        <w:rPr>
          <w:rFonts w:ascii="Cambria" w:hAnsi="Cambria"/>
          <w:sz w:val="22"/>
          <w:lang w:val="en-US"/>
        </w:rPr>
      </w:pPr>
      <w:r w:rsidRPr="000B14B8">
        <w:rPr>
          <w:rFonts w:ascii="Cambria" w:hAnsi="Cambria"/>
          <w:sz w:val="22"/>
          <w:lang w:val="en-US"/>
        </w:rPr>
        <w:t xml:space="preserve">It can be derived from the foregoing that </w:t>
      </w:r>
      <w:r w:rsidR="008E1093">
        <w:rPr>
          <w:rFonts w:ascii="Cambria" w:hAnsi="Cambria"/>
          <w:sz w:val="22"/>
          <w:lang w:val="en-US"/>
        </w:rPr>
        <w:t xml:space="preserve">the </w:t>
      </w:r>
      <w:r w:rsidR="006528F4" w:rsidRPr="000B14B8">
        <w:rPr>
          <w:rFonts w:ascii="Cambria" w:hAnsi="Cambria"/>
          <w:sz w:val="22"/>
          <w:lang w:val="en-US"/>
        </w:rPr>
        <w:t xml:space="preserve">promotion of </w:t>
      </w:r>
      <w:r w:rsidR="002D745D" w:rsidRPr="000B14B8">
        <w:rPr>
          <w:rFonts w:ascii="Cambria" w:hAnsi="Cambria"/>
          <w:sz w:val="22"/>
          <w:lang w:val="en-US"/>
        </w:rPr>
        <w:t>social values</w:t>
      </w:r>
      <w:r w:rsidR="006528F4" w:rsidRPr="000B14B8">
        <w:rPr>
          <w:rFonts w:ascii="Cambria" w:hAnsi="Cambria"/>
          <w:sz w:val="22"/>
          <w:lang w:val="en-US"/>
        </w:rPr>
        <w:t xml:space="preserve"> can require </w:t>
      </w:r>
      <w:r w:rsidR="00721042" w:rsidRPr="000B14B8">
        <w:rPr>
          <w:rFonts w:ascii="Cambria" w:hAnsi="Cambria"/>
          <w:sz w:val="22"/>
          <w:lang w:val="en-US"/>
        </w:rPr>
        <w:t xml:space="preserve">market-correcting policies, whereas economic </w:t>
      </w:r>
      <w:r w:rsidR="002D745D" w:rsidRPr="000B14B8">
        <w:rPr>
          <w:rFonts w:ascii="Cambria" w:hAnsi="Cambria"/>
          <w:sz w:val="22"/>
          <w:lang w:val="en-US"/>
        </w:rPr>
        <w:t xml:space="preserve">values are promoted by </w:t>
      </w:r>
      <w:r w:rsidR="00721042" w:rsidRPr="000B14B8">
        <w:rPr>
          <w:rFonts w:ascii="Cambria" w:hAnsi="Cambria"/>
          <w:sz w:val="22"/>
          <w:lang w:val="en-US"/>
        </w:rPr>
        <w:t>market-making policies.</w:t>
      </w:r>
      <w:r w:rsidR="002D745D" w:rsidRPr="000B14B8">
        <w:rPr>
          <w:rFonts w:ascii="Cambria" w:hAnsi="Cambria"/>
          <w:sz w:val="22"/>
          <w:lang w:val="en-US"/>
        </w:rPr>
        <w:t xml:space="preserve"> </w:t>
      </w:r>
      <w:r w:rsidR="007E09BA" w:rsidRPr="000B14B8">
        <w:rPr>
          <w:rFonts w:ascii="Cambria" w:hAnsi="Cambria"/>
          <w:sz w:val="22"/>
          <w:lang w:val="en-US"/>
        </w:rPr>
        <w:t>Between social and economic values</w:t>
      </w:r>
      <w:r w:rsidRPr="000B14B8">
        <w:rPr>
          <w:rFonts w:ascii="Cambria" w:hAnsi="Cambria"/>
          <w:sz w:val="22"/>
          <w:lang w:val="en-US"/>
        </w:rPr>
        <w:t xml:space="preserve"> there exists</w:t>
      </w:r>
      <w:r w:rsidR="007E09BA" w:rsidRPr="000B14B8">
        <w:rPr>
          <w:rFonts w:ascii="Cambria" w:hAnsi="Cambria"/>
          <w:sz w:val="22"/>
          <w:lang w:val="en-US"/>
        </w:rPr>
        <w:t xml:space="preserve">, therefore, an inherent tension. Still, </w:t>
      </w:r>
      <w:r w:rsidR="00C903F6" w:rsidRPr="000B14B8">
        <w:rPr>
          <w:rFonts w:ascii="Cambria" w:hAnsi="Cambria"/>
          <w:sz w:val="22"/>
          <w:lang w:val="en-US"/>
        </w:rPr>
        <w:t>according to different</w:t>
      </w:r>
      <w:r w:rsidRPr="000B14B8">
        <w:rPr>
          <w:rFonts w:ascii="Cambria" w:hAnsi="Cambria"/>
          <w:sz w:val="22"/>
          <w:lang w:val="en-US"/>
        </w:rPr>
        <w:t xml:space="preserve"> </w:t>
      </w:r>
      <w:r w:rsidR="00C903F6" w:rsidRPr="000B14B8">
        <w:rPr>
          <w:rFonts w:ascii="Cambria" w:hAnsi="Cambria"/>
          <w:sz w:val="22"/>
          <w:lang w:val="en-US"/>
        </w:rPr>
        <w:t xml:space="preserve">economic </w:t>
      </w:r>
      <w:r w:rsidR="00772756" w:rsidRPr="000B14B8">
        <w:rPr>
          <w:rFonts w:ascii="Cambria" w:hAnsi="Cambria"/>
          <w:sz w:val="22"/>
          <w:lang w:val="en-US"/>
        </w:rPr>
        <w:t>theories</w:t>
      </w:r>
      <w:r w:rsidRPr="000B14B8">
        <w:rPr>
          <w:rFonts w:ascii="Cambria" w:hAnsi="Cambria"/>
          <w:sz w:val="22"/>
          <w:lang w:val="en-US"/>
        </w:rPr>
        <w:t xml:space="preserve"> and </w:t>
      </w:r>
      <w:r w:rsidR="00C903F6" w:rsidRPr="000B14B8">
        <w:rPr>
          <w:rFonts w:ascii="Cambria" w:hAnsi="Cambria"/>
          <w:sz w:val="22"/>
          <w:lang w:val="en-US"/>
        </w:rPr>
        <w:t>phi</w:t>
      </w:r>
      <w:r w:rsidR="00772756" w:rsidRPr="000B14B8">
        <w:rPr>
          <w:rFonts w:ascii="Cambria" w:hAnsi="Cambria"/>
          <w:sz w:val="22"/>
          <w:lang w:val="en-US"/>
        </w:rPr>
        <w:t>losophies</w:t>
      </w:r>
      <w:r w:rsidR="00FA316F">
        <w:rPr>
          <w:rFonts w:ascii="Cambria" w:hAnsi="Cambria"/>
          <w:sz w:val="22"/>
          <w:lang w:val="en-US"/>
        </w:rPr>
        <w:t>,</w:t>
      </w:r>
      <w:r w:rsidR="00772756" w:rsidRPr="000B14B8">
        <w:rPr>
          <w:rFonts w:ascii="Cambria" w:hAnsi="Cambria"/>
          <w:sz w:val="22"/>
          <w:lang w:val="en-US"/>
        </w:rPr>
        <w:t xml:space="preserve"> their interaction may, </w:t>
      </w:r>
      <w:r w:rsidRPr="000B14B8">
        <w:rPr>
          <w:rFonts w:ascii="Cambria" w:hAnsi="Cambria"/>
          <w:sz w:val="22"/>
          <w:lang w:val="en-US"/>
        </w:rPr>
        <w:t>nevertheless</w:t>
      </w:r>
      <w:r w:rsidR="00772756" w:rsidRPr="000B14B8">
        <w:rPr>
          <w:rFonts w:ascii="Cambria" w:hAnsi="Cambria"/>
          <w:sz w:val="22"/>
          <w:lang w:val="en-US"/>
        </w:rPr>
        <w:t>,</w:t>
      </w:r>
      <w:r w:rsidRPr="000B14B8">
        <w:rPr>
          <w:rFonts w:ascii="Cambria" w:hAnsi="Cambria"/>
          <w:sz w:val="22"/>
          <w:lang w:val="en-US"/>
        </w:rPr>
        <w:t xml:space="preserve"> </w:t>
      </w:r>
      <w:r w:rsidR="00C903F6" w:rsidRPr="000B14B8">
        <w:rPr>
          <w:rFonts w:ascii="Cambria" w:hAnsi="Cambria"/>
          <w:sz w:val="22"/>
          <w:lang w:val="en-US"/>
        </w:rPr>
        <w:t xml:space="preserve">have impeding as well as reinforcing </w:t>
      </w:r>
      <w:r w:rsidRPr="000B14B8">
        <w:rPr>
          <w:rFonts w:ascii="Cambria" w:hAnsi="Cambria"/>
          <w:sz w:val="22"/>
          <w:lang w:val="en-US"/>
        </w:rPr>
        <w:t xml:space="preserve">economic </w:t>
      </w:r>
      <w:r w:rsidR="00C903F6" w:rsidRPr="000B14B8">
        <w:rPr>
          <w:rFonts w:ascii="Cambria" w:hAnsi="Cambria"/>
          <w:sz w:val="22"/>
          <w:lang w:val="en-US"/>
        </w:rPr>
        <w:t xml:space="preserve">effects. While </w:t>
      </w:r>
      <w:r w:rsidR="000629CB" w:rsidRPr="000B14B8">
        <w:rPr>
          <w:rFonts w:ascii="Cambria" w:hAnsi="Cambria"/>
          <w:sz w:val="22"/>
          <w:lang w:val="en-US"/>
        </w:rPr>
        <w:t xml:space="preserve">at the one end Hayekian </w:t>
      </w:r>
      <w:r w:rsidRPr="000B14B8">
        <w:rPr>
          <w:rFonts w:ascii="Cambria" w:hAnsi="Cambria"/>
          <w:sz w:val="22"/>
          <w:lang w:val="en-US"/>
        </w:rPr>
        <w:t xml:space="preserve">(liberal) </w:t>
      </w:r>
      <w:r w:rsidR="00C903F6" w:rsidRPr="000B14B8">
        <w:rPr>
          <w:rFonts w:ascii="Cambria" w:hAnsi="Cambria"/>
          <w:sz w:val="22"/>
          <w:lang w:val="en-US"/>
        </w:rPr>
        <w:t xml:space="preserve">economics </w:t>
      </w:r>
      <w:r w:rsidR="004B77A2" w:rsidRPr="000B14B8">
        <w:rPr>
          <w:rFonts w:ascii="Cambria" w:hAnsi="Cambria"/>
          <w:sz w:val="22"/>
          <w:lang w:val="en-US"/>
        </w:rPr>
        <w:t xml:space="preserve">may </w:t>
      </w:r>
      <w:r w:rsidR="00A2591C" w:rsidRPr="000B14B8">
        <w:rPr>
          <w:rFonts w:ascii="Cambria" w:hAnsi="Cambria"/>
          <w:sz w:val="22"/>
          <w:lang w:val="en-US"/>
        </w:rPr>
        <w:t>perceive</w:t>
      </w:r>
      <w:r w:rsidR="00C903F6" w:rsidRPr="000B14B8">
        <w:rPr>
          <w:rFonts w:ascii="Cambria" w:hAnsi="Cambria"/>
          <w:sz w:val="22"/>
          <w:lang w:val="en-US"/>
        </w:rPr>
        <w:t xml:space="preserve"> income and employment protection </w:t>
      </w:r>
      <w:r w:rsidR="00A2591C" w:rsidRPr="000B14B8">
        <w:rPr>
          <w:rFonts w:ascii="Cambria" w:hAnsi="Cambria"/>
          <w:sz w:val="22"/>
          <w:lang w:val="en-US"/>
        </w:rPr>
        <w:t>as a distortion of competition</w:t>
      </w:r>
      <w:r w:rsidR="004B77A2" w:rsidRPr="000B14B8">
        <w:rPr>
          <w:rFonts w:ascii="Cambria" w:hAnsi="Cambria"/>
          <w:sz w:val="22"/>
          <w:lang w:val="en-US"/>
        </w:rPr>
        <w:t>, burdening the m</w:t>
      </w:r>
      <w:r w:rsidR="007F76C1" w:rsidRPr="000B14B8">
        <w:rPr>
          <w:rFonts w:ascii="Cambria" w:hAnsi="Cambria"/>
          <w:sz w:val="22"/>
          <w:lang w:val="en-US"/>
        </w:rPr>
        <w:t>arket with unjustifiabl</w:t>
      </w:r>
      <w:r w:rsidR="00FA316F">
        <w:rPr>
          <w:rFonts w:ascii="Cambria" w:hAnsi="Cambria"/>
          <w:sz w:val="22"/>
          <w:lang w:val="en-US"/>
        </w:rPr>
        <w:t>e</w:t>
      </w:r>
      <w:r w:rsidR="007F76C1" w:rsidRPr="000B14B8">
        <w:rPr>
          <w:rFonts w:ascii="Cambria" w:hAnsi="Cambria"/>
          <w:sz w:val="22"/>
          <w:lang w:val="en-US"/>
        </w:rPr>
        <w:t xml:space="preserve"> </w:t>
      </w:r>
      <w:r w:rsidR="004B77A2" w:rsidRPr="000B14B8">
        <w:rPr>
          <w:rFonts w:ascii="Cambria" w:hAnsi="Cambria"/>
          <w:sz w:val="22"/>
          <w:lang w:val="en-US"/>
        </w:rPr>
        <w:t xml:space="preserve">costs and rigidities, at the other </w:t>
      </w:r>
      <w:r w:rsidR="000629CB" w:rsidRPr="000B14B8">
        <w:rPr>
          <w:rFonts w:ascii="Cambria" w:hAnsi="Cambria"/>
          <w:sz w:val="22"/>
          <w:lang w:val="en-US"/>
        </w:rPr>
        <w:t xml:space="preserve">end </w:t>
      </w:r>
      <w:r w:rsidR="004B77A2" w:rsidRPr="000B14B8">
        <w:rPr>
          <w:rFonts w:ascii="Cambria" w:hAnsi="Cambria"/>
          <w:sz w:val="22"/>
          <w:lang w:val="en-US"/>
        </w:rPr>
        <w:t>Keynesian</w:t>
      </w:r>
      <w:r w:rsidR="000629CB" w:rsidRPr="000B14B8">
        <w:rPr>
          <w:rFonts w:ascii="Cambria" w:hAnsi="Cambria"/>
          <w:sz w:val="22"/>
          <w:lang w:val="en-US"/>
        </w:rPr>
        <w:t xml:space="preserve"> </w:t>
      </w:r>
      <w:r w:rsidRPr="000B14B8">
        <w:rPr>
          <w:rFonts w:ascii="Cambria" w:hAnsi="Cambria"/>
          <w:sz w:val="22"/>
          <w:lang w:val="en-US"/>
        </w:rPr>
        <w:t xml:space="preserve">(social-democratic) </w:t>
      </w:r>
      <w:r w:rsidR="004B77A2" w:rsidRPr="000B14B8">
        <w:rPr>
          <w:rFonts w:ascii="Cambria" w:hAnsi="Cambria"/>
          <w:sz w:val="22"/>
          <w:lang w:val="en-US"/>
        </w:rPr>
        <w:t xml:space="preserve">economics </w:t>
      </w:r>
      <w:r w:rsidR="007F76C1" w:rsidRPr="000B14B8">
        <w:rPr>
          <w:rFonts w:ascii="Cambria" w:hAnsi="Cambria"/>
          <w:sz w:val="22"/>
          <w:lang w:val="en-US"/>
        </w:rPr>
        <w:t xml:space="preserve">may </w:t>
      </w:r>
      <w:r w:rsidR="004B77A2" w:rsidRPr="000B14B8">
        <w:rPr>
          <w:rFonts w:ascii="Cambria" w:hAnsi="Cambria"/>
          <w:sz w:val="22"/>
          <w:lang w:val="en-US"/>
        </w:rPr>
        <w:t xml:space="preserve">perceive </w:t>
      </w:r>
      <w:r w:rsidR="007F76C1" w:rsidRPr="000B14B8">
        <w:rPr>
          <w:rFonts w:ascii="Cambria" w:hAnsi="Cambria"/>
          <w:sz w:val="22"/>
          <w:lang w:val="en-US"/>
        </w:rPr>
        <w:t xml:space="preserve">it as enhancing consumption. </w:t>
      </w:r>
      <w:r w:rsidR="00234434" w:rsidRPr="000B14B8">
        <w:rPr>
          <w:rFonts w:ascii="Cambria" w:hAnsi="Cambria"/>
          <w:sz w:val="22"/>
          <w:lang w:val="en-US"/>
        </w:rPr>
        <w:t xml:space="preserve">The point to be made is </w:t>
      </w:r>
      <w:r w:rsidR="007F76C1" w:rsidRPr="000B14B8">
        <w:rPr>
          <w:rFonts w:ascii="Cambria" w:hAnsi="Cambria"/>
          <w:sz w:val="22"/>
          <w:lang w:val="en-US"/>
        </w:rPr>
        <w:t>that the social and economi</w:t>
      </w:r>
      <w:r w:rsidR="006E4A80" w:rsidRPr="000B14B8">
        <w:rPr>
          <w:rFonts w:ascii="Cambria" w:hAnsi="Cambria"/>
          <w:sz w:val="22"/>
          <w:lang w:val="en-US"/>
        </w:rPr>
        <w:t xml:space="preserve">c spheres of welfare states are, </w:t>
      </w:r>
      <w:r w:rsidRPr="000B14B8">
        <w:rPr>
          <w:rFonts w:ascii="Cambria" w:hAnsi="Cambria"/>
          <w:sz w:val="22"/>
          <w:lang w:val="en-US"/>
        </w:rPr>
        <w:t>in the least</w:t>
      </w:r>
      <w:r w:rsidR="006E4A80" w:rsidRPr="000B14B8">
        <w:rPr>
          <w:rFonts w:ascii="Cambria" w:hAnsi="Cambria"/>
          <w:sz w:val="22"/>
          <w:lang w:val="en-US"/>
        </w:rPr>
        <w:t>,</w:t>
      </w:r>
      <w:r w:rsidRPr="000B14B8">
        <w:rPr>
          <w:rFonts w:ascii="Cambria" w:hAnsi="Cambria"/>
          <w:sz w:val="22"/>
          <w:lang w:val="en-US"/>
        </w:rPr>
        <w:t xml:space="preserve"> severely </w:t>
      </w:r>
      <w:r w:rsidR="007F76C1" w:rsidRPr="000B14B8">
        <w:rPr>
          <w:rFonts w:ascii="Cambria" w:hAnsi="Cambria"/>
          <w:sz w:val="22"/>
          <w:lang w:val="en-US"/>
        </w:rPr>
        <w:t>intertwined</w:t>
      </w:r>
      <w:r w:rsidR="006E4A80" w:rsidRPr="000B14B8">
        <w:rPr>
          <w:rFonts w:ascii="Cambria" w:hAnsi="Cambria"/>
          <w:sz w:val="22"/>
          <w:lang w:val="en-US"/>
        </w:rPr>
        <w:t xml:space="preserve"> and highly interdependent</w:t>
      </w:r>
      <w:r w:rsidR="007F76C1" w:rsidRPr="000B14B8">
        <w:rPr>
          <w:rFonts w:ascii="Cambria" w:hAnsi="Cambria"/>
          <w:sz w:val="22"/>
          <w:lang w:val="en-US"/>
        </w:rPr>
        <w:t xml:space="preserve">, in that </w:t>
      </w:r>
      <w:r w:rsidR="00672A99" w:rsidRPr="000B14B8">
        <w:rPr>
          <w:rFonts w:ascii="Cambria" w:hAnsi="Cambria"/>
          <w:sz w:val="22"/>
          <w:lang w:val="en-US"/>
        </w:rPr>
        <w:t xml:space="preserve">policies in </w:t>
      </w:r>
      <w:r w:rsidR="007F76C1" w:rsidRPr="000B14B8">
        <w:rPr>
          <w:rFonts w:ascii="Cambria" w:hAnsi="Cambria"/>
          <w:sz w:val="22"/>
          <w:lang w:val="en-US"/>
        </w:rPr>
        <w:t xml:space="preserve">the one </w:t>
      </w:r>
      <w:r w:rsidR="00672A99" w:rsidRPr="000B14B8">
        <w:rPr>
          <w:rFonts w:ascii="Cambria" w:hAnsi="Cambria"/>
          <w:sz w:val="22"/>
          <w:lang w:val="en-US"/>
        </w:rPr>
        <w:t xml:space="preserve">sphere </w:t>
      </w:r>
      <w:r w:rsidR="00234434" w:rsidRPr="000B14B8">
        <w:rPr>
          <w:rFonts w:ascii="Cambria" w:hAnsi="Cambria"/>
          <w:sz w:val="22"/>
          <w:lang w:val="en-US"/>
        </w:rPr>
        <w:t>have</w:t>
      </w:r>
      <w:r w:rsidR="007F76C1" w:rsidRPr="000B14B8">
        <w:rPr>
          <w:rFonts w:ascii="Cambria" w:hAnsi="Cambria"/>
          <w:sz w:val="22"/>
          <w:lang w:val="en-US"/>
        </w:rPr>
        <w:t xml:space="preserve"> consequences </w:t>
      </w:r>
      <w:r w:rsidR="00672A99" w:rsidRPr="000B14B8">
        <w:rPr>
          <w:rFonts w:ascii="Cambria" w:hAnsi="Cambria"/>
          <w:sz w:val="22"/>
          <w:lang w:val="en-US"/>
        </w:rPr>
        <w:t xml:space="preserve">for the other </w:t>
      </w:r>
      <w:r w:rsidR="007F76C1" w:rsidRPr="000B14B8">
        <w:rPr>
          <w:rFonts w:ascii="Cambria" w:hAnsi="Cambria"/>
          <w:sz w:val="22"/>
          <w:lang w:val="en-US"/>
        </w:rPr>
        <w:t xml:space="preserve">and vice versa. </w:t>
      </w:r>
      <w:r w:rsidR="00672A99" w:rsidRPr="000B14B8">
        <w:rPr>
          <w:rFonts w:ascii="Cambria" w:hAnsi="Cambria"/>
          <w:sz w:val="22"/>
          <w:lang w:val="en-US"/>
        </w:rPr>
        <w:t xml:space="preserve">This holds true </w:t>
      </w:r>
      <w:r w:rsidR="00F9607B">
        <w:rPr>
          <w:rFonts w:ascii="Cambria" w:hAnsi="Cambria"/>
          <w:sz w:val="22"/>
          <w:lang w:val="en-US"/>
        </w:rPr>
        <w:t xml:space="preserve">when </w:t>
      </w:r>
      <w:r w:rsidR="00672A99" w:rsidRPr="000B14B8">
        <w:rPr>
          <w:rFonts w:ascii="Cambria" w:hAnsi="Cambria"/>
          <w:sz w:val="22"/>
          <w:lang w:val="en-US"/>
        </w:rPr>
        <w:t xml:space="preserve">applying </w:t>
      </w:r>
      <w:r w:rsidR="008E0663" w:rsidRPr="000B14B8">
        <w:rPr>
          <w:rFonts w:ascii="Cambria" w:hAnsi="Cambria"/>
          <w:sz w:val="22"/>
          <w:lang w:val="en-US"/>
        </w:rPr>
        <w:t xml:space="preserve">an economic </w:t>
      </w:r>
      <w:r w:rsidR="00672A99" w:rsidRPr="000B14B8">
        <w:rPr>
          <w:rFonts w:ascii="Cambria" w:hAnsi="Cambria"/>
          <w:sz w:val="22"/>
          <w:lang w:val="en-US"/>
        </w:rPr>
        <w:t xml:space="preserve">perspective, but also </w:t>
      </w:r>
      <w:r w:rsidR="008E0663" w:rsidRPr="000B14B8">
        <w:rPr>
          <w:rFonts w:ascii="Cambria" w:hAnsi="Cambria"/>
          <w:sz w:val="22"/>
          <w:lang w:val="en-US"/>
        </w:rPr>
        <w:t>a sociological perspective. If markets are not woven into th</w:t>
      </w:r>
      <w:r w:rsidR="001B4D72" w:rsidRPr="000B14B8">
        <w:rPr>
          <w:rFonts w:ascii="Cambria" w:hAnsi="Cambria"/>
          <w:sz w:val="22"/>
          <w:lang w:val="en-US"/>
        </w:rPr>
        <w:t>e fabric of societies</w:t>
      </w:r>
      <w:r w:rsidR="00152B83" w:rsidRPr="000B14B8">
        <w:rPr>
          <w:rFonts w:ascii="Cambria" w:hAnsi="Cambria"/>
          <w:sz w:val="22"/>
          <w:lang w:val="en-US"/>
        </w:rPr>
        <w:t>, as already observed by Polanyi</w:t>
      </w:r>
      <w:r w:rsidR="006528F4" w:rsidRPr="000B14B8">
        <w:rPr>
          <w:rFonts w:ascii="Cambria" w:hAnsi="Cambria"/>
          <w:sz w:val="22"/>
          <w:lang w:val="en-US"/>
        </w:rPr>
        <w:t>, this may</w:t>
      </w:r>
      <w:r w:rsidR="001B4D72" w:rsidRPr="000B14B8">
        <w:rPr>
          <w:rFonts w:ascii="Cambria" w:hAnsi="Cambria"/>
          <w:sz w:val="22"/>
          <w:lang w:val="en-US"/>
        </w:rPr>
        <w:t xml:space="preserve"> arouse social disloc</w:t>
      </w:r>
      <w:r w:rsidRPr="000B14B8">
        <w:rPr>
          <w:rFonts w:ascii="Cambria" w:hAnsi="Cambria"/>
          <w:sz w:val="22"/>
          <w:lang w:val="en-US"/>
        </w:rPr>
        <w:t xml:space="preserve">ation and spontaneous movements. In the end this </w:t>
      </w:r>
      <w:r w:rsidR="006528F4" w:rsidRPr="000B14B8">
        <w:rPr>
          <w:rFonts w:ascii="Cambria" w:hAnsi="Cambria"/>
          <w:sz w:val="22"/>
          <w:lang w:val="en-US"/>
        </w:rPr>
        <w:t>could</w:t>
      </w:r>
      <w:r w:rsidRPr="000B14B8">
        <w:rPr>
          <w:rFonts w:ascii="Cambria" w:hAnsi="Cambria"/>
          <w:sz w:val="22"/>
          <w:lang w:val="en-US"/>
        </w:rPr>
        <w:t xml:space="preserve"> threaten </w:t>
      </w:r>
      <w:r w:rsidR="001B4D72" w:rsidRPr="000B14B8">
        <w:rPr>
          <w:rFonts w:ascii="Cambria" w:hAnsi="Cambria"/>
          <w:sz w:val="22"/>
          <w:lang w:val="en-US"/>
        </w:rPr>
        <w:t xml:space="preserve">political </w:t>
      </w:r>
      <w:r w:rsidRPr="000B14B8">
        <w:rPr>
          <w:rFonts w:ascii="Cambria" w:hAnsi="Cambria"/>
          <w:sz w:val="22"/>
          <w:lang w:val="en-US"/>
        </w:rPr>
        <w:t xml:space="preserve">stability, </w:t>
      </w:r>
      <w:r w:rsidR="001B4D72" w:rsidRPr="000B14B8">
        <w:rPr>
          <w:rFonts w:ascii="Cambria" w:hAnsi="Cambria"/>
          <w:sz w:val="22"/>
          <w:lang w:val="en-US"/>
        </w:rPr>
        <w:t xml:space="preserve">as was witnessed </w:t>
      </w:r>
      <w:r w:rsidR="00F9607B">
        <w:rPr>
          <w:rFonts w:ascii="Cambria" w:hAnsi="Cambria"/>
          <w:sz w:val="22"/>
          <w:lang w:val="en-US"/>
        </w:rPr>
        <w:t>with</w:t>
      </w:r>
      <w:r w:rsidR="00215518" w:rsidRPr="000B14B8">
        <w:rPr>
          <w:rFonts w:ascii="Cambria" w:hAnsi="Cambria"/>
          <w:sz w:val="22"/>
          <w:lang w:val="en-US"/>
        </w:rPr>
        <w:t xml:space="preserve"> the initial process of </w:t>
      </w:r>
      <w:r w:rsidR="001B4D72" w:rsidRPr="000B14B8">
        <w:rPr>
          <w:rFonts w:ascii="Cambria" w:hAnsi="Cambria"/>
          <w:sz w:val="22"/>
          <w:lang w:val="en-US"/>
        </w:rPr>
        <w:t xml:space="preserve">industrial revolution. Therefore, markets </w:t>
      </w:r>
      <w:r w:rsidR="007E4479" w:rsidRPr="000B14B8">
        <w:rPr>
          <w:rFonts w:ascii="Cambria" w:hAnsi="Cambria"/>
          <w:sz w:val="22"/>
          <w:lang w:val="en-US"/>
        </w:rPr>
        <w:t xml:space="preserve">necessarily </w:t>
      </w:r>
      <w:r w:rsidR="001B4D72" w:rsidRPr="000B14B8">
        <w:rPr>
          <w:rFonts w:ascii="Cambria" w:hAnsi="Cambria"/>
          <w:sz w:val="22"/>
          <w:lang w:val="en-US"/>
        </w:rPr>
        <w:t>have to be ‘socially embedded’, a</w:t>
      </w:r>
      <w:r w:rsidR="00152B83" w:rsidRPr="000B14B8">
        <w:rPr>
          <w:rFonts w:ascii="Cambria" w:hAnsi="Cambria"/>
          <w:sz w:val="22"/>
          <w:lang w:val="en-US"/>
        </w:rPr>
        <w:t>ccording to Polanyi</w:t>
      </w:r>
      <w:r w:rsidR="00746964" w:rsidRPr="000B14B8">
        <w:rPr>
          <w:rFonts w:ascii="Cambria" w:hAnsi="Cambria"/>
          <w:sz w:val="22"/>
          <w:lang w:val="en-US"/>
        </w:rPr>
        <w:t>.</w:t>
      </w:r>
      <w:r w:rsidR="00746964" w:rsidRPr="000B14B8">
        <w:rPr>
          <w:rStyle w:val="Voetnootmarkering"/>
          <w:rFonts w:ascii="Cambria" w:hAnsi="Cambria"/>
          <w:sz w:val="22"/>
          <w:lang w:val="en-US"/>
        </w:rPr>
        <w:footnoteReference w:id="28"/>
      </w:r>
      <w:r w:rsidR="00215518" w:rsidRPr="000B14B8">
        <w:rPr>
          <w:rFonts w:ascii="Cambria" w:hAnsi="Cambria"/>
          <w:sz w:val="22"/>
          <w:lang w:val="en-US"/>
        </w:rPr>
        <w:t xml:space="preserve"> </w:t>
      </w:r>
      <w:r w:rsidR="007F76C1" w:rsidRPr="008921EE">
        <w:rPr>
          <w:rFonts w:ascii="Cambria" w:hAnsi="Cambria"/>
          <w:sz w:val="22"/>
          <w:lang w:val="en-US"/>
        </w:rPr>
        <w:t xml:space="preserve">At </w:t>
      </w:r>
      <w:r w:rsidR="000629CB" w:rsidRPr="001E3E67">
        <w:rPr>
          <w:rFonts w:ascii="Cambria" w:hAnsi="Cambria"/>
          <w:sz w:val="22"/>
          <w:lang w:val="en-US"/>
        </w:rPr>
        <w:t xml:space="preserve">the </w:t>
      </w:r>
      <w:r w:rsidR="007F76C1" w:rsidRPr="001E3E67">
        <w:rPr>
          <w:rFonts w:ascii="Cambria" w:hAnsi="Cambria"/>
          <w:sz w:val="22"/>
          <w:lang w:val="en-US"/>
        </w:rPr>
        <w:t>national level</w:t>
      </w:r>
      <w:r w:rsidR="00215518" w:rsidRPr="001E3E67">
        <w:rPr>
          <w:rFonts w:ascii="Cambria" w:hAnsi="Cambria"/>
          <w:sz w:val="22"/>
          <w:lang w:val="en-US"/>
        </w:rPr>
        <w:t xml:space="preserve"> of capitalist welfare states</w:t>
      </w:r>
      <w:r w:rsidR="00F9607B">
        <w:rPr>
          <w:rFonts w:ascii="Cambria" w:hAnsi="Cambria"/>
          <w:sz w:val="22"/>
          <w:lang w:val="en-US"/>
        </w:rPr>
        <w:t>,</w:t>
      </w:r>
      <w:r w:rsidR="000629CB" w:rsidRPr="001E3E67">
        <w:rPr>
          <w:rFonts w:ascii="Cambria" w:hAnsi="Cambria"/>
          <w:sz w:val="22"/>
          <w:lang w:val="en-US"/>
        </w:rPr>
        <w:t xml:space="preserve"> w</w:t>
      </w:r>
      <w:r w:rsidR="00F9607B">
        <w:rPr>
          <w:rFonts w:ascii="Cambria" w:hAnsi="Cambria"/>
          <w:sz w:val="22"/>
          <w:lang w:val="en-US"/>
        </w:rPr>
        <w:t>h</w:t>
      </w:r>
      <w:r w:rsidR="000629CB" w:rsidRPr="001E3E67">
        <w:rPr>
          <w:rFonts w:ascii="Cambria" w:hAnsi="Cambria"/>
          <w:sz w:val="22"/>
          <w:lang w:val="en-US"/>
        </w:rPr>
        <w:t xml:space="preserve">ere social and economic values are on an equal footing, this </w:t>
      </w:r>
      <w:r w:rsidR="00746964" w:rsidRPr="000B14B8">
        <w:rPr>
          <w:rFonts w:ascii="Cambria" w:hAnsi="Cambria"/>
          <w:sz w:val="22"/>
          <w:lang w:val="en-US"/>
        </w:rPr>
        <w:t xml:space="preserve">implies </w:t>
      </w:r>
      <w:r w:rsidRPr="000B14B8">
        <w:rPr>
          <w:rFonts w:ascii="Cambria" w:hAnsi="Cambria"/>
          <w:sz w:val="22"/>
          <w:lang w:val="en-US"/>
        </w:rPr>
        <w:t xml:space="preserve">that </w:t>
      </w:r>
      <w:r w:rsidR="00746964" w:rsidRPr="000B14B8">
        <w:rPr>
          <w:rFonts w:ascii="Cambria" w:hAnsi="Cambria"/>
          <w:sz w:val="22"/>
          <w:lang w:val="en-US"/>
        </w:rPr>
        <w:t xml:space="preserve">an equilibrium </w:t>
      </w:r>
      <w:r w:rsidRPr="000B14B8">
        <w:rPr>
          <w:rFonts w:ascii="Cambria" w:hAnsi="Cambria"/>
          <w:sz w:val="22"/>
          <w:lang w:val="en-US"/>
        </w:rPr>
        <w:t xml:space="preserve">between </w:t>
      </w:r>
      <w:r w:rsidR="00672A99" w:rsidRPr="000B14B8">
        <w:rPr>
          <w:rFonts w:ascii="Cambria" w:hAnsi="Cambria"/>
          <w:sz w:val="22"/>
          <w:lang w:val="en-US"/>
        </w:rPr>
        <w:t xml:space="preserve">these values </w:t>
      </w:r>
      <w:r w:rsidR="00746964" w:rsidRPr="000B14B8">
        <w:rPr>
          <w:rFonts w:ascii="Cambria" w:hAnsi="Cambria"/>
          <w:sz w:val="22"/>
          <w:lang w:val="en-US"/>
        </w:rPr>
        <w:t xml:space="preserve">must </w:t>
      </w:r>
      <w:r w:rsidR="000629CB" w:rsidRPr="000B14B8">
        <w:rPr>
          <w:rFonts w:ascii="Cambria" w:hAnsi="Cambria"/>
          <w:sz w:val="22"/>
          <w:lang w:val="en-US"/>
        </w:rPr>
        <w:t xml:space="preserve">be </w:t>
      </w:r>
      <w:r w:rsidR="004A0D66" w:rsidRPr="000B14B8">
        <w:rPr>
          <w:rFonts w:ascii="Cambria" w:hAnsi="Cambria"/>
          <w:sz w:val="22"/>
          <w:lang w:val="en-US"/>
        </w:rPr>
        <w:t xml:space="preserve">established </w:t>
      </w:r>
      <w:r w:rsidR="000629CB" w:rsidRPr="000B14B8">
        <w:rPr>
          <w:rFonts w:ascii="Cambria" w:hAnsi="Cambria"/>
          <w:sz w:val="22"/>
          <w:lang w:val="en-US"/>
        </w:rPr>
        <w:t>by</w:t>
      </w:r>
      <w:r w:rsidR="00215518" w:rsidRPr="000B14B8">
        <w:rPr>
          <w:rFonts w:ascii="Cambria" w:hAnsi="Cambria"/>
          <w:sz w:val="22"/>
          <w:lang w:val="en-US"/>
        </w:rPr>
        <w:t xml:space="preserve"> </w:t>
      </w:r>
      <w:r w:rsidR="00672A99" w:rsidRPr="000B14B8">
        <w:rPr>
          <w:rFonts w:ascii="Cambria" w:hAnsi="Cambria"/>
          <w:sz w:val="22"/>
          <w:lang w:val="en-US"/>
        </w:rPr>
        <w:t>(</w:t>
      </w:r>
      <w:r w:rsidR="000629CB" w:rsidRPr="000B14B8">
        <w:rPr>
          <w:rFonts w:ascii="Cambria" w:hAnsi="Cambria"/>
          <w:sz w:val="22"/>
          <w:lang w:val="en-US"/>
        </w:rPr>
        <w:t xml:space="preserve">democratic </w:t>
      </w:r>
      <w:r w:rsidR="00672A99" w:rsidRPr="000B14B8">
        <w:rPr>
          <w:rFonts w:ascii="Cambria" w:hAnsi="Cambria"/>
          <w:sz w:val="22"/>
          <w:lang w:val="en-US"/>
        </w:rPr>
        <w:t>legitimized)</w:t>
      </w:r>
      <w:r w:rsidR="00215518" w:rsidRPr="000B14B8">
        <w:rPr>
          <w:rFonts w:ascii="Cambria" w:hAnsi="Cambria"/>
          <w:sz w:val="22"/>
          <w:lang w:val="en-US"/>
        </w:rPr>
        <w:t xml:space="preserve"> </w:t>
      </w:r>
      <w:r w:rsidR="004A0D66" w:rsidRPr="000B14B8">
        <w:rPr>
          <w:rFonts w:ascii="Cambria" w:hAnsi="Cambria"/>
          <w:sz w:val="22"/>
          <w:lang w:val="en-US"/>
        </w:rPr>
        <w:t xml:space="preserve">political </w:t>
      </w:r>
      <w:r w:rsidR="000629CB" w:rsidRPr="000B14B8">
        <w:rPr>
          <w:rFonts w:ascii="Cambria" w:hAnsi="Cambria"/>
          <w:sz w:val="22"/>
          <w:lang w:val="en-US"/>
        </w:rPr>
        <w:t>consensus.</w:t>
      </w:r>
      <w:r w:rsidR="00476E92" w:rsidRPr="000B14B8">
        <w:rPr>
          <w:rFonts w:ascii="Cambria" w:hAnsi="Cambria"/>
          <w:sz w:val="22"/>
          <w:lang w:val="en-US"/>
        </w:rPr>
        <w:t xml:space="preserve"> </w:t>
      </w:r>
      <w:r w:rsidR="00215518" w:rsidRPr="000B14B8">
        <w:rPr>
          <w:rFonts w:ascii="Cambria" w:hAnsi="Cambria"/>
          <w:sz w:val="22"/>
          <w:lang w:val="en-US"/>
        </w:rPr>
        <w:t>But how about the European level?</w:t>
      </w:r>
    </w:p>
    <w:p w:rsidR="00215518" w:rsidRPr="000B14B8" w:rsidRDefault="00215518" w:rsidP="00982C02">
      <w:pPr>
        <w:spacing w:after="0" w:line="240" w:lineRule="auto"/>
        <w:jc w:val="both"/>
        <w:rPr>
          <w:rFonts w:ascii="Cambria" w:hAnsi="Cambria"/>
          <w:sz w:val="22"/>
          <w:lang w:val="en-US"/>
        </w:rPr>
      </w:pPr>
    </w:p>
    <w:p w:rsidR="007A0780" w:rsidRPr="008921EE" w:rsidRDefault="00F92013" w:rsidP="005B7506">
      <w:pPr>
        <w:spacing w:after="0" w:line="240" w:lineRule="auto"/>
        <w:jc w:val="both"/>
        <w:rPr>
          <w:rFonts w:ascii="Cambria" w:hAnsi="Cambria"/>
          <w:sz w:val="22"/>
          <w:lang w:val="en-US"/>
        </w:rPr>
      </w:pPr>
      <w:r w:rsidRPr="000B14B8">
        <w:rPr>
          <w:rFonts w:ascii="Cambria" w:hAnsi="Cambria"/>
          <w:sz w:val="22"/>
          <w:lang w:val="en-US"/>
        </w:rPr>
        <w:t xml:space="preserve">Given the European heritage of ‘welfarism’, one </w:t>
      </w:r>
      <w:r w:rsidR="00672A99" w:rsidRPr="000B14B8">
        <w:rPr>
          <w:rFonts w:ascii="Cambria" w:hAnsi="Cambria"/>
          <w:sz w:val="22"/>
          <w:lang w:val="en-US"/>
        </w:rPr>
        <w:t xml:space="preserve">might </w:t>
      </w:r>
      <w:r w:rsidRPr="000B14B8">
        <w:rPr>
          <w:rFonts w:ascii="Cambria" w:hAnsi="Cambria"/>
          <w:sz w:val="22"/>
          <w:lang w:val="en-US"/>
        </w:rPr>
        <w:t xml:space="preserve">expect the interconnection of </w:t>
      </w:r>
      <w:r w:rsidR="00C05041" w:rsidRPr="000B14B8">
        <w:rPr>
          <w:rFonts w:ascii="Cambria" w:hAnsi="Cambria"/>
          <w:sz w:val="22"/>
          <w:lang w:val="en-US"/>
        </w:rPr>
        <w:t xml:space="preserve">the </w:t>
      </w:r>
      <w:r w:rsidRPr="000B14B8">
        <w:rPr>
          <w:rFonts w:ascii="Cambria" w:hAnsi="Cambria"/>
          <w:sz w:val="22"/>
          <w:lang w:val="en-US"/>
        </w:rPr>
        <w:t xml:space="preserve">economic </w:t>
      </w:r>
      <w:r w:rsidR="00C05041" w:rsidRPr="000B14B8">
        <w:rPr>
          <w:rFonts w:ascii="Cambria" w:hAnsi="Cambria"/>
          <w:sz w:val="22"/>
          <w:lang w:val="en-US"/>
        </w:rPr>
        <w:t xml:space="preserve">and social </w:t>
      </w:r>
      <w:r w:rsidR="00672A99" w:rsidRPr="000B14B8">
        <w:rPr>
          <w:rFonts w:ascii="Cambria" w:hAnsi="Cambria"/>
          <w:sz w:val="22"/>
          <w:lang w:val="en-US"/>
        </w:rPr>
        <w:t xml:space="preserve">‘spheres’ </w:t>
      </w:r>
      <w:r w:rsidR="00C05041" w:rsidRPr="000B14B8">
        <w:rPr>
          <w:rFonts w:ascii="Cambria" w:hAnsi="Cambria"/>
          <w:sz w:val="22"/>
          <w:lang w:val="en-US"/>
        </w:rPr>
        <w:t xml:space="preserve">to return </w:t>
      </w:r>
      <w:r w:rsidR="000C39FA">
        <w:rPr>
          <w:rFonts w:ascii="Cambria" w:hAnsi="Cambria"/>
          <w:sz w:val="22"/>
          <w:lang w:val="en-US"/>
        </w:rPr>
        <w:t>at</w:t>
      </w:r>
      <w:r w:rsidR="00C05041" w:rsidRPr="000B14B8">
        <w:rPr>
          <w:rFonts w:ascii="Cambria" w:hAnsi="Cambria"/>
          <w:sz w:val="22"/>
          <w:lang w:val="en-US"/>
        </w:rPr>
        <w:t xml:space="preserve"> the level of the </w:t>
      </w:r>
      <w:r w:rsidR="007C474D" w:rsidRPr="000B14B8">
        <w:rPr>
          <w:rFonts w:ascii="Cambria" w:hAnsi="Cambria"/>
          <w:sz w:val="22"/>
          <w:lang w:val="en-US"/>
        </w:rPr>
        <w:t>T</w:t>
      </w:r>
      <w:r w:rsidRPr="000B14B8">
        <w:rPr>
          <w:rFonts w:ascii="Cambria" w:hAnsi="Cambria"/>
          <w:sz w:val="22"/>
          <w:lang w:val="en-US"/>
        </w:rPr>
        <w:t>reaties</w:t>
      </w:r>
      <w:r w:rsidR="000C39FA">
        <w:rPr>
          <w:rFonts w:ascii="Cambria" w:hAnsi="Cambria"/>
          <w:sz w:val="22"/>
          <w:lang w:val="en-US"/>
        </w:rPr>
        <w:t>, which are</w:t>
      </w:r>
      <w:r w:rsidRPr="000B14B8">
        <w:rPr>
          <w:rFonts w:ascii="Cambria" w:hAnsi="Cambria"/>
          <w:sz w:val="22"/>
          <w:lang w:val="en-US"/>
        </w:rPr>
        <w:t xml:space="preserve"> devoted to European market building. In 1957</w:t>
      </w:r>
      <w:r w:rsidR="00C05041" w:rsidRPr="000B14B8">
        <w:rPr>
          <w:rFonts w:ascii="Cambria" w:hAnsi="Cambria"/>
          <w:sz w:val="22"/>
          <w:lang w:val="en-US"/>
        </w:rPr>
        <w:t>,</w:t>
      </w:r>
      <w:r w:rsidRPr="000B14B8">
        <w:rPr>
          <w:rFonts w:ascii="Cambria" w:hAnsi="Cambria"/>
          <w:sz w:val="22"/>
          <w:lang w:val="en-US"/>
        </w:rPr>
        <w:t xml:space="preserve"> the European welfare state was still </w:t>
      </w:r>
      <w:r w:rsidR="00F9607B">
        <w:rPr>
          <w:rFonts w:ascii="Cambria" w:hAnsi="Cambria"/>
          <w:sz w:val="22"/>
          <w:lang w:val="en-US"/>
        </w:rPr>
        <w:t>at</w:t>
      </w:r>
      <w:r w:rsidR="007A0780" w:rsidRPr="000B14B8">
        <w:rPr>
          <w:rFonts w:ascii="Cambria" w:hAnsi="Cambria"/>
          <w:sz w:val="22"/>
          <w:lang w:val="en-US"/>
        </w:rPr>
        <w:t xml:space="preserve"> a </w:t>
      </w:r>
      <w:r w:rsidRPr="000B14B8">
        <w:rPr>
          <w:rFonts w:ascii="Cambria" w:hAnsi="Cambria"/>
          <w:sz w:val="22"/>
          <w:lang w:val="en-US"/>
        </w:rPr>
        <w:t>developing</w:t>
      </w:r>
      <w:r w:rsidR="007A0780" w:rsidRPr="000B14B8">
        <w:rPr>
          <w:rFonts w:ascii="Cambria" w:hAnsi="Cambria"/>
          <w:sz w:val="22"/>
          <w:lang w:val="en-US"/>
        </w:rPr>
        <w:t xml:space="preserve"> stage</w:t>
      </w:r>
      <w:r w:rsidRPr="000B14B8">
        <w:rPr>
          <w:rFonts w:ascii="Cambria" w:hAnsi="Cambria"/>
          <w:sz w:val="22"/>
          <w:lang w:val="en-US"/>
        </w:rPr>
        <w:t>. Still</w:t>
      </w:r>
      <w:r w:rsidR="005B7506" w:rsidRPr="000B14B8">
        <w:rPr>
          <w:rFonts w:ascii="Cambria" w:hAnsi="Cambria"/>
          <w:sz w:val="22"/>
          <w:lang w:val="en-US"/>
        </w:rPr>
        <w:t xml:space="preserve">, the </w:t>
      </w:r>
      <w:r w:rsidR="007C474D" w:rsidRPr="000B14B8">
        <w:rPr>
          <w:rFonts w:ascii="Cambria" w:hAnsi="Cambria"/>
          <w:sz w:val="22"/>
          <w:lang w:val="en-US"/>
        </w:rPr>
        <w:t xml:space="preserve">six </w:t>
      </w:r>
      <w:r w:rsidR="005B7506" w:rsidRPr="000B14B8">
        <w:rPr>
          <w:rFonts w:ascii="Cambria" w:hAnsi="Cambria"/>
          <w:sz w:val="22"/>
          <w:lang w:val="en-US"/>
        </w:rPr>
        <w:t>f</w:t>
      </w:r>
      <w:r w:rsidR="00AF7242" w:rsidRPr="000B14B8">
        <w:rPr>
          <w:rFonts w:ascii="Cambria" w:hAnsi="Cambria"/>
          <w:sz w:val="22"/>
          <w:lang w:val="en-US"/>
        </w:rPr>
        <w:t xml:space="preserve">ounding, </w:t>
      </w:r>
      <w:r w:rsidR="00B70C79" w:rsidRPr="000B14B8">
        <w:rPr>
          <w:rFonts w:ascii="Cambria" w:hAnsi="Cambria"/>
          <w:sz w:val="22"/>
          <w:lang w:val="en-US"/>
        </w:rPr>
        <w:t>continental states at the time</w:t>
      </w:r>
      <w:r w:rsidR="00AF7242" w:rsidRPr="000B14B8">
        <w:rPr>
          <w:rFonts w:ascii="Cambria" w:hAnsi="Cambria"/>
          <w:sz w:val="22"/>
          <w:lang w:val="en-US"/>
        </w:rPr>
        <w:t>,</w:t>
      </w:r>
      <w:r w:rsidR="007A0780" w:rsidRPr="000B14B8">
        <w:rPr>
          <w:rFonts w:ascii="Cambria" w:hAnsi="Cambria"/>
          <w:sz w:val="22"/>
          <w:lang w:val="en-US"/>
        </w:rPr>
        <w:t xml:space="preserve"> </w:t>
      </w:r>
      <w:r w:rsidR="00AF7242" w:rsidRPr="000B14B8">
        <w:rPr>
          <w:rFonts w:ascii="Cambria" w:hAnsi="Cambria"/>
          <w:sz w:val="22"/>
          <w:lang w:val="en-US"/>
        </w:rPr>
        <w:t xml:space="preserve">had </w:t>
      </w:r>
      <w:r w:rsidRPr="000B14B8">
        <w:rPr>
          <w:rFonts w:ascii="Cambria" w:hAnsi="Cambria"/>
          <w:sz w:val="22"/>
          <w:lang w:val="en-US"/>
        </w:rPr>
        <w:t xml:space="preserve">relatively homogeneous </w:t>
      </w:r>
      <w:r w:rsidR="005B7506" w:rsidRPr="000B14B8">
        <w:rPr>
          <w:rFonts w:ascii="Cambria" w:hAnsi="Cambria"/>
          <w:sz w:val="22"/>
          <w:lang w:val="en-US"/>
        </w:rPr>
        <w:t>socia</w:t>
      </w:r>
      <w:r w:rsidR="00C05041" w:rsidRPr="000B14B8">
        <w:rPr>
          <w:rFonts w:ascii="Cambria" w:hAnsi="Cambria"/>
          <w:sz w:val="22"/>
          <w:lang w:val="en-US"/>
        </w:rPr>
        <w:t xml:space="preserve">l structures </w:t>
      </w:r>
      <w:r w:rsidR="007A0780" w:rsidRPr="000B14B8">
        <w:rPr>
          <w:rFonts w:ascii="Cambria" w:hAnsi="Cambria"/>
          <w:sz w:val="22"/>
          <w:lang w:val="en-US"/>
        </w:rPr>
        <w:t xml:space="preserve">in place </w:t>
      </w:r>
      <w:r w:rsidR="00C05041" w:rsidRPr="000B14B8">
        <w:rPr>
          <w:rFonts w:ascii="Cambria" w:hAnsi="Cambria"/>
          <w:sz w:val="22"/>
          <w:lang w:val="en-US"/>
        </w:rPr>
        <w:t xml:space="preserve">that were based on, mostly, </w:t>
      </w:r>
      <w:r w:rsidR="005B7506" w:rsidRPr="000B14B8">
        <w:rPr>
          <w:rFonts w:ascii="Cambria" w:hAnsi="Cambria"/>
          <w:sz w:val="22"/>
          <w:lang w:val="en-US"/>
        </w:rPr>
        <w:t xml:space="preserve">Bismarckian systems of social security and comparable </w:t>
      </w:r>
      <w:r w:rsidR="00C05041" w:rsidRPr="000B14B8">
        <w:rPr>
          <w:rFonts w:ascii="Cambria" w:hAnsi="Cambria"/>
          <w:sz w:val="22"/>
          <w:lang w:val="en-US"/>
        </w:rPr>
        <w:t>systems of industrial relations</w:t>
      </w:r>
      <w:r w:rsidR="005B7506" w:rsidRPr="000B14B8">
        <w:rPr>
          <w:rFonts w:ascii="Cambria" w:hAnsi="Cambria"/>
          <w:sz w:val="22"/>
          <w:lang w:val="en-US"/>
        </w:rPr>
        <w:t xml:space="preserve">. </w:t>
      </w:r>
      <w:r w:rsidR="00B70C79" w:rsidRPr="000B14B8">
        <w:rPr>
          <w:rFonts w:ascii="Cambria" w:hAnsi="Cambria"/>
          <w:sz w:val="22"/>
          <w:lang w:val="en-US"/>
        </w:rPr>
        <w:t xml:space="preserve">Not surprising, therefore, is the </w:t>
      </w:r>
      <w:r w:rsidR="006E4A80" w:rsidRPr="000B14B8">
        <w:rPr>
          <w:rFonts w:ascii="Cambria" w:hAnsi="Cambria"/>
          <w:sz w:val="22"/>
          <w:lang w:val="en-US"/>
        </w:rPr>
        <w:t xml:space="preserve">historical </w:t>
      </w:r>
      <w:r w:rsidR="00B70C79" w:rsidRPr="000B14B8">
        <w:rPr>
          <w:rFonts w:ascii="Cambria" w:hAnsi="Cambria"/>
          <w:sz w:val="22"/>
          <w:lang w:val="en-US"/>
        </w:rPr>
        <w:t xml:space="preserve">observation by </w:t>
      </w:r>
      <w:proofErr w:type="spellStart"/>
      <w:r w:rsidR="005B7506" w:rsidRPr="000B14B8">
        <w:rPr>
          <w:rFonts w:ascii="Cambria" w:hAnsi="Cambria"/>
          <w:sz w:val="22"/>
          <w:lang w:val="en-US"/>
        </w:rPr>
        <w:t>Sharpf</w:t>
      </w:r>
      <w:proofErr w:type="spellEnd"/>
      <w:r w:rsidR="005B7506" w:rsidRPr="000B14B8">
        <w:rPr>
          <w:rFonts w:ascii="Cambria" w:hAnsi="Cambria"/>
          <w:sz w:val="22"/>
          <w:lang w:val="en-US"/>
        </w:rPr>
        <w:t xml:space="preserve"> </w:t>
      </w:r>
      <w:r w:rsidR="00B70C79" w:rsidRPr="000B14B8">
        <w:rPr>
          <w:rFonts w:ascii="Cambria" w:hAnsi="Cambria"/>
          <w:sz w:val="22"/>
          <w:lang w:val="en-US"/>
        </w:rPr>
        <w:t xml:space="preserve">that </w:t>
      </w:r>
      <w:r w:rsidR="00C71BFF" w:rsidRPr="000B14B8">
        <w:rPr>
          <w:rFonts w:ascii="Cambria" w:hAnsi="Cambria"/>
          <w:sz w:val="22"/>
          <w:lang w:val="en-US"/>
        </w:rPr>
        <w:t>‘</w:t>
      </w:r>
      <w:r w:rsidR="005B7506" w:rsidRPr="000B14B8">
        <w:rPr>
          <w:rFonts w:ascii="Cambria" w:hAnsi="Cambria"/>
          <w:sz w:val="22"/>
          <w:lang w:val="en-US"/>
        </w:rPr>
        <w:t>if the French Prime Minister Guy Mollet, supported by French industry</w:t>
      </w:r>
      <w:r w:rsidR="00C71BFF" w:rsidRPr="000B14B8">
        <w:rPr>
          <w:rFonts w:ascii="Cambria" w:hAnsi="Cambria"/>
          <w:sz w:val="22"/>
          <w:lang w:val="en-US"/>
        </w:rPr>
        <w:t>,</w:t>
      </w:r>
      <w:r w:rsidR="005B7506" w:rsidRPr="000B14B8">
        <w:rPr>
          <w:rFonts w:ascii="Cambria" w:hAnsi="Cambria"/>
          <w:sz w:val="22"/>
          <w:lang w:val="en-US"/>
        </w:rPr>
        <w:t xml:space="preserve"> had had his way, the harmonization of social regulations and fiscal burdens would have be</w:t>
      </w:r>
      <w:r w:rsidR="008A29EF">
        <w:rPr>
          <w:rFonts w:ascii="Cambria" w:hAnsi="Cambria"/>
          <w:sz w:val="22"/>
          <w:lang w:val="en-US"/>
        </w:rPr>
        <w:t>en</w:t>
      </w:r>
      <w:r w:rsidR="005B7506" w:rsidRPr="000B14B8">
        <w:rPr>
          <w:rFonts w:ascii="Cambria" w:hAnsi="Cambria"/>
          <w:sz w:val="22"/>
          <w:lang w:val="en-US"/>
        </w:rPr>
        <w:t xml:space="preserve"> a precondition</w:t>
      </w:r>
      <w:r w:rsidR="00C71BFF" w:rsidRPr="000B14B8">
        <w:rPr>
          <w:rFonts w:ascii="Cambria" w:hAnsi="Cambria"/>
          <w:sz w:val="22"/>
          <w:lang w:val="en-US"/>
        </w:rPr>
        <w:t xml:space="preserve"> </w:t>
      </w:r>
      <w:r w:rsidR="005B7506" w:rsidRPr="000B14B8">
        <w:rPr>
          <w:rFonts w:ascii="Cambria" w:hAnsi="Cambria"/>
          <w:sz w:val="22"/>
          <w:lang w:val="en-US"/>
        </w:rPr>
        <w:t>for the integration of industrial markets</w:t>
      </w:r>
      <w:r w:rsidR="009F7394" w:rsidRPr="000B14B8">
        <w:rPr>
          <w:rFonts w:ascii="Cambria" w:hAnsi="Cambria"/>
          <w:sz w:val="22"/>
          <w:lang w:val="en-US"/>
        </w:rPr>
        <w:t>’</w:t>
      </w:r>
      <w:r w:rsidR="005B7506" w:rsidRPr="000B14B8">
        <w:rPr>
          <w:rFonts w:ascii="Cambria" w:hAnsi="Cambria"/>
          <w:sz w:val="22"/>
          <w:lang w:val="en-US"/>
        </w:rPr>
        <w:t>.</w:t>
      </w:r>
      <w:bookmarkStart w:id="7" w:name="_Ref420507761"/>
      <w:r w:rsidR="003C3A46" w:rsidRPr="000B14B8">
        <w:rPr>
          <w:rStyle w:val="Voetnootmarkering"/>
          <w:rFonts w:ascii="Cambria" w:hAnsi="Cambria"/>
          <w:sz w:val="22"/>
          <w:lang w:val="en-US"/>
        </w:rPr>
        <w:footnoteReference w:id="29"/>
      </w:r>
      <w:bookmarkEnd w:id="7"/>
      <w:r w:rsidR="00C71BFF" w:rsidRPr="000B14B8">
        <w:rPr>
          <w:rFonts w:ascii="Cambria" w:hAnsi="Cambria"/>
          <w:sz w:val="22"/>
          <w:lang w:val="en-US"/>
        </w:rPr>
        <w:t xml:space="preserve"> Instead, in return </w:t>
      </w:r>
      <w:r w:rsidR="009F7394" w:rsidRPr="008921EE">
        <w:rPr>
          <w:rFonts w:ascii="Cambria" w:hAnsi="Cambria"/>
          <w:sz w:val="22"/>
          <w:lang w:val="en-US"/>
        </w:rPr>
        <w:t xml:space="preserve">for the </w:t>
      </w:r>
      <w:r w:rsidR="009F7394" w:rsidRPr="008921EE">
        <w:rPr>
          <w:rFonts w:ascii="Cambria" w:hAnsi="Cambria"/>
          <w:sz w:val="22"/>
          <w:lang w:val="en-US"/>
        </w:rPr>
        <w:lastRenderedPageBreak/>
        <w:t xml:space="preserve">opening </w:t>
      </w:r>
      <w:r w:rsidR="000C39FA">
        <w:rPr>
          <w:rFonts w:ascii="Cambria" w:hAnsi="Cambria"/>
          <w:sz w:val="22"/>
          <w:lang w:val="en-US"/>
        </w:rPr>
        <w:t xml:space="preserve">up </w:t>
      </w:r>
      <w:r w:rsidR="009F7394" w:rsidRPr="008921EE">
        <w:rPr>
          <w:rFonts w:ascii="Cambria" w:hAnsi="Cambria"/>
          <w:sz w:val="22"/>
          <w:lang w:val="en-US"/>
        </w:rPr>
        <w:t>of European mark</w:t>
      </w:r>
      <w:r w:rsidR="00C05041" w:rsidRPr="001E3E67">
        <w:rPr>
          <w:rFonts w:ascii="Cambria" w:hAnsi="Cambria"/>
          <w:sz w:val="22"/>
          <w:lang w:val="en-US"/>
        </w:rPr>
        <w:t xml:space="preserve">ets to French agriculture, </w:t>
      </w:r>
      <w:proofErr w:type="spellStart"/>
      <w:r w:rsidR="00C05041" w:rsidRPr="001E3E67">
        <w:rPr>
          <w:rFonts w:ascii="Cambria" w:hAnsi="Cambria"/>
          <w:sz w:val="22"/>
          <w:lang w:val="en-US"/>
        </w:rPr>
        <w:t>Mollet</w:t>
      </w:r>
      <w:proofErr w:type="spellEnd"/>
      <w:r w:rsidR="001D4D0E" w:rsidRPr="001E3E67">
        <w:rPr>
          <w:rFonts w:ascii="Cambria" w:hAnsi="Cambria"/>
          <w:sz w:val="22"/>
          <w:lang w:val="en-US"/>
        </w:rPr>
        <w:t xml:space="preserve"> </w:t>
      </w:r>
      <w:r w:rsidR="00F9607B">
        <w:rPr>
          <w:rFonts w:ascii="Cambria" w:hAnsi="Cambria"/>
          <w:sz w:val="22"/>
          <w:lang w:val="en-US"/>
        </w:rPr>
        <w:t>obtained</w:t>
      </w:r>
      <w:r w:rsidR="009F7394" w:rsidRPr="001E3E67">
        <w:rPr>
          <w:rFonts w:ascii="Cambria" w:hAnsi="Cambria"/>
          <w:sz w:val="22"/>
          <w:lang w:val="en-US"/>
        </w:rPr>
        <w:t xml:space="preserve"> </w:t>
      </w:r>
      <w:r w:rsidR="005B7506" w:rsidRPr="000B14B8">
        <w:rPr>
          <w:rFonts w:ascii="Cambria" w:hAnsi="Cambria"/>
          <w:sz w:val="22"/>
          <w:lang w:val="en-US"/>
        </w:rPr>
        <w:t>the political commitment of other govern</w:t>
      </w:r>
      <w:r w:rsidR="001D4D0E" w:rsidRPr="000B14B8">
        <w:rPr>
          <w:rFonts w:ascii="Cambria" w:hAnsi="Cambria"/>
          <w:sz w:val="22"/>
          <w:lang w:val="en-US"/>
        </w:rPr>
        <w:softHyphen/>
      </w:r>
      <w:r w:rsidR="005B7506" w:rsidRPr="000B14B8">
        <w:rPr>
          <w:rFonts w:ascii="Cambria" w:hAnsi="Cambria"/>
          <w:sz w:val="22"/>
          <w:lang w:val="en-US"/>
        </w:rPr>
        <w:t>ments to increase</w:t>
      </w:r>
      <w:r w:rsidR="009F7394" w:rsidRPr="000B14B8">
        <w:rPr>
          <w:rFonts w:ascii="Cambria" w:hAnsi="Cambria"/>
          <w:sz w:val="22"/>
          <w:lang w:val="en-US"/>
        </w:rPr>
        <w:t xml:space="preserve"> </w:t>
      </w:r>
      <w:r w:rsidR="005B7506" w:rsidRPr="000B14B8">
        <w:rPr>
          <w:rFonts w:ascii="Cambria" w:hAnsi="Cambria"/>
          <w:sz w:val="22"/>
          <w:lang w:val="en-US"/>
        </w:rPr>
        <w:t>social protection nationally</w:t>
      </w:r>
      <w:r w:rsidR="009F7394" w:rsidRPr="000B14B8">
        <w:rPr>
          <w:rFonts w:ascii="Cambria" w:hAnsi="Cambria"/>
          <w:sz w:val="22"/>
          <w:lang w:val="en-US"/>
        </w:rPr>
        <w:t>.</w:t>
      </w:r>
      <w:r w:rsidR="009F7394" w:rsidRPr="000B14B8">
        <w:rPr>
          <w:rStyle w:val="Voetnootmarkering"/>
          <w:rFonts w:ascii="Cambria" w:hAnsi="Cambria"/>
          <w:sz w:val="22"/>
          <w:lang w:val="en-US"/>
        </w:rPr>
        <w:footnoteReference w:id="30"/>
      </w:r>
      <w:r w:rsidR="009F7394" w:rsidRPr="000B14B8">
        <w:rPr>
          <w:rFonts w:ascii="Cambria" w:hAnsi="Cambria"/>
          <w:sz w:val="22"/>
          <w:lang w:val="en-US"/>
        </w:rPr>
        <w:t xml:space="preserve"> </w:t>
      </w:r>
    </w:p>
    <w:p w:rsidR="00024641" w:rsidRPr="008921EE" w:rsidRDefault="00F9607B" w:rsidP="001D4D0E">
      <w:pPr>
        <w:spacing w:after="0" w:line="240" w:lineRule="auto"/>
        <w:jc w:val="both"/>
        <w:rPr>
          <w:rFonts w:ascii="Cambria" w:hAnsi="Cambria"/>
          <w:sz w:val="22"/>
          <w:lang w:val="en-US"/>
        </w:rPr>
      </w:pPr>
      <w:r>
        <w:rPr>
          <w:rFonts w:ascii="Cambria" w:hAnsi="Cambria"/>
          <w:sz w:val="22"/>
          <w:lang w:val="en-US"/>
        </w:rPr>
        <w:t>Alt</w:t>
      </w:r>
      <w:r w:rsidR="009F7394" w:rsidRPr="001E3E67">
        <w:rPr>
          <w:rFonts w:ascii="Cambria" w:hAnsi="Cambria"/>
          <w:sz w:val="22"/>
          <w:lang w:val="en-US"/>
        </w:rPr>
        <w:t xml:space="preserve">hough social harmonization </w:t>
      </w:r>
      <w:r w:rsidR="009E2310" w:rsidRPr="001E3E67">
        <w:rPr>
          <w:rFonts w:ascii="Cambria" w:hAnsi="Cambria"/>
          <w:sz w:val="22"/>
          <w:lang w:val="en-US"/>
        </w:rPr>
        <w:t>at</w:t>
      </w:r>
      <w:r>
        <w:rPr>
          <w:rFonts w:ascii="Cambria" w:hAnsi="Cambria"/>
          <w:sz w:val="22"/>
          <w:lang w:val="en-US"/>
        </w:rPr>
        <w:t xml:space="preserve"> the</w:t>
      </w:r>
      <w:r w:rsidR="009E2310" w:rsidRPr="001E3E67">
        <w:rPr>
          <w:rFonts w:ascii="Cambria" w:hAnsi="Cambria"/>
          <w:sz w:val="22"/>
          <w:lang w:val="en-US"/>
        </w:rPr>
        <w:t xml:space="preserve"> European level </w:t>
      </w:r>
      <w:r w:rsidR="009F7394" w:rsidRPr="001E3E67">
        <w:rPr>
          <w:rFonts w:ascii="Cambria" w:hAnsi="Cambria"/>
          <w:sz w:val="22"/>
          <w:lang w:val="en-US"/>
        </w:rPr>
        <w:t>was not part of the European market project (</w:t>
      </w:r>
      <w:r w:rsidR="00234434" w:rsidRPr="000B14B8">
        <w:rPr>
          <w:rFonts w:ascii="Cambria" w:hAnsi="Cambria"/>
          <w:sz w:val="22"/>
          <w:lang w:val="en-US"/>
        </w:rPr>
        <w:t xml:space="preserve">see </w:t>
      </w:r>
      <w:r w:rsidR="009F7394" w:rsidRPr="000B14B8">
        <w:rPr>
          <w:rFonts w:ascii="Cambria" w:hAnsi="Cambria"/>
          <w:sz w:val="22"/>
          <w:lang w:val="en-US"/>
        </w:rPr>
        <w:t>infra, sectio</w:t>
      </w:r>
      <w:r w:rsidR="00234434" w:rsidRPr="000B14B8">
        <w:rPr>
          <w:rFonts w:ascii="Cambria" w:hAnsi="Cambria"/>
          <w:sz w:val="22"/>
          <w:lang w:val="en-US"/>
        </w:rPr>
        <w:t xml:space="preserve">n </w:t>
      </w:r>
      <w:r w:rsidR="00B32E59" w:rsidRPr="000B14B8">
        <w:rPr>
          <w:rFonts w:ascii="Cambria" w:hAnsi="Cambria"/>
          <w:sz w:val="22"/>
          <w:lang w:val="en-US"/>
        </w:rPr>
        <w:t>3), traces of the political perception of</w:t>
      </w:r>
      <w:r w:rsidR="007C474D" w:rsidRPr="000B14B8">
        <w:rPr>
          <w:rFonts w:ascii="Cambria" w:hAnsi="Cambria"/>
          <w:sz w:val="22"/>
          <w:lang w:val="en-US"/>
        </w:rPr>
        <w:t xml:space="preserve"> </w:t>
      </w:r>
      <w:r w:rsidR="00B70C79" w:rsidRPr="000B14B8">
        <w:rPr>
          <w:rFonts w:ascii="Cambria" w:hAnsi="Cambria"/>
          <w:sz w:val="22"/>
          <w:lang w:val="en-US"/>
        </w:rPr>
        <w:t xml:space="preserve">the </w:t>
      </w:r>
      <w:r w:rsidR="00B32E59" w:rsidRPr="000B14B8">
        <w:rPr>
          <w:rFonts w:ascii="Cambria" w:hAnsi="Cambria"/>
          <w:sz w:val="22"/>
          <w:lang w:val="en-US"/>
        </w:rPr>
        <w:t>intertwine</w:t>
      </w:r>
      <w:r w:rsidR="00E876A0" w:rsidRPr="000B14B8">
        <w:rPr>
          <w:rFonts w:ascii="Cambria" w:hAnsi="Cambria"/>
          <w:sz w:val="22"/>
          <w:lang w:val="en-US"/>
        </w:rPr>
        <w:softHyphen/>
      </w:r>
      <w:r w:rsidR="00B32E59" w:rsidRPr="000B14B8">
        <w:rPr>
          <w:rFonts w:ascii="Cambria" w:hAnsi="Cambria"/>
          <w:sz w:val="22"/>
          <w:lang w:val="en-US"/>
        </w:rPr>
        <w:t>ment of the social and economic spheres can</w:t>
      </w:r>
      <w:r w:rsidR="007A0780" w:rsidRPr="000B14B8">
        <w:rPr>
          <w:rFonts w:ascii="Cambria" w:hAnsi="Cambria"/>
          <w:sz w:val="22"/>
          <w:lang w:val="en-US"/>
        </w:rPr>
        <w:t xml:space="preserve"> nevertheless</w:t>
      </w:r>
      <w:r w:rsidR="00B32E59" w:rsidRPr="000B14B8">
        <w:rPr>
          <w:rFonts w:ascii="Cambria" w:hAnsi="Cambria"/>
          <w:sz w:val="22"/>
          <w:lang w:val="en-US"/>
        </w:rPr>
        <w:t xml:space="preserve"> be found in the original Treaty texts. </w:t>
      </w:r>
      <w:r w:rsidR="00AE25D2" w:rsidRPr="000B14B8">
        <w:rPr>
          <w:rFonts w:ascii="Cambria" w:hAnsi="Cambria"/>
          <w:sz w:val="22"/>
          <w:lang w:val="en-US"/>
        </w:rPr>
        <w:t>T</w:t>
      </w:r>
      <w:r w:rsidR="00B70C79" w:rsidRPr="000B14B8">
        <w:rPr>
          <w:rFonts w:ascii="Cambria" w:hAnsi="Cambria"/>
          <w:sz w:val="22"/>
          <w:lang w:val="en-US"/>
        </w:rPr>
        <w:t xml:space="preserve">he objectives of the Community </w:t>
      </w:r>
      <w:r w:rsidR="00AE25D2" w:rsidRPr="000B14B8">
        <w:rPr>
          <w:rFonts w:ascii="Cambria" w:hAnsi="Cambria"/>
          <w:sz w:val="22"/>
          <w:lang w:val="en-US"/>
        </w:rPr>
        <w:t>(termed ‘principl</w:t>
      </w:r>
      <w:r w:rsidR="000C39FA">
        <w:rPr>
          <w:rFonts w:ascii="Cambria" w:hAnsi="Cambria"/>
          <w:sz w:val="22"/>
          <w:lang w:val="en-US"/>
        </w:rPr>
        <w:t>e</w:t>
      </w:r>
      <w:r w:rsidR="00AE25D2" w:rsidRPr="000B14B8">
        <w:rPr>
          <w:rFonts w:ascii="Cambria" w:hAnsi="Cambria"/>
          <w:sz w:val="22"/>
          <w:lang w:val="en-US"/>
        </w:rPr>
        <w:t>s’) at the time, already included, n</w:t>
      </w:r>
      <w:r w:rsidR="00E876A0" w:rsidRPr="000B14B8">
        <w:rPr>
          <w:rFonts w:ascii="Cambria" w:hAnsi="Cambria"/>
          <w:sz w:val="22"/>
          <w:lang w:val="en-US"/>
        </w:rPr>
        <w:t xml:space="preserve">ext to the expansion of economic activity and </w:t>
      </w:r>
      <w:r w:rsidR="00AE25D2" w:rsidRPr="000B14B8">
        <w:rPr>
          <w:rFonts w:ascii="Cambria" w:hAnsi="Cambria"/>
          <w:sz w:val="22"/>
          <w:lang w:val="en-US"/>
        </w:rPr>
        <w:t xml:space="preserve">stability, </w:t>
      </w:r>
      <w:r w:rsidR="00E876A0" w:rsidRPr="000B14B8">
        <w:rPr>
          <w:rFonts w:ascii="Cambria" w:hAnsi="Cambria"/>
          <w:sz w:val="22"/>
          <w:lang w:val="en-US"/>
        </w:rPr>
        <w:t>‘the improvement of the living and working conditions’ (see supra, section 2.1)</w:t>
      </w:r>
      <w:r w:rsidR="009362C3" w:rsidRPr="000B14B8">
        <w:rPr>
          <w:rFonts w:ascii="Cambria" w:hAnsi="Cambria"/>
          <w:sz w:val="22"/>
          <w:lang w:val="en-US"/>
        </w:rPr>
        <w:t>. Part III of the Treaty of 1957 on the Community</w:t>
      </w:r>
      <w:r w:rsidR="00AE25D2" w:rsidRPr="000B14B8">
        <w:rPr>
          <w:rFonts w:ascii="Cambria" w:hAnsi="Cambria"/>
          <w:sz w:val="22"/>
          <w:lang w:val="en-US"/>
        </w:rPr>
        <w:t xml:space="preserve">’s policies, as a consequence, </w:t>
      </w:r>
      <w:r>
        <w:rPr>
          <w:rFonts w:ascii="Cambria" w:hAnsi="Cambria"/>
          <w:sz w:val="22"/>
          <w:lang w:val="en-US"/>
        </w:rPr>
        <w:t>contains</w:t>
      </w:r>
      <w:r w:rsidR="00AE25D2" w:rsidRPr="000B14B8">
        <w:rPr>
          <w:rFonts w:ascii="Cambria" w:hAnsi="Cambria"/>
          <w:sz w:val="22"/>
          <w:lang w:val="en-US"/>
        </w:rPr>
        <w:t xml:space="preserve"> a chapter </w:t>
      </w:r>
      <w:r w:rsidR="007A0780" w:rsidRPr="000B14B8">
        <w:rPr>
          <w:rFonts w:ascii="Cambria" w:hAnsi="Cambria"/>
          <w:sz w:val="22"/>
          <w:lang w:val="en-US"/>
        </w:rPr>
        <w:t>on economic policy</w:t>
      </w:r>
      <w:r w:rsidR="00AE25D2" w:rsidRPr="000B14B8">
        <w:rPr>
          <w:rFonts w:ascii="Cambria" w:hAnsi="Cambria"/>
          <w:sz w:val="22"/>
          <w:lang w:val="en-US"/>
        </w:rPr>
        <w:t xml:space="preserve"> and one on </w:t>
      </w:r>
      <w:r w:rsidR="007A0780" w:rsidRPr="000B14B8">
        <w:rPr>
          <w:rFonts w:ascii="Cambria" w:hAnsi="Cambria"/>
          <w:sz w:val="22"/>
          <w:lang w:val="en-US"/>
        </w:rPr>
        <w:t>s</w:t>
      </w:r>
      <w:r w:rsidR="009362C3" w:rsidRPr="000B14B8">
        <w:rPr>
          <w:rFonts w:ascii="Cambria" w:hAnsi="Cambria"/>
          <w:sz w:val="22"/>
          <w:lang w:val="en-US"/>
        </w:rPr>
        <w:t xml:space="preserve">ocial </w:t>
      </w:r>
      <w:r w:rsidR="007A0780" w:rsidRPr="000B14B8">
        <w:rPr>
          <w:rFonts w:ascii="Cambria" w:hAnsi="Cambria"/>
          <w:sz w:val="22"/>
          <w:lang w:val="en-US"/>
        </w:rPr>
        <w:t>p</w:t>
      </w:r>
      <w:r w:rsidR="009362C3" w:rsidRPr="000B14B8">
        <w:rPr>
          <w:rFonts w:ascii="Cambria" w:hAnsi="Cambria"/>
          <w:sz w:val="22"/>
          <w:lang w:val="en-US"/>
        </w:rPr>
        <w:t>olicy</w:t>
      </w:r>
      <w:r w:rsidR="001D4D0E" w:rsidRPr="000B14B8">
        <w:rPr>
          <w:rFonts w:ascii="Cambria" w:hAnsi="Cambria"/>
          <w:sz w:val="22"/>
          <w:lang w:val="en-US"/>
        </w:rPr>
        <w:t xml:space="preserve">. </w:t>
      </w:r>
      <w:r w:rsidR="00AE25D2" w:rsidRPr="000B14B8">
        <w:rPr>
          <w:rFonts w:ascii="Cambria" w:hAnsi="Cambria"/>
          <w:sz w:val="22"/>
          <w:lang w:val="en-US"/>
        </w:rPr>
        <w:t xml:space="preserve">In this, the need </w:t>
      </w:r>
      <w:r>
        <w:rPr>
          <w:rFonts w:ascii="Cambria" w:hAnsi="Cambria"/>
          <w:sz w:val="22"/>
          <w:lang w:val="en-US"/>
        </w:rPr>
        <w:t>for</w:t>
      </w:r>
      <w:r w:rsidR="00AE25D2" w:rsidRPr="000B14B8">
        <w:rPr>
          <w:rFonts w:ascii="Cambria" w:hAnsi="Cambria"/>
          <w:sz w:val="22"/>
          <w:lang w:val="en-US"/>
        </w:rPr>
        <w:t xml:space="preserve"> </w:t>
      </w:r>
      <w:r w:rsidR="001D4D0E" w:rsidRPr="000B14B8">
        <w:rPr>
          <w:rFonts w:ascii="Cambria" w:hAnsi="Cambria"/>
          <w:sz w:val="22"/>
          <w:lang w:val="en-US"/>
        </w:rPr>
        <w:t>‘the improvement of the living and working conditions, so as to make possible their harmonization while the improvement is being maintained’</w:t>
      </w:r>
      <w:r>
        <w:rPr>
          <w:rFonts w:ascii="Cambria" w:hAnsi="Cambria"/>
          <w:sz w:val="22"/>
          <w:lang w:val="en-US"/>
        </w:rPr>
        <w:t xml:space="preserve"> is recognised</w:t>
      </w:r>
      <w:r w:rsidR="001D4D0E" w:rsidRPr="000B14B8">
        <w:rPr>
          <w:rFonts w:ascii="Cambria" w:hAnsi="Cambria"/>
          <w:sz w:val="22"/>
          <w:lang w:val="en-US"/>
        </w:rPr>
        <w:t>.</w:t>
      </w:r>
      <w:r w:rsidR="00310A56" w:rsidRPr="000B14B8">
        <w:rPr>
          <w:rStyle w:val="Voetnootmarkering"/>
          <w:rFonts w:ascii="Cambria" w:hAnsi="Cambria"/>
          <w:sz w:val="22"/>
          <w:lang w:val="en-US"/>
        </w:rPr>
        <w:footnoteReference w:id="31"/>
      </w:r>
      <w:r w:rsidR="001D4D0E" w:rsidRPr="000B14B8">
        <w:rPr>
          <w:rFonts w:ascii="Cambria" w:hAnsi="Cambria"/>
          <w:sz w:val="22"/>
          <w:lang w:val="en-US"/>
        </w:rPr>
        <w:t xml:space="preserve"> </w:t>
      </w:r>
      <w:r w:rsidR="00AE25D2" w:rsidRPr="008921EE">
        <w:rPr>
          <w:rFonts w:ascii="Cambria" w:hAnsi="Cambria"/>
          <w:sz w:val="22"/>
          <w:lang w:val="en-US"/>
        </w:rPr>
        <w:t>T</w:t>
      </w:r>
      <w:r w:rsidR="00043EE3" w:rsidRPr="001E3E67">
        <w:rPr>
          <w:rFonts w:ascii="Cambria" w:hAnsi="Cambria"/>
          <w:sz w:val="22"/>
          <w:lang w:val="en-US"/>
        </w:rPr>
        <w:t xml:space="preserve">he Commission </w:t>
      </w:r>
      <w:r w:rsidR="009E2310" w:rsidRPr="001E3E67">
        <w:rPr>
          <w:rFonts w:ascii="Cambria" w:hAnsi="Cambria"/>
          <w:sz w:val="22"/>
          <w:lang w:val="en-US"/>
        </w:rPr>
        <w:t xml:space="preserve">is entrusted to </w:t>
      </w:r>
      <w:r w:rsidR="00043EE3" w:rsidRPr="001E3E67">
        <w:rPr>
          <w:rFonts w:ascii="Cambria" w:hAnsi="Cambria"/>
          <w:sz w:val="22"/>
          <w:lang w:val="en-US"/>
        </w:rPr>
        <w:t xml:space="preserve">further </w:t>
      </w:r>
      <w:r w:rsidR="009E2310" w:rsidRPr="001E3E67">
        <w:rPr>
          <w:rFonts w:ascii="Cambria" w:hAnsi="Cambria"/>
          <w:sz w:val="22"/>
          <w:lang w:val="en-US"/>
        </w:rPr>
        <w:t>‘</w:t>
      </w:r>
      <w:r w:rsidR="00043EE3" w:rsidRPr="000B14B8">
        <w:rPr>
          <w:rFonts w:ascii="Cambria" w:hAnsi="Cambria"/>
          <w:sz w:val="22"/>
          <w:lang w:val="en-US"/>
        </w:rPr>
        <w:t>close cooper</w:t>
      </w:r>
      <w:r w:rsidR="00310A56" w:rsidRPr="000B14B8">
        <w:rPr>
          <w:rFonts w:ascii="Cambria" w:hAnsi="Cambria"/>
          <w:sz w:val="22"/>
          <w:lang w:val="en-US"/>
        </w:rPr>
        <w:t>ation</w:t>
      </w:r>
      <w:r w:rsidR="00AE25D2" w:rsidRPr="000B14B8">
        <w:rPr>
          <w:rFonts w:ascii="Cambria" w:hAnsi="Cambria"/>
          <w:sz w:val="22"/>
          <w:lang w:val="en-US"/>
        </w:rPr>
        <w:t>’</w:t>
      </w:r>
      <w:r w:rsidR="00310A56" w:rsidRPr="000B14B8">
        <w:rPr>
          <w:rFonts w:ascii="Cambria" w:hAnsi="Cambria"/>
          <w:sz w:val="22"/>
          <w:lang w:val="en-US"/>
        </w:rPr>
        <w:t xml:space="preserve"> in social policy, especially in the fields of employment, labour law, soci</w:t>
      </w:r>
      <w:r w:rsidR="007C474D" w:rsidRPr="000B14B8">
        <w:rPr>
          <w:rFonts w:ascii="Cambria" w:hAnsi="Cambria"/>
          <w:sz w:val="22"/>
          <w:lang w:val="en-US"/>
        </w:rPr>
        <w:t>al security, health and safety and - remarkably in view of present</w:t>
      </w:r>
      <w:r>
        <w:rPr>
          <w:rFonts w:ascii="Cambria" w:hAnsi="Cambria"/>
          <w:sz w:val="22"/>
          <w:lang w:val="en-US"/>
        </w:rPr>
        <w:t>-</w:t>
      </w:r>
      <w:r w:rsidR="007C474D" w:rsidRPr="000B14B8">
        <w:rPr>
          <w:rFonts w:ascii="Cambria" w:hAnsi="Cambria"/>
          <w:sz w:val="22"/>
          <w:lang w:val="en-US"/>
        </w:rPr>
        <w:t xml:space="preserve">day conditions - </w:t>
      </w:r>
      <w:r w:rsidR="00310A56" w:rsidRPr="000B14B8">
        <w:rPr>
          <w:rFonts w:ascii="Cambria" w:hAnsi="Cambria"/>
          <w:sz w:val="22"/>
          <w:lang w:val="en-US"/>
        </w:rPr>
        <w:t>the right to associate in trade organizations and collective bargaining.</w:t>
      </w:r>
      <w:r w:rsidR="00310A56" w:rsidRPr="000B14B8">
        <w:rPr>
          <w:rStyle w:val="Voetnootmarkering"/>
          <w:rFonts w:ascii="Cambria" w:hAnsi="Cambria"/>
          <w:sz w:val="22"/>
          <w:lang w:val="en-US"/>
        </w:rPr>
        <w:footnoteReference w:id="32"/>
      </w:r>
      <w:r w:rsidR="009E2310" w:rsidRPr="000B14B8">
        <w:rPr>
          <w:rFonts w:ascii="Cambria" w:hAnsi="Cambria"/>
          <w:sz w:val="22"/>
          <w:lang w:val="en-US"/>
        </w:rPr>
        <w:t xml:space="preserve"> </w:t>
      </w:r>
    </w:p>
    <w:p w:rsidR="004D614E" w:rsidRPr="000B14B8" w:rsidRDefault="009E2310" w:rsidP="00DB7C24">
      <w:pPr>
        <w:spacing w:after="0" w:line="240" w:lineRule="auto"/>
        <w:jc w:val="both"/>
        <w:rPr>
          <w:rFonts w:ascii="Cambria" w:hAnsi="Cambria"/>
          <w:sz w:val="22"/>
        </w:rPr>
      </w:pPr>
      <w:r w:rsidRPr="001E3E67">
        <w:rPr>
          <w:rFonts w:ascii="Cambria" w:hAnsi="Cambria"/>
          <w:sz w:val="22"/>
          <w:lang w:val="en-US"/>
        </w:rPr>
        <w:t xml:space="preserve">Even though regulatory competences </w:t>
      </w:r>
      <w:r w:rsidR="00AE25D2" w:rsidRPr="001E3E67">
        <w:rPr>
          <w:rFonts w:ascii="Cambria" w:hAnsi="Cambria"/>
          <w:sz w:val="22"/>
          <w:lang w:val="en-US"/>
        </w:rPr>
        <w:t xml:space="preserve">in social policy </w:t>
      </w:r>
      <w:r w:rsidRPr="001E3E67">
        <w:rPr>
          <w:rFonts w:ascii="Cambria" w:hAnsi="Cambria"/>
          <w:sz w:val="22"/>
          <w:lang w:val="en-US"/>
        </w:rPr>
        <w:t>we</w:t>
      </w:r>
      <w:r w:rsidR="006177CC" w:rsidRPr="001E3E67">
        <w:rPr>
          <w:rFonts w:ascii="Cambria" w:hAnsi="Cambria"/>
          <w:sz w:val="22"/>
          <w:lang w:val="en-US"/>
        </w:rPr>
        <w:t xml:space="preserve">re absent (see infra, section </w:t>
      </w:r>
      <w:r w:rsidRPr="000B14B8">
        <w:rPr>
          <w:rFonts w:ascii="Cambria" w:hAnsi="Cambria"/>
          <w:sz w:val="22"/>
          <w:lang w:val="en-US"/>
        </w:rPr>
        <w:t>3</w:t>
      </w:r>
      <w:r w:rsidR="00B56891" w:rsidRPr="000B14B8">
        <w:rPr>
          <w:rFonts w:ascii="Cambria" w:hAnsi="Cambria"/>
          <w:sz w:val="22"/>
          <w:lang w:val="en-US"/>
        </w:rPr>
        <w:t>)</w:t>
      </w:r>
      <w:r w:rsidRPr="000B14B8">
        <w:rPr>
          <w:rFonts w:ascii="Cambria" w:hAnsi="Cambria"/>
          <w:sz w:val="22"/>
          <w:lang w:val="en-US"/>
        </w:rPr>
        <w:t xml:space="preserve">, one </w:t>
      </w:r>
      <w:r w:rsidR="00B56891" w:rsidRPr="000B14B8">
        <w:rPr>
          <w:rFonts w:ascii="Cambria" w:hAnsi="Cambria"/>
          <w:sz w:val="22"/>
          <w:lang w:val="en-US"/>
        </w:rPr>
        <w:t xml:space="preserve">notices that </w:t>
      </w:r>
      <w:r w:rsidR="00D768C2" w:rsidRPr="000B14B8">
        <w:rPr>
          <w:rFonts w:ascii="Cambria" w:hAnsi="Cambria"/>
          <w:sz w:val="22"/>
          <w:lang w:val="en-US"/>
        </w:rPr>
        <w:t>(</w:t>
      </w:r>
      <w:r w:rsidR="003C6961" w:rsidRPr="000B14B8">
        <w:rPr>
          <w:rFonts w:ascii="Cambria" w:hAnsi="Cambria"/>
          <w:sz w:val="22"/>
          <w:lang w:val="en-US"/>
        </w:rPr>
        <w:t>work-related</w:t>
      </w:r>
      <w:r w:rsidR="00D768C2" w:rsidRPr="000B14B8">
        <w:rPr>
          <w:rFonts w:ascii="Cambria" w:hAnsi="Cambria"/>
          <w:sz w:val="22"/>
          <w:lang w:val="en-US"/>
        </w:rPr>
        <w:t>)</w:t>
      </w:r>
      <w:r w:rsidR="003C6961" w:rsidRPr="000B14B8">
        <w:rPr>
          <w:rFonts w:ascii="Cambria" w:hAnsi="Cambria"/>
          <w:sz w:val="22"/>
          <w:lang w:val="en-US"/>
        </w:rPr>
        <w:t xml:space="preserve"> </w:t>
      </w:r>
      <w:r w:rsidR="00B56891" w:rsidRPr="000B14B8">
        <w:rPr>
          <w:rFonts w:ascii="Cambria" w:hAnsi="Cambria"/>
          <w:sz w:val="22"/>
          <w:lang w:val="en-US"/>
        </w:rPr>
        <w:t xml:space="preserve">social </w:t>
      </w:r>
      <w:r w:rsidR="003C6961" w:rsidRPr="000B14B8">
        <w:rPr>
          <w:rFonts w:ascii="Cambria" w:hAnsi="Cambria"/>
          <w:sz w:val="22"/>
          <w:lang w:val="en-US"/>
        </w:rPr>
        <w:t xml:space="preserve">policy goals </w:t>
      </w:r>
      <w:r w:rsidR="00D768C2" w:rsidRPr="000B14B8">
        <w:rPr>
          <w:rFonts w:ascii="Cambria" w:hAnsi="Cambria"/>
          <w:sz w:val="22"/>
          <w:lang w:val="en-US"/>
        </w:rPr>
        <w:t>were</w:t>
      </w:r>
      <w:r w:rsidR="00B56891" w:rsidRPr="000B14B8">
        <w:rPr>
          <w:rFonts w:ascii="Cambria" w:hAnsi="Cambria"/>
          <w:sz w:val="22"/>
          <w:lang w:val="en-US"/>
        </w:rPr>
        <w:t xml:space="preserve"> recognized as part and parcel of economic integration</w:t>
      </w:r>
      <w:r w:rsidR="005B30AF" w:rsidRPr="000B14B8">
        <w:rPr>
          <w:rFonts w:ascii="Cambria" w:hAnsi="Cambria"/>
          <w:sz w:val="22"/>
          <w:lang w:val="en-US"/>
        </w:rPr>
        <w:t xml:space="preserve"> at</w:t>
      </w:r>
      <w:r w:rsidR="00D768C2" w:rsidRPr="000B14B8">
        <w:rPr>
          <w:rFonts w:ascii="Cambria" w:hAnsi="Cambria"/>
          <w:sz w:val="22"/>
          <w:lang w:val="en-US"/>
        </w:rPr>
        <w:t xml:space="preserve"> an early stage</w:t>
      </w:r>
      <w:r w:rsidR="00B56891" w:rsidRPr="000B14B8">
        <w:rPr>
          <w:rFonts w:ascii="Cambria" w:hAnsi="Cambria"/>
          <w:sz w:val="22"/>
          <w:lang w:val="en-US"/>
        </w:rPr>
        <w:t xml:space="preserve">. </w:t>
      </w:r>
      <w:r w:rsidR="00142FC2" w:rsidRPr="000B14B8">
        <w:rPr>
          <w:rFonts w:ascii="Cambria" w:hAnsi="Cambria"/>
          <w:sz w:val="22"/>
          <w:lang w:val="en-US"/>
        </w:rPr>
        <w:t xml:space="preserve">This was </w:t>
      </w:r>
      <w:r w:rsidR="005D7296" w:rsidRPr="000B14B8">
        <w:rPr>
          <w:rFonts w:ascii="Cambria" w:hAnsi="Cambria"/>
          <w:sz w:val="22"/>
          <w:lang w:val="en-US"/>
        </w:rPr>
        <w:t xml:space="preserve">confirmed and </w:t>
      </w:r>
      <w:r w:rsidR="00142FC2" w:rsidRPr="000B14B8">
        <w:rPr>
          <w:rFonts w:ascii="Cambria" w:hAnsi="Cambria"/>
          <w:sz w:val="22"/>
          <w:lang w:val="en-US"/>
        </w:rPr>
        <w:t xml:space="preserve">reinforced by </w:t>
      </w:r>
      <w:r w:rsidR="005D7296" w:rsidRPr="000B14B8">
        <w:rPr>
          <w:rFonts w:ascii="Cambria" w:hAnsi="Cambria"/>
          <w:sz w:val="22"/>
          <w:lang w:val="en-US"/>
        </w:rPr>
        <w:t xml:space="preserve">the </w:t>
      </w:r>
      <w:r w:rsidR="00065F9B">
        <w:rPr>
          <w:rFonts w:ascii="Cambria" w:hAnsi="Cambria"/>
          <w:sz w:val="22"/>
          <w:lang w:val="en-US"/>
        </w:rPr>
        <w:t>CJEU</w:t>
      </w:r>
      <w:r w:rsidR="005D7296" w:rsidRPr="000B14B8">
        <w:rPr>
          <w:rFonts w:ascii="Cambria" w:hAnsi="Cambria"/>
          <w:sz w:val="22"/>
          <w:lang w:val="en-US"/>
        </w:rPr>
        <w:t xml:space="preserve">, most notably, in the </w:t>
      </w:r>
      <w:proofErr w:type="spellStart"/>
      <w:r w:rsidR="005D7296" w:rsidRPr="000B14B8">
        <w:rPr>
          <w:rFonts w:ascii="Cambria" w:hAnsi="Cambria"/>
          <w:i/>
          <w:sz w:val="22"/>
          <w:lang w:val="en-US"/>
        </w:rPr>
        <w:t>Defrenne</w:t>
      </w:r>
      <w:proofErr w:type="spellEnd"/>
      <w:r w:rsidR="00F9607B">
        <w:rPr>
          <w:rFonts w:ascii="Cambria" w:hAnsi="Cambria"/>
          <w:sz w:val="22"/>
          <w:lang w:val="en-US"/>
        </w:rPr>
        <w:t xml:space="preserve"> </w:t>
      </w:r>
      <w:r w:rsidR="005D7296" w:rsidRPr="000B14B8">
        <w:rPr>
          <w:rFonts w:ascii="Cambria" w:hAnsi="Cambria"/>
          <w:sz w:val="22"/>
          <w:lang w:val="en-US"/>
        </w:rPr>
        <w:t>decision of 1976</w:t>
      </w:r>
      <w:r w:rsidR="003C6961" w:rsidRPr="000B14B8">
        <w:rPr>
          <w:rFonts w:ascii="Cambria" w:hAnsi="Cambria"/>
          <w:sz w:val="22"/>
          <w:lang w:val="en-US"/>
        </w:rPr>
        <w:t xml:space="preserve">. </w:t>
      </w:r>
      <w:r w:rsidR="0057476A" w:rsidRPr="000B14B8">
        <w:rPr>
          <w:rFonts w:ascii="Cambria" w:hAnsi="Cambria"/>
          <w:sz w:val="22"/>
          <w:lang w:val="en-US"/>
        </w:rPr>
        <w:t xml:space="preserve">The case </w:t>
      </w:r>
      <w:r w:rsidR="007C6767" w:rsidRPr="000B14B8">
        <w:rPr>
          <w:rFonts w:ascii="Cambria" w:hAnsi="Cambria"/>
          <w:sz w:val="22"/>
          <w:lang w:val="en-US"/>
        </w:rPr>
        <w:t>dealt with article 119 EEC on equal pay for men and women (now article 157 TFEU)</w:t>
      </w:r>
      <w:r w:rsidR="003C6961" w:rsidRPr="000B14B8">
        <w:rPr>
          <w:rFonts w:ascii="Cambria" w:hAnsi="Cambria"/>
          <w:sz w:val="22"/>
          <w:lang w:val="en-US"/>
        </w:rPr>
        <w:t xml:space="preserve">, </w:t>
      </w:r>
      <w:r w:rsidR="00F9607B">
        <w:rPr>
          <w:rFonts w:ascii="Cambria" w:hAnsi="Cambria"/>
          <w:sz w:val="22"/>
          <w:lang w:val="en-US"/>
        </w:rPr>
        <w:t>a</w:t>
      </w:r>
      <w:r w:rsidR="003C6961" w:rsidRPr="000B14B8">
        <w:rPr>
          <w:rFonts w:ascii="Cambria" w:hAnsi="Cambria"/>
          <w:sz w:val="22"/>
          <w:lang w:val="en-US"/>
        </w:rPr>
        <w:t xml:space="preserve"> provision</w:t>
      </w:r>
      <w:r w:rsidR="00F9607B">
        <w:rPr>
          <w:rFonts w:ascii="Cambria" w:hAnsi="Cambria"/>
          <w:sz w:val="22"/>
          <w:lang w:val="en-US"/>
        </w:rPr>
        <w:t xml:space="preserve"> which</w:t>
      </w:r>
      <w:r w:rsidR="003C6961" w:rsidRPr="000B14B8">
        <w:rPr>
          <w:rFonts w:ascii="Cambria" w:hAnsi="Cambria"/>
          <w:sz w:val="22"/>
          <w:lang w:val="en-US"/>
        </w:rPr>
        <w:t>, a</w:t>
      </w:r>
      <w:r w:rsidR="007C6767" w:rsidRPr="000B14B8">
        <w:rPr>
          <w:rFonts w:ascii="Cambria" w:hAnsi="Cambria"/>
          <w:sz w:val="22"/>
          <w:lang w:val="en-US"/>
        </w:rPr>
        <w:t>ccording to the Court</w:t>
      </w:r>
      <w:r w:rsidR="003C6961" w:rsidRPr="000B14B8">
        <w:rPr>
          <w:rFonts w:ascii="Cambria" w:hAnsi="Cambria"/>
          <w:sz w:val="22"/>
          <w:lang w:val="en-US"/>
        </w:rPr>
        <w:t>, ‘</w:t>
      </w:r>
      <w:r w:rsidR="005D7296" w:rsidRPr="000B14B8">
        <w:rPr>
          <w:rFonts w:ascii="Cambria" w:hAnsi="Cambria"/>
          <w:sz w:val="22"/>
        </w:rPr>
        <w:t>forms part of the social objectives of the Community, which is not merely an economic union, but is at the same time intended, by common action, to ensure social progress and seek the constant improvement of the living and working conditions of their peoples</w:t>
      </w:r>
      <w:r w:rsidR="007C6767" w:rsidRPr="000B14B8">
        <w:rPr>
          <w:rFonts w:ascii="Cambria" w:hAnsi="Cambria"/>
          <w:sz w:val="22"/>
        </w:rPr>
        <w:t>’.</w:t>
      </w:r>
      <w:r w:rsidR="00024641" w:rsidRPr="000B14B8">
        <w:rPr>
          <w:rStyle w:val="Voetnootmarkering"/>
          <w:rFonts w:ascii="Cambria" w:hAnsi="Cambria"/>
          <w:sz w:val="22"/>
        </w:rPr>
        <w:footnoteReference w:id="33"/>
      </w:r>
      <w:r w:rsidR="007C6767" w:rsidRPr="000B14B8">
        <w:rPr>
          <w:rFonts w:ascii="Cambria" w:hAnsi="Cambria"/>
          <w:sz w:val="22"/>
        </w:rPr>
        <w:t xml:space="preserve"> </w:t>
      </w:r>
      <w:r w:rsidR="00D768C2" w:rsidRPr="008921EE">
        <w:rPr>
          <w:rFonts w:ascii="Cambria" w:hAnsi="Cambria"/>
          <w:sz w:val="22"/>
        </w:rPr>
        <w:t xml:space="preserve">With the </w:t>
      </w:r>
      <w:r w:rsidR="004E6604" w:rsidRPr="001E3E67">
        <w:rPr>
          <w:rFonts w:ascii="Cambria" w:hAnsi="Cambria"/>
          <w:sz w:val="22"/>
        </w:rPr>
        <w:t xml:space="preserve">successive Treaty reforms </w:t>
      </w:r>
      <w:r w:rsidR="005B30AF" w:rsidRPr="001E3E67">
        <w:rPr>
          <w:rFonts w:ascii="Cambria" w:hAnsi="Cambria"/>
          <w:sz w:val="22"/>
        </w:rPr>
        <w:t xml:space="preserve">the </w:t>
      </w:r>
      <w:r w:rsidR="004D614E" w:rsidRPr="001E3E67">
        <w:rPr>
          <w:rFonts w:ascii="Cambria" w:hAnsi="Cambria"/>
          <w:sz w:val="22"/>
        </w:rPr>
        <w:t xml:space="preserve">initial </w:t>
      </w:r>
      <w:r w:rsidR="005B30AF" w:rsidRPr="001E3E67">
        <w:rPr>
          <w:rFonts w:ascii="Cambria" w:hAnsi="Cambria"/>
          <w:sz w:val="22"/>
        </w:rPr>
        <w:t>social object</w:t>
      </w:r>
      <w:r w:rsidR="004D614E" w:rsidRPr="000B14B8">
        <w:rPr>
          <w:rFonts w:ascii="Cambria" w:hAnsi="Cambria"/>
          <w:sz w:val="22"/>
        </w:rPr>
        <w:t xml:space="preserve">ives and tasks of, what is now, </w:t>
      </w:r>
      <w:r w:rsidR="005B30AF" w:rsidRPr="000B14B8">
        <w:rPr>
          <w:rFonts w:ascii="Cambria" w:hAnsi="Cambria"/>
          <w:sz w:val="22"/>
        </w:rPr>
        <w:t xml:space="preserve">the Union have been formulated more boldly. The </w:t>
      </w:r>
      <w:r w:rsidR="000C39FA">
        <w:rPr>
          <w:rFonts w:ascii="Cambria" w:hAnsi="Cambria"/>
          <w:sz w:val="22"/>
        </w:rPr>
        <w:t>M</w:t>
      </w:r>
      <w:r w:rsidR="005B30AF" w:rsidRPr="000B14B8">
        <w:rPr>
          <w:rFonts w:ascii="Cambria" w:hAnsi="Cambria"/>
          <w:sz w:val="22"/>
        </w:rPr>
        <w:t>ember</w:t>
      </w:r>
      <w:r w:rsidR="000C39FA">
        <w:rPr>
          <w:rFonts w:ascii="Cambria" w:hAnsi="Cambria"/>
          <w:sz w:val="22"/>
        </w:rPr>
        <w:t xml:space="preserve"> S</w:t>
      </w:r>
      <w:r w:rsidR="005B30AF" w:rsidRPr="000B14B8">
        <w:rPr>
          <w:rFonts w:ascii="Cambria" w:hAnsi="Cambria"/>
          <w:sz w:val="22"/>
        </w:rPr>
        <w:t>tates managed to write the commitment to create a European social market economy into the hard letter of article 3(3) TEU</w:t>
      </w:r>
      <w:r w:rsidR="00DB7C24" w:rsidRPr="000B14B8">
        <w:rPr>
          <w:rFonts w:ascii="Cambria" w:hAnsi="Cambria"/>
          <w:sz w:val="22"/>
        </w:rPr>
        <w:t xml:space="preserve">, including the aims </w:t>
      </w:r>
      <w:r w:rsidR="00784A2F">
        <w:rPr>
          <w:rFonts w:ascii="Cambria" w:hAnsi="Cambria"/>
          <w:sz w:val="22"/>
        </w:rPr>
        <w:t>of</w:t>
      </w:r>
      <w:r w:rsidR="00DB7C24" w:rsidRPr="000B14B8">
        <w:rPr>
          <w:rFonts w:ascii="Cambria" w:hAnsi="Cambria"/>
          <w:sz w:val="22"/>
        </w:rPr>
        <w:t xml:space="preserve"> promot</w:t>
      </w:r>
      <w:r w:rsidR="00784A2F">
        <w:rPr>
          <w:rFonts w:ascii="Cambria" w:hAnsi="Cambria"/>
          <w:sz w:val="22"/>
        </w:rPr>
        <w:t>ing</w:t>
      </w:r>
      <w:r w:rsidR="00DB7C24" w:rsidRPr="000B14B8">
        <w:rPr>
          <w:rFonts w:ascii="Cambria" w:hAnsi="Cambria"/>
          <w:sz w:val="22"/>
        </w:rPr>
        <w:t xml:space="preserve"> social justice and protection. </w:t>
      </w:r>
    </w:p>
    <w:p w:rsidR="004D614E" w:rsidRPr="000B14B8" w:rsidRDefault="004D614E" w:rsidP="00DB7C24">
      <w:pPr>
        <w:spacing w:after="0" w:line="240" w:lineRule="auto"/>
        <w:jc w:val="both"/>
        <w:rPr>
          <w:rFonts w:ascii="Cambria" w:hAnsi="Cambria"/>
          <w:sz w:val="22"/>
        </w:rPr>
      </w:pPr>
    </w:p>
    <w:p w:rsidR="00AC4CE6" w:rsidRPr="000B14B8" w:rsidRDefault="0091692B" w:rsidP="00AC4CE6">
      <w:pPr>
        <w:spacing w:after="0" w:line="240" w:lineRule="auto"/>
        <w:jc w:val="both"/>
        <w:rPr>
          <w:rFonts w:ascii="Cambria" w:hAnsi="Cambria"/>
          <w:sz w:val="22"/>
        </w:rPr>
      </w:pPr>
      <w:r w:rsidRPr="000B14B8">
        <w:rPr>
          <w:rFonts w:ascii="Cambria" w:hAnsi="Cambria"/>
          <w:sz w:val="22"/>
        </w:rPr>
        <w:t>To conclude, s</w:t>
      </w:r>
      <w:r w:rsidR="00AA1FA3" w:rsidRPr="000B14B8">
        <w:rPr>
          <w:rFonts w:ascii="Cambria" w:hAnsi="Cambria"/>
          <w:sz w:val="22"/>
        </w:rPr>
        <w:t xml:space="preserve">ocial values </w:t>
      </w:r>
      <w:r w:rsidRPr="000B14B8">
        <w:rPr>
          <w:rFonts w:ascii="Cambria" w:hAnsi="Cambria"/>
          <w:sz w:val="22"/>
        </w:rPr>
        <w:t xml:space="preserve">had and still have their </w:t>
      </w:r>
      <w:r w:rsidR="00B403C2" w:rsidRPr="000B14B8">
        <w:rPr>
          <w:rFonts w:ascii="Cambria" w:hAnsi="Cambria"/>
          <w:sz w:val="22"/>
        </w:rPr>
        <w:t xml:space="preserve">formal </w:t>
      </w:r>
      <w:r w:rsidRPr="000B14B8">
        <w:rPr>
          <w:rFonts w:ascii="Cambria" w:hAnsi="Cambria"/>
          <w:sz w:val="22"/>
        </w:rPr>
        <w:t xml:space="preserve">place </w:t>
      </w:r>
      <w:r w:rsidR="00FA08A1" w:rsidRPr="000B14B8">
        <w:rPr>
          <w:rFonts w:ascii="Cambria" w:hAnsi="Cambria"/>
          <w:sz w:val="22"/>
        </w:rPr>
        <w:t xml:space="preserve">within the </w:t>
      </w:r>
      <w:r w:rsidRPr="000B14B8">
        <w:rPr>
          <w:rFonts w:ascii="Cambria" w:hAnsi="Cambria"/>
          <w:sz w:val="22"/>
        </w:rPr>
        <w:t xml:space="preserve">objectives of the European Union. Whether they </w:t>
      </w:r>
      <w:r w:rsidR="000E0BC1" w:rsidRPr="000B14B8">
        <w:rPr>
          <w:rFonts w:ascii="Cambria" w:hAnsi="Cambria"/>
          <w:sz w:val="22"/>
        </w:rPr>
        <w:t>could be</w:t>
      </w:r>
      <w:r w:rsidR="000C39FA">
        <w:rPr>
          <w:rFonts w:ascii="Cambria" w:hAnsi="Cambria"/>
          <w:sz w:val="22"/>
        </w:rPr>
        <w:t xml:space="preserve"> properly</w:t>
      </w:r>
      <w:r w:rsidR="000E0BC1" w:rsidRPr="000B14B8">
        <w:rPr>
          <w:rFonts w:ascii="Cambria" w:hAnsi="Cambria"/>
          <w:sz w:val="22"/>
        </w:rPr>
        <w:t xml:space="preserve"> </w:t>
      </w:r>
      <w:r w:rsidR="00FA08A1" w:rsidRPr="000B14B8">
        <w:rPr>
          <w:rFonts w:ascii="Cambria" w:hAnsi="Cambria"/>
          <w:sz w:val="22"/>
        </w:rPr>
        <w:t xml:space="preserve">implemented will be addressed in the </w:t>
      </w:r>
      <w:r w:rsidR="00B403C2" w:rsidRPr="000B14B8">
        <w:rPr>
          <w:rFonts w:ascii="Cambria" w:hAnsi="Cambria"/>
          <w:sz w:val="22"/>
        </w:rPr>
        <w:t>next section</w:t>
      </w:r>
      <w:r w:rsidR="00FA08A1" w:rsidRPr="000B14B8">
        <w:rPr>
          <w:rFonts w:ascii="Cambria" w:hAnsi="Cambria"/>
          <w:sz w:val="22"/>
        </w:rPr>
        <w:t>. A</w:t>
      </w:r>
      <w:r w:rsidR="004126B0" w:rsidRPr="000B14B8">
        <w:rPr>
          <w:rFonts w:ascii="Cambria" w:hAnsi="Cambria"/>
          <w:sz w:val="22"/>
        </w:rPr>
        <w:t xml:space="preserve">t this instance, however, it is </w:t>
      </w:r>
      <w:r w:rsidR="00FA08A1" w:rsidRPr="000B14B8">
        <w:rPr>
          <w:rFonts w:ascii="Cambria" w:hAnsi="Cambria"/>
          <w:sz w:val="22"/>
        </w:rPr>
        <w:t xml:space="preserve">important to recall that in the field </w:t>
      </w:r>
      <w:r w:rsidR="007C26E1" w:rsidRPr="000B14B8">
        <w:rPr>
          <w:rFonts w:ascii="Cambria" w:hAnsi="Cambria"/>
          <w:sz w:val="22"/>
        </w:rPr>
        <w:t xml:space="preserve">of </w:t>
      </w:r>
      <w:r w:rsidR="004D614E" w:rsidRPr="000B14B8">
        <w:rPr>
          <w:rFonts w:ascii="Cambria" w:hAnsi="Cambria"/>
          <w:sz w:val="22"/>
        </w:rPr>
        <w:t>workers</w:t>
      </w:r>
      <w:r w:rsidR="00FA08A1" w:rsidRPr="000B14B8">
        <w:rPr>
          <w:rFonts w:ascii="Cambria" w:hAnsi="Cambria"/>
          <w:sz w:val="22"/>
        </w:rPr>
        <w:t>’</w:t>
      </w:r>
      <w:r w:rsidR="004D614E" w:rsidRPr="000B14B8">
        <w:rPr>
          <w:rFonts w:ascii="Cambria" w:hAnsi="Cambria"/>
          <w:sz w:val="22"/>
        </w:rPr>
        <w:t xml:space="preserve"> protection</w:t>
      </w:r>
      <w:r w:rsidR="00FA08A1" w:rsidRPr="000B14B8">
        <w:rPr>
          <w:rFonts w:ascii="Cambria" w:hAnsi="Cambria"/>
          <w:sz w:val="22"/>
        </w:rPr>
        <w:t>,</w:t>
      </w:r>
      <w:r w:rsidR="004D614E" w:rsidRPr="000B14B8">
        <w:rPr>
          <w:rFonts w:ascii="Cambria" w:hAnsi="Cambria"/>
          <w:sz w:val="22"/>
        </w:rPr>
        <w:t xml:space="preserve"> </w:t>
      </w:r>
      <w:r w:rsidR="00784A2F">
        <w:rPr>
          <w:rFonts w:ascii="Cambria" w:hAnsi="Cambria"/>
          <w:sz w:val="22"/>
        </w:rPr>
        <w:t xml:space="preserve">the </w:t>
      </w:r>
      <w:r w:rsidR="00FA08A1" w:rsidRPr="000B14B8">
        <w:rPr>
          <w:rFonts w:ascii="Cambria" w:hAnsi="Cambria"/>
          <w:sz w:val="22"/>
        </w:rPr>
        <w:t xml:space="preserve">regulation of industrial relations at the national level commonly </w:t>
      </w:r>
      <w:r w:rsidR="000E0BC1" w:rsidRPr="000B14B8">
        <w:rPr>
          <w:rFonts w:ascii="Cambria" w:hAnsi="Cambria"/>
          <w:sz w:val="22"/>
        </w:rPr>
        <w:t xml:space="preserve">makes </w:t>
      </w:r>
      <w:r w:rsidR="00FA08A1" w:rsidRPr="000B14B8">
        <w:rPr>
          <w:rFonts w:ascii="Cambria" w:hAnsi="Cambria"/>
          <w:sz w:val="22"/>
        </w:rPr>
        <w:t xml:space="preserve">use of instruments guaranteeing </w:t>
      </w:r>
      <w:r w:rsidR="00B403C2" w:rsidRPr="000B14B8">
        <w:rPr>
          <w:rFonts w:ascii="Cambria" w:hAnsi="Cambria"/>
          <w:sz w:val="22"/>
        </w:rPr>
        <w:t xml:space="preserve">the </w:t>
      </w:r>
      <w:r w:rsidR="00F01C38" w:rsidRPr="000B14B8">
        <w:rPr>
          <w:rFonts w:ascii="Cambria" w:hAnsi="Cambria"/>
          <w:sz w:val="22"/>
        </w:rPr>
        <w:t>freedoms of</w:t>
      </w:r>
      <w:r w:rsidR="00B403C2" w:rsidRPr="000B14B8">
        <w:rPr>
          <w:rFonts w:ascii="Cambria" w:hAnsi="Cambria"/>
          <w:sz w:val="22"/>
        </w:rPr>
        <w:t xml:space="preserve"> association, collective bargaining and</w:t>
      </w:r>
      <w:r w:rsidR="00784A2F">
        <w:rPr>
          <w:rFonts w:ascii="Cambria" w:hAnsi="Cambria"/>
          <w:sz w:val="22"/>
        </w:rPr>
        <w:t xml:space="preserve"> the right to</w:t>
      </w:r>
      <w:r w:rsidR="00B403C2" w:rsidRPr="000B14B8">
        <w:rPr>
          <w:rFonts w:ascii="Cambria" w:hAnsi="Cambria"/>
          <w:sz w:val="22"/>
        </w:rPr>
        <w:t xml:space="preserve"> strike (see supra)</w:t>
      </w:r>
      <w:r w:rsidR="00F01C38" w:rsidRPr="000B14B8">
        <w:rPr>
          <w:rFonts w:ascii="Cambria" w:hAnsi="Cambria"/>
          <w:sz w:val="22"/>
        </w:rPr>
        <w:t xml:space="preserve">. After initially being developed and promoted as international labour standards by the ILO, these </w:t>
      </w:r>
      <w:r w:rsidR="00B81F12" w:rsidRPr="000B14B8">
        <w:rPr>
          <w:rFonts w:ascii="Cambria" w:hAnsi="Cambria"/>
          <w:sz w:val="22"/>
        </w:rPr>
        <w:t xml:space="preserve">‘social’ fundamental </w:t>
      </w:r>
      <w:r w:rsidR="00F01C38" w:rsidRPr="000B14B8">
        <w:rPr>
          <w:rFonts w:ascii="Cambria" w:hAnsi="Cambria"/>
          <w:sz w:val="22"/>
        </w:rPr>
        <w:t xml:space="preserve">rights found their way into international and European human rights documents in the 1960s </w:t>
      </w:r>
      <w:r w:rsidR="00641846" w:rsidRPr="000B14B8">
        <w:rPr>
          <w:rFonts w:ascii="Cambria" w:hAnsi="Cambria"/>
          <w:sz w:val="22"/>
        </w:rPr>
        <w:t xml:space="preserve">and, eventually, </w:t>
      </w:r>
      <w:r w:rsidR="00F01C38" w:rsidRPr="000B14B8">
        <w:rPr>
          <w:rFonts w:ascii="Cambria" w:hAnsi="Cambria"/>
          <w:sz w:val="22"/>
        </w:rPr>
        <w:t>also into European Community law.</w:t>
      </w:r>
      <w:r w:rsidR="007C26E1" w:rsidRPr="000B14B8">
        <w:rPr>
          <w:rFonts w:ascii="Cambria" w:hAnsi="Cambria"/>
          <w:sz w:val="22"/>
        </w:rPr>
        <w:t xml:space="preserve"> Whereas in </w:t>
      </w:r>
      <w:r w:rsidR="00AC4CE6" w:rsidRPr="000B14B8">
        <w:rPr>
          <w:rFonts w:ascii="Cambria" w:hAnsi="Cambria"/>
          <w:i/>
          <w:sz w:val="22"/>
        </w:rPr>
        <w:t>Def</w:t>
      </w:r>
      <w:r w:rsidR="007C26E1" w:rsidRPr="000B14B8">
        <w:rPr>
          <w:rFonts w:ascii="Cambria" w:hAnsi="Cambria"/>
          <w:i/>
          <w:sz w:val="22"/>
        </w:rPr>
        <w:t xml:space="preserve">renne </w:t>
      </w:r>
      <w:r w:rsidR="007C26E1" w:rsidRPr="000B14B8">
        <w:rPr>
          <w:rFonts w:ascii="Cambria" w:hAnsi="Cambria"/>
          <w:sz w:val="22"/>
        </w:rPr>
        <w:t xml:space="preserve">the principle of equal pay was already </w:t>
      </w:r>
      <w:r w:rsidR="00672797" w:rsidRPr="000B14B8">
        <w:rPr>
          <w:rFonts w:ascii="Cambria" w:hAnsi="Cambria"/>
          <w:sz w:val="22"/>
        </w:rPr>
        <w:t xml:space="preserve">considered to be part of ‘the foundations of the Community’, the Court </w:t>
      </w:r>
      <w:r w:rsidR="00AC4CE6" w:rsidRPr="008921EE">
        <w:rPr>
          <w:rFonts w:ascii="Cambria" w:hAnsi="Cambria"/>
          <w:sz w:val="22"/>
        </w:rPr>
        <w:t>came to recognise fundamental human</w:t>
      </w:r>
      <w:r w:rsidR="00AC4CE6" w:rsidRPr="001E3E67">
        <w:rPr>
          <w:rFonts w:ascii="Cambria" w:hAnsi="Cambria"/>
          <w:sz w:val="22"/>
        </w:rPr>
        <w:t xml:space="preserve"> rights, even though not explicitly expressed in the Treaty, as general principles protected in the Community legal order.</w:t>
      </w:r>
      <w:r w:rsidR="000E0BC1" w:rsidRPr="000B14B8">
        <w:rPr>
          <w:rStyle w:val="Voetnootmarkering"/>
          <w:rFonts w:ascii="Cambria" w:hAnsi="Cambria"/>
          <w:sz w:val="22"/>
        </w:rPr>
        <w:footnoteReference w:id="34"/>
      </w:r>
      <w:r w:rsidR="007019C7" w:rsidRPr="000B14B8">
        <w:rPr>
          <w:rFonts w:ascii="Cambria" w:hAnsi="Cambria"/>
          <w:sz w:val="22"/>
        </w:rPr>
        <w:t xml:space="preserve"> These</w:t>
      </w:r>
      <w:r w:rsidR="000E0BC1" w:rsidRPr="008921EE">
        <w:rPr>
          <w:rFonts w:ascii="Cambria" w:hAnsi="Cambria"/>
          <w:sz w:val="22"/>
        </w:rPr>
        <w:t xml:space="preserve"> </w:t>
      </w:r>
      <w:r w:rsidR="007019C7" w:rsidRPr="001E3E67">
        <w:rPr>
          <w:rFonts w:ascii="Cambria" w:hAnsi="Cambria"/>
          <w:sz w:val="22"/>
        </w:rPr>
        <w:t xml:space="preserve">principles </w:t>
      </w:r>
      <w:r w:rsidR="00AC4CE6" w:rsidRPr="001E3E67">
        <w:rPr>
          <w:rFonts w:ascii="Cambria" w:hAnsi="Cambria"/>
          <w:sz w:val="22"/>
        </w:rPr>
        <w:t>included the rights of association, collective bargaining and</w:t>
      </w:r>
      <w:r w:rsidR="00784A2F">
        <w:rPr>
          <w:rFonts w:ascii="Cambria" w:hAnsi="Cambria"/>
          <w:sz w:val="22"/>
        </w:rPr>
        <w:t xml:space="preserve"> to</w:t>
      </w:r>
      <w:r w:rsidR="00AC4CE6" w:rsidRPr="001E3E67">
        <w:rPr>
          <w:rFonts w:ascii="Cambria" w:hAnsi="Cambria"/>
          <w:sz w:val="22"/>
        </w:rPr>
        <w:t xml:space="preserve"> strike,</w:t>
      </w:r>
      <w:r w:rsidR="00AC4CE6" w:rsidRPr="000B14B8">
        <w:rPr>
          <w:rStyle w:val="Voetnootmarkering"/>
          <w:rFonts w:ascii="Cambria" w:hAnsi="Cambria"/>
          <w:sz w:val="22"/>
        </w:rPr>
        <w:footnoteReference w:id="35"/>
      </w:r>
      <w:r w:rsidR="00AC4CE6" w:rsidRPr="000B14B8">
        <w:rPr>
          <w:rFonts w:ascii="Cambria" w:hAnsi="Cambria"/>
          <w:sz w:val="22"/>
        </w:rPr>
        <w:t xml:space="preserve"> now </w:t>
      </w:r>
      <w:r w:rsidR="00641846" w:rsidRPr="008921EE">
        <w:rPr>
          <w:rFonts w:ascii="Cambria" w:hAnsi="Cambria"/>
          <w:sz w:val="22"/>
        </w:rPr>
        <w:t xml:space="preserve">all </w:t>
      </w:r>
      <w:r w:rsidR="007019C7" w:rsidRPr="001E3E67">
        <w:rPr>
          <w:rFonts w:ascii="Cambria" w:hAnsi="Cambria"/>
          <w:sz w:val="22"/>
        </w:rPr>
        <w:t xml:space="preserve">inserted in </w:t>
      </w:r>
      <w:r w:rsidR="00AC4CE6" w:rsidRPr="001E3E67">
        <w:rPr>
          <w:rFonts w:ascii="Cambria" w:hAnsi="Cambria"/>
          <w:sz w:val="22"/>
        </w:rPr>
        <w:t>the EU Charter.</w:t>
      </w:r>
      <w:r w:rsidR="00641846" w:rsidRPr="000B14B8">
        <w:rPr>
          <w:rStyle w:val="Voetnootmarkering"/>
          <w:rFonts w:ascii="Cambria" w:hAnsi="Cambria"/>
          <w:sz w:val="22"/>
        </w:rPr>
        <w:footnoteReference w:id="36"/>
      </w:r>
      <w:r w:rsidR="004F100D" w:rsidRPr="000B14B8">
        <w:rPr>
          <w:rFonts w:ascii="Cambria" w:hAnsi="Cambria"/>
          <w:sz w:val="22"/>
        </w:rPr>
        <w:t xml:space="preserve"> While s</w:t>
      </w:r>
      <w:r w:rsidR="004F100D" w:rsidRPr="008921EE">
        <w:rPr>
          <w:rFonts w:ascii="Cambria" w:hAnsi="Cambria"/>
          <w:sz w:val="22"/>
        </w:rPr>
        <w:t xml:space="preserve">ocial progress and protection </w:t>
      </w:r>
      <w:r w:rsidR="00597504" w:rsidRPr="001E3E67">
        <w:rPr>
          <w:rFonts w:ascii="Cambria" w:hAnsi="Cambria"/>
          <w:sz w:val="22"/>
        </w:rPr>
        <w:t xml:space="preserve">are substantive goals of the Union, it turns out that vital </w:t>
      </w:r>
      <w:r w:rsidR="009D29F4" w:rsidRPr="001E3E67">
        <w:rPr>
          <w:rFonts w:ascii="Cambria" w:hAnsi="Cambria"/>
          <w:sz w:val="22"/>
        </w:rPr>
        <w:t xml:space="preserve">rights applied and protected </w:t>
      </w:r>
      <w:r w:rsidR="00597504" w:rsidRPr="001E3E67">
        <w:rPr>
          <w:rFonts w:ascii="Cambria" w:hAnsi="Cambria"/>
          <w:sz w:val="22"/>
        </w:rPr>
        <w:t xml:space="preserve">at </w:t>
      </w:r>
      <w:r w:rsidR="00784A2F">
        <w:rPr>
          <w:rFonts w:ascii="Cambria" w:hAnsi="Cambria"/>
          <w:sz w:val="22"/>
        </w:rPr>
        <w:t xml:space="preserve">the </w:t>
      </w:r>
      <w:r w:rsidR="00597504" w:rsidRPr="001E3E67">
        <w:rPr>
          <w:rFonts w:ascii="Cambria" w:hAnsi="Cambria"/>
          <w:sz w:val="22"/>
        </w:rPr>
        <w:t xml:space="preserve">national level to this end, enjoy </w:t>
      </w:r>
      <w:r w:rsidR="00597504" w:rsidRPr="000B14B8">
        <w:rPr>
          <w:rFonts w:ascii="Cambria" w:hAnsi="Cambria"/>
          <w:sz w:val="22"/>
        </w:rPr>
        <w:t xml:space="preserve">respect as human rights by the Union’s legal order. Whether </w:t>
      </w:r>
      <w:r w:rsidR="009D29F4" w:rsidRPr="000B14B8">
        <w:rPr>
          <w:rFonts w:ascii="Cambria" w:hAnsi="Cambria"/>
          <w:sz w:val="22"/>
        </w:rPr>
        <w:t>the Charter repositions the balance of economic and social freedoms at</w:t>
      </w:r>
      <w:r w:rsidR="00784A2F">
        <w:rPr>
          <w:rFonts w:ascii="Cambria" w:hAnsi="Cambria"/>
          <w:sz w:val="22"/>
        </w:rPr>
        <w:t xml:space="preserve"> the</w:t>
      </w:r>
      <w:r w:rsidR="009D29F4" w:rsidRPr="000B14B8">
        <w:rPr>
          <w:rFonts w:ascii="Cambria" w:hAnsi="Cambria"/>
          <w:sz w:val="22"/>
        </w:rPr>
        <w:t xml:space="preserve"> European level will be elaborated later on. </w:t>
      </w:r>
    </w:p>
    <w:p w:rsidR="00596EDA" w:rsidRPr="000B14B8" w:rsidRDefault="00596EDA" w:rsidP="00596EDA">
      <w:pPr>
        <w:spacing w:after="0" w:line="240" w:lineRule="auto"/>
        <w:jc w:val="both"/>
        <w:rPr>
          <w:rFonts w:ascii="Cambria" w:hAnsi="Cambria"/>
          <w:b/>
          <w:sz w:val="22"/>
          <w:lang w:val="en-US"/>
        </w:rPr>
      </w:pPr>
    </w:p>
    <w:p w:rsidR="00190E36" w:rsidRPr="000B14B8" w:rsidRDefault="00190E36" w:rsidP="00596EDA">
      <w:pPr>
        <w:spacing w:after="0" w:line="240" w:lineRule="auto"/>
        <w:jc w:val="both"/>
        <w:rPr>
          <w:rFonts w:ascii="Cambria" w:hAnsi="Cambria"/>
          <w:b/>
          <w:sz w:val="22"/>
          <w:lang w:val="en-US"/>
        </w:rPr>
      </w:pPr>
    </w:p>
    <w:p w:rsidR="007D186A" w:rsidRPr="000B14B8" w:rsidRDefault="00845290" w:rsidP="00190E36">
      <w:pPr>
        <w:ind w:left="708" w:hanging="708"/>
        <w:rPr>
          <w:rFonts w:ascii="Cambria" w:hAnsi="Cambria"/>
          <w:b/>
          <w:sz w:val="22"/>
          <w:lang w:val="en-US"/>
        </w:rPr>
      </w:pPr>
      <w:r w:rsidRPr="00845290">
        <w:rPr>
          <w:rFonts w:ascii="Cambria" w:hAnsi="Cambria"/>
          <w:b/>
          <w:sz w:val="22"/>
          <w:lang w:val="en-US"/>
        </w:rPr>
        <w:t>3</w:t>
      </w:r>
      <w:r w:rsidRPr="00845290">
        <w:rPr>
          <w:rFonts w:ascii="Cambria" w:hAnsi="Cambria"/>
          <w:b/>
          <w:sz w:val="22"/>
          <w:lang w:val="en-US"/>
        </w:rPr>
        <w:tab/>
        <w:t xml:space="preserve">Institutional impediments for </w:t>
      </w:r>
      <w:r w:rsidR="00784A2F">
        <w:rPr>
          <w:rFonts w:ascii="Cambria" w:hAnsi="Cambria"/>
          <w:b/>
          <w:sz w:val="22"/>
          <w:lang w:val="en-US"/>
        </w:rPr>
        <w:t xml:space="preserve">the </w:t>
      </w:r>
      <w:r w:rsidRPr="00845290">
        <w:rPr>
          <w:rFonts w:ascii="Cambria" w:hAnsi="Cambria"/>
          <w:b/>
          <w:sz w:val="22"/>
          <w:lang w:val="en-US"/>
        </w:rPr>
        <w:t>reconciliation and</w:t>
      </w:r>
      <w:r w:rsidR="00784A2F">
        <w:rPr>
          <w:rFonts w:ascii="Cambria" w:hAnsi="Cambria"/>
          <w:b/>
          <w:sz w:val="22"/>
          <w:lang w:val="en-US"/>
        </w:rPr>
        <w:t xml:space="preserve"> </w:t>
      </w:r>
      <w:r w:rsidRPr="00845290">
        <w:rPr>
          <w:rFonts w:ascii="Cambria" w:hAnsi="Cambria"/>
          <w:b/>
          <w:sz w:val="22"/>
          <w:lang w:val="en-US"/>
        </w:rPr>
        <w:t>coherent regulation of the Union’s social and economic values</w:t>
      </w:r>
    </w:p>
    <w:p w:rsidR="007D186A" w:rsidRPr="00030460" w:rsidRDefault="00D61CDB" w:rsidP="00065F9B">
      <w:pPr>
        <w:spacing w:after="0" w:line="240" w:lineRule="auto"/>
        <w:ind w:left="1416" w:hanging="708"/>
        <w:jc w:val="both"/>
        <w:outlineLvl w:val="0"/>
        <w:rPr>
          <w:rFonts w:ascii="Cambria" w:hAnsi="Cambria"/>
          <w:sz w:val="22"/>
          <w:lang w:val="en-US"/>
        </w:rPr>
      </w:pPr>
      <w:r w:rsidRPr="00030460">
        <w:rPr>
          <w:rFonts w:ascii="Cambria" w:hAnsi="Cambria"/>
          <w:sz w:val="22"/>
          <w:lang w:val="en-US"/>
        </w:rPr>
        <w:t>3.1</w:t>
      </w:r>
      <w:r w:rsidRPr="00030460">
        <w:rPr>
          <w:rFonts w:ascii="Cambria" w:hAnsi="Cambria"/>
          <w:sz w:val="22"/>
          <w:lang w:val="en-US"/>
        </w:rPr>
        <w:tab/>
      </w:r>
      <w:r w:rsidR="007D186A" w:rsidRPr="00030460">
        <w:rPr>
          <w:rFonts w:ascii="Cambria" w:hAnsi="Cambria"/>
          <w:sz w:val="22"/>
          <w:lang w:val="en-US"/>
        </w:rPr>
        <w:t>‘Decoupling’ of the economic and social spheres</w:t>
      </w:r>
      <w:r w:rsidR="004C2CB0" w:rsidRPr="00030460">
        <w:rPr>
          <w:rFonts w:ascii="Cambria" w:hAnsi="Cambria"/>
          <w:sz w:val="22"/>
          <w:lang w:val="en-US"/>
        </w:rPr>
        <w:t xml:space="preserve"> in the formative stage </w:t>
      </w:r>
      <w:r w:rsidRPr="00030460">
        <w:rPr>
          <w:rFonts w:ascii="Cambria" w:hAnsi="Cambria"/>
          <w:sz w:val="22"/>
          <w:lang w:val="en-US"/>
        </w:rPr>
        <w:t xml:space="preserve">of the </w:t>
      </w:r>
      <w:r w:rsidR="004C2CB0" w:rsidRPr="00030460">
        <w:rPr>
          <w:rFonts w:ascii="Cambria" w:hAnsi="Cambria"/>
          <w:sz w:val="22"/>
          <w:lang w:val="en-US"/>
        </w:rPr>
        <w:t xml:space="preserve">European </w:t>
      </w:r>
      <w:r w:rsidRPr="00030460">
        <w:rPr>
          <w:rFonts w:ascii="Cambria" w:hAnsi="Cambria"/>
          <w:sz w:val="22"/>
          <w:lang w:val="en-US"/>
        </w:rPr>
        <w:t>common market</w:t>
      </w:r>
    </w:p>
    <w:p w:rsidR="004D614E" w:rsidRPr="000B14B8" w:rsidRDefault="004D614E" w:rsidP="00F01C38">
      <w:pPr>
        <w:spacing w:after="0" w:line="240" w:lineRule="auto"/>
        <w:jc w:val="both"/>
        <w:rPr>
          <w:rFonts w:ascii="Cambria" w:hAnsi="Cambria"/>
          <w:sz w:val="22"/>
        </w:rPr>
      </w:pPr>
    </w:p>
    <w:p w:rsidR="002B0CCB" w:rsidRPr="000B14B8" w:rsidRDefault="006177CC" w:rsidP="005B7506">
      <w:pPr>
        <w:spacing w:after="0" w:line="240" w:lineRule="auto"/>
        <w:jc w:val="both"/>
        <w:rPr>
          <w:rFonts w:ascii="Cambria" w:hAnsi="Cambria"/>
          <w:sz w:val="22"/>
          <w:lang w:val="en-US"/>
        </w:rPr>
      </w:pPr>
      <w:r w:rsidRPr="000B14B8">
        <w:rPr>
          <w:rFonts w:ascii="Cambria" w:hAnsi="Cambria"/>
          <w:sz w:val="22"/>
        </w:rPr>
        <w:t xml:space="preserve">Although it </w:t>
      </w:r>
      <w:r w:rsidR="00571755" w:rsidRPr="008921EE">
        <w:rPr>
          <w:rFonts w:ascii="Cambria" w:hAnsi="Cambria"/>
          <w:sz w:val="22"/>
        </w:rPr>
        <w:t xml:space="preserve">appears it </w:t>
      </w:r>
      <w:r w:rsidRPr="001E3E67">
        <w:rPr>
          <w:rFonts w:ascii="Cambria" w:hAnsi="Cambria"/>
          <w:sz w:val="22"/>
        </w:rPr>
        <w:t xml:space="preserve">was the belief of the founding fathers </w:t>
      </w:r>
      <w:r w:rsidR="006C37D2" w:rsidRPr="001E3E67">
        <w:rPr>
          <w:rFonts w:ascii="Cambria" w:hAnsi="Cambria"/>
          <w:sz w:val="22"/>
        </w:rPr>
        <w:t xml:space="preserve">of the Community </w:t>
      </w:r>
      <w:r w:rsidRPr="001E3E67">
        <w:rPr>
          <w:rFonts w:ascii="Cambria" w:hAnsi="Cambria"/>
          <w:sz w:val="22"/>
        </w:rPr>
        <w:t xml:space="preserve">that economic integration could </w:t>
      </w:r>
      <w:r w:rsidR="00571755" w:rsidRPr="001E3E67">
        <w:rPr>
          <w:rFonts w:ascii="Cambria" w:hAnsi="Cambria"/>
          <w:sz w:val="22"/>
        </w:rPr>
        <w:t xml:space="preserve">and should </w:t>
      </w:r>
      <w:r w:rsidRPr="000B14B8">
        <w:rPr>
          <w:rFonts w:ascii="Cambria" w:hAnsi="Cambria"/>
          <w:sz w:val="22"/>
        </w:rPr>
        <w:t xml:space="preserve">not go without social integration, </w:t>
      </w:r>
      <w:r w:rsidR="001C670B" w:rsidRPr="000B14B8">
        <w:rPr>
          <w:rFonts w:ascii="Cambria" w:hAnsi="Cambria"/>
          <w:sz w:val="22"/>
        </w:rPr>
        <w:t xml:space="preserve">they </w:t>
      </w:r>
      <w:r w:rsidR="00571755" w:rsidRPr="000B14B8">
        <w:rPr>
          <w:rFonts w:ascii="Cambria" w:hAnsi="Cambria"/>
          <w:sz w:val="22"/>
        </w:rPr>
        <w:t>also believed</w:t>
      </w:r>
      <w:r w:rsidR="00784A2F">
        <w:rPr>
          <w:rFonts w:ascii="Cambria" w:hAnsi="Cambria"/>
          <w:sz w:val="22"/>
        </w:rPr>
        <w:t xml:space="preserve"> that</w:t>
      </w:r>
      <w:r w:rsidR="00571755" w:rsidRPr="000B14B8">
        <w:rPr>
          <w:rFonts w:ascii="Cambria" w:hAnsi="Cambria"/>
          <w:sz w:val="22"/>
        </w:rPr>
        <w:t xml:space="preserve"> this would </w:t>
      </w:r>
      <w:r w:rsidR="00571755" w:rsidRPr="000B14B8">
        <w:rPr>
          <w:rFonts w:ascii="Cambria" w:hAnsi="Cambria"/>
          <w:sz w:val="22"/>
          <w:lang w:val="en-US"/>
        </w:rPr>
        <w:t>ensue mainly from the functioning of the common market itself.</w:t>
      </w:r>
      <w:r w:rsidR="00571755" w:rsidRPr="000B14B8">
        <w:rPr>
          <w:rStyle w:val="Voetnootmarkering"/>
          <w:rFonts w:ascii="Cambria" w:hAnsi="Cambria"/>
          <w:sz w:val="22"/>
          <w:lang w:val="en-US"/>
        </w:rPr>
        <w:footnoteReference w:id="37"/>
      </w:r>
      <w:r w:rsidR="00571755" w:rsidRPr="000B14B8">
        <w:rPr>
          <w:rFonts w:ascii="Cambria" w:hAnsi="Cambria"/>
          <w:sz w:val="22"/>
          <w:lang w:val="en-US"/>
        </w:rPr>
        <w:t xml:space="preserve"> </w:t>
      </w:r>
      <w:r w:rsidR="00F467E2" w:rsidRPr="008921EE">
        <w:rPr>
          <w:rFonts w:ascii="Cambria" w:hAnsi="Cambria"/>
          <w:sz w:val="22"/>
          <w:lang w:val="en-US"/>
        </w:rPr>
        <w:t xml:space="preserve">At first glance this seems rather naïve. </w:t>
      </w:r>
      <w:r w:rsidR="00571755" w:rsidRPr="001E3E67">
        <w:rPr>
          <w:rFonts w:ascii="Cambria" w:hAnsi="Cambria"/>
          <w:sz w:val="22"/>
          <w:lang w:val="en-US"/>
        </w:rPr>
        <w:t xml:space="preserve">Although </w:t>
      </w:r>
      <w:r w:rsidR="00F467E2" w:rsidRPr="001E3E67">
        <w:rPr>
          <w:rFonts w:ascii="Cambria" w:hAnsi="Cambria"/>
          <w:sz w:val="22"/>
          <w:lang w:val="en-US"/>
        </w:rPr>
        <w:t>competing</w:t>
      </w:r>
      <w:r w:rsidR="00571755" w:rsidRPr="001E3E67">
        <w:rPr>
          <w:rFonts w:ascii="Cambria" w:hAnsi="Cambria"/>
          <w:sz w:val="22"/>
          <w:lang w:val="en-US"/>
        </w:rPr>
        <w:t xml:space="preserve"> </w:t>
      </w:r>
      <w:r w:rsidR="00F467E2" w:rsidRPr="001E3E67">
        <w:rPr>
          <w:rFonts w:ascii="Cambria" w:hAnsi="Cambria"/>
          <w:sz w:val="22"/>
          <w:lang w:val="en-US"/>
        </w:rPr>
        <w:t xml:space="preserve">national </w:t>
      </w:r>
      <w:r w:rsidR="00571755" w:rsidRPr="000B14B8">
        <w:rPr>
          <w:rFonts w:ascii="Cambria" w:hAnsi="Cambria"/>
          <w:sz w:val="22"/>
          <w:lang w:val="en-US"/>
        </w:rPr>
        <w:t xml:space="preserve">social systems </w:t>
      </w:r>
      <w:r w:rsidR="00F467E2" w:rsidRPr="000B14B8">
        <w:rPr>
          <w:rFonts w:ascii="Cambria" w:hAnsi="Cambria"/>
          <w:sz w:val="22"/>
          <w:lang w:val="en-US"/>
        </w:rPr>
        <w:t xml:space="preserve">are, admittedly, under pressure </w:t>
      </w:r>
      <w:r w:rsidR="00784A2F">
        <w:rPr>
          <w:rFonts w:ascii="Cambria" w:hAnsi="Cambria"/>
          <w:sz w:val="22"/>
          <w:lang w:val="en-US"/>
        </w:rPr>
        <w:t>from</w:t>
      </w:r>
      <w:r w:rsidR="00F467E2" w:rsidRPr="000B14B8">
        <w:rPr>
          <w:rFonts w:ascii="Cambria" w:hAnsi="Cambria"/>
          <w:sz w:val="22"/>
          <w:lang w:val="en-US"/>
        </w:rPr>
        <w:t xml:space="preserve"> conver</w:t>
      </w:r>
      <w:r w:rsidR="008E5F02" w:rsidRPr="000B14B8">
        <w:rPr>
          <w:rFonts w:ascii="Cambria" w:hAnsi="Cambria"/>
          <w:sz w:val="22"/>
          <w:lang w:val="en-US"/>
        </w:rPr>
        <w:t>gence in the context of a common</w:t>
      </w:r>
      <w:r w:rsidR="00F467E2" w:rsidRPr="000B14B8">
        <w:rPr>
          <w:rFonts w:ascii="Cambria" w:hAnsi="Cambria"/>
          <w:sz w:val="22"/>
          <w:lang w:val="en-US"/>
        </w:rPr>
        <w:t xml:space="preserve"> economic market, </w:t>
      </w:r>
      <w:r w:rsidR="00571755" w:rsidRPr="000B14B8">
        <w:rPr>
          <w:rFonts w:ascii="Cambria" w:hAnsi="Cambria"/>
          <w:sz w:val="22"/>
          <w:lang w:val="en-US"/>
        </w:rPr>
        <w:t xml:space="preserve">this </w:t>
      </w:r>
      <w:r w:rsidR="00F467E2" w:rsidRPr="000B14B8">
        <w:rPr>
          <w:rFonts w:ascii="Cambria" w:hAnsi="Cambria"/>
          <w:sz w:val="22"/>
          <w:lang w:val="en-US"/>
        </w:rPr>
        <w:t>can</w:t>
      </w:r>
      <w:r w:rsidR="00B17CF6" w:rsidRPr="000B14B8">
        <w:rPr>
          <w:rFonts w:ascii="Cambria" w:hAnsi="Cambria"/>
          <w:sz w:val="22"/>
          <w:lang w:val="en-US"/>
        </w:rPr>
        <w:t xml:space="preserve">, however, be either </w:t>
      </w:r>
      <w:r w:rsidR="00F467E2" w:rsidRPr="000B14B8">
        <w:rPr>
          <w:rFonts w:ascii="Cambria" w:hAnsi="Cambria"/>
          <w:sz w:val="22"/>
          <w:lang w:val="en-US"/>
        </w:rPr>
        <w:t xml:space="preserve">in an upward or downward direction, which would not necessarily coincide with </w:t>
      </w:r>
      <w:r w:rsidR="00FA51D1" w:rsidRPr="000B14B8">
        <w:rPr>
          <w:rFonts w:ascii="Cambria" w:hAnsi="Cambria"/>
          <w:sz w:val="22"/>
          <w:lang w:val="en-US"/>
        </w:rPr>
        <w:t xml:space="preserve">the goal of </w:t>
      </w:r>
      <w:r w:rsidR="008E5F02" w:rsidRPr="000B14B8">
        <w:rPr>
          <w:rFonts w:ascii="Cambria" w:hAnsi="Cambria"/>
          <w:sz w:val="22"/>
          <w:lang w:val="en-US"/>
        </w:rPr>
        <w:t xml:space="preserve">the </w:t>
      </w:r>
      <w:r w:rsidR="00F467E2" w:rsidRPr="000B14B8">
        <w:rPr>
          <w:rFonts w:ascii="Cambria" w:hAnsi="Cambria"/>
          <w:sz w:val="22"/>
          <w:lang w:val="en-US"/>
        </w:rPr>
        <w:t>‘improvement’ of living</w:t>
      </w:r>
      <w:r w:rsidR="00496D1C" w:rsidRPr="000B14B8">
        <w:rPr>
          <w:rFonts w:ascii="Cambria" w:hAnsi="Cambria"/>
          <w:sz w:val="22"/>
          <w:lang w:val="en-US"/>
        </w:rPr>
        <w:t xml:space="preserve"> and working conditions. </w:t>
      </w:r>
      <w:r w:rsidR="009520E5" w:rsidRPr="000B14B8">
        <w:rPr>
          <w:rFonts w:ascii="Cambria" w:hAnsi="Cambria"/>
          <w:sz w:val="22"/>
          <w:lang w:val="en-US"/>
        </w:rPr>
        <w:t>Yet</w:t>
      </w:r>
      <w:r w:rsidR="008E5F02" w:rsidRPr="000B14B8">
        <w:rPr>
          <w:rFonts w:ascii="Cambria" w:hAnsi="Cambria"/>
          <w:sz w:val="22"/>
          <w:lang w:val="en-US"/>
        </w:rPr>
        <w:t xml:space="preserve">, </w:t>
      </w:r>
      <w:r w:rsidR="00784A2F">
        <w:rPr>
          <w:rFonts w:ascii="Cambria" w:hAnsi="Cambria"/>
          <w:sz w:val="22"/>
          <w:lang w:val="en-US"/>
        </w:rPr>
        <w:t>taking into account</w:t>
      </w:r>
      <w:r w:rsidR="008E5F02" w:rsidRPr="000B14B8">
        <w:rPr>
          <w:rFonts w:ascii="Cambria" w:hAnsi="Cambria"/>
          <w:sz w:val="22"/>
          <w:lang w:val="en-US"/>
        </w:rPr>
        <w:t xml:space="preserve"> the tradition</w:t>
      </w:r>
      <w:r w:rsidR="009520E5" w:rsidRPr="000B14B8">
        <w:rPr>
          <w:rFonts w:ascii="Cambria" w:hAnsi="Cambria"/>
          <w:sz w:val="22"/>
          <w:lang w:val="en-US"/>
        </w:rPr>
        <w:t xml:space="preserve"> of the rather </w:t>
      </w:r>
      <w:r w:rsidR="00FA51D1" w:rsidRPr="000B14B8">
        <w:rPr>
          <w:rFonts w:ascii="Cambria" w:hAnsi="Cambria"/>
          <w:sz w:val="22"/>
          <w:lang w:val="en-US"/>
        </w:rPr>
        <w:t>homo</w:t>
      </w:r>
      <w:r w:rsidR="008E5F02" w:rsidRPr="000B14B8">
        <w:rPr>
          <w:rFonts w:ascii="Cambria" w:hAnsi="Cambria"/>
          <w:sz w:val="22"/>
          <w:lang w:val="en-US"/>
        </w:rPr>
        <w:softHyphen/>
      </w:r>
      <w:r w:rsidR="00FA51D1" w:rsidRPr="000B14B8">
        <w:rPr>
          <w:rFonts w:ascii="Cambria" w:hAnsi="Cambria"/>
          <w:sz w:val="22"/>
          <w:lang w:val="en-US"/>
        </w:rPr>
        <w:t xml:space="preserve">geneous, </w:t>
      </w:r>
      <w:r w:rsidR="008E5F02" w:rsidRPr="000B14B8">
        <w:rPr>
          <w:rFonts w:ascii="Cambria" w:hAnsi="Cambria"/>
          <w:sz w:val="22"/>
          <w:lang w:val="en-US"/>
        </w:rPr>
        <w:t>social market economies</w:t>
      </w:r>
      <w:r w:rsidR="00496D1C" w:rsidRPr="000B14B8">
        <w:rPr>
          <w:rFonts w:ascii="Cambria" w:hAnsi="Cambria"/>
          <w:sz w:val="22"/>
          <w:lang w:val="en-US"/>
        </w:rPr>
        <w:t xml:space="preserve"> of the six founding states at the time, it </w:t>
      </w:r>
      <w:r w:rsidR="00784A2F">
        <w:rPr>
          <w:rFonts w:ascii="Cambria" w:hAnsi="Cambria"/>
          <w:sz w:val="22"/>
          <w:lang w:val="en-US"/>
        </w:rPr>
        <w:t>also can</w:t>
      </w:r>
      <w:r w:rsidR="00496D1C" w:rsidRPr="000B14B8">
        <w:rPr>
          <w:rFonts w:ascii="Cambria" w:hAnsi="Cambria"/>
          <w:sz w:val="22"/>
          <w:lang w:val="en-US"/>
        </w:rPr>
        <w:t>not be assumed</w:t>
      </w:r>
      <w:r w:rsidR="00FE3DAD" w:rsidRPr="000B14B8">
        <w:rPr>
          <w:rFonts w:ascii="Cambria" w:hAnsi="Cambria"/>
          <w:sz w:val="22"/>
          <w:lang w:val="en-US"/>
        </w:rPr>
        <w:t xml:space="preserve"> that this</w:t>
      </w:r>
      <w:r w:rsidR="009520E5" w:rsidRPr="000B14B8">
        <w:rPr>
          <w:rFonts w:ascii="Cambria" w:hAnsi="Cambria"/>
          <w:sz w:val="22"/>
          <w:lang w:val="en-US"/>
        </w:rPr>
        <w:t xml:space="preserve"> ‘belief’ of the founding fathers was </w:t>
      </w:r>
      <w:r w:rsidR="008E5F02" w:rsidRPr="000B14B8">
        <w:rPr>
          <w:rFonts w:ascii="Cambria" w:hAnsi="Cambria"/>
          <w:sz w:val="22"/>
          <w:lang w:val="en-US"/>
        </w:rPr>
        <w:t xml:space="preserve">merely </w:t>
      </w:r>
      <w:r w:rsidR="009520E5" w:rsidRPr="000B14B8">
        <w:rPr>
          <w:rFonts w:ascii="Cambria" w:hAnsi="Cambria"/>
          <w:sz w:val="22"/>
          <w:lang w:val="en-US"/>
        </w:rPr>
        <w:t xml:space="preserve">based on </w:t>
      </w:r>
      <w:r w:rsidR="00784A2F">
        <w:rPr>
          <w:rFonts w:ascii="Cambria" w:hAnsi="Cambria"/>
          <w:sz w:val="22"/>
          <w:lang w:val="en-US"/>
        </w:rPr>
        <w:t xml:space="preserve">the </w:t>
      </w:r>
      <w:r w:rsidR="009520E5" w:rsidRPr="000B14B8">
        <w:rPr>
          <w:rFonts w:ascii="Cambria" w:hAnsi="Cambria"/>
          <w:sz w:val="22"/>
          <w:lang w:val="en-US"/>
        </w:rPr>
        <w:t>politics of (orthodox) liberalism</w:t>
      </w:r>
      <w:r w:rsidR="005B14A5" w:rsidRPr="000B14B8">
        <w:rPr>
          <w:rFonts w:ascii="Cambria" w:hAnsi="Cambria"/>
          <w:sz w:val="22"/>
          <w:lang w:val="en-US"/>
        </w:rPr>
        <w:t>,</w:t>
      </w:r>
      <w:r w:rsidR="008E5F02" w:rsidRPr="000B14B8">
        <w:rPr>
          <w:rFonts w:ascii="Cambria" w:hAnsi="Cambria"/>
          <w:sz w:val="22"/>
          <w:lang w:val="en-US"/>
        </w:rPr>
        <w:t xml:space="preserve"> instigating that social values</w:t>
      </w:r>
      <w:r w:rsidR="009520E5" w:rsidRPr="000B14B8">
        <w:rPr>
          <w:rFonts w:ascii="Cambria" w:hAnsi="Cambria"/>
          <w:sz w:val="22"/>
          <w:lang w:val="en-US"/>
        </w:rPr>
        <w:t xml:space="preserve"> should best be left to unlimited market forces. Instead, as the story of </w:t>
      </w:r>
      <w:r w:rsidR="00CE3F31" w:rsidRPr="000B14B8">
        <w:rPr>
          <w:rFonts w:ascii="Cambria" w:hAnsi="Cambria"/>
          <w:sz w:val="22"/>
          <w:lang w:val="en-US"/>
        </w:rPr>
        <w:t xml:space="preserve">the </w:t>
      </w:r>
      <w:r w:rsidR="009520E5" w:rsidRPr="000B14B8">
        <w:rPr>
          <w:rFonts w:ascii="Cambria" w:hAnsi="Cambria"/>
          <w:sz w:val="22"/>
          <w:lang w:val="en-US"/>
        </w:rPr>
        <w:t xml:space="preserve">French Prime Minister </w:t>
      </w:r>
      <w:r w:rsidR="00CE3F31" w:rsidRPr="000B14B8">
        <w:rPr>
          <w:rFonts w:ascii="Cambria" w:hAnsi="Cambria"/>
          <w:sz w:val="22"/>
          <w:lang w:val="en-US"/>
        </w:rPr>
        <w:t xml:space="preserve">Guy </w:t>
      </w:r>
      <w:proofErr w:type="spellStart"/>
      <w:r w:rsidR="00CE3F31" w:rsidRPr="000B14B8">
        <w:rPr>
          <w:rFonts w:ascii="Cambria" w:hAnsi="Cambria"/>
          <w:sz w:val="22"/>
          <w:lang w:val="en-US"/>
        </w:rPr>
        <w:t>Mollet</w:t>
      </w:r>
      <w:proofErr w:type="spellEnd"/>
      <w:r w:rsidR="00CE3F31" w:rsidRPr="000B14B8">
        <w:rPr>
          <w:rFonts w:ascii="Cambria" w:hAnsi="Cambria"/>
          <w:sz w:val="22"/>
          <w:lang w:val="en-US"/>
        </w:rPr>
        <w:t xml:space="preserve"> </w:t>
      </w:r>
      <w:r w:rsidR="00784A2F">
        <w:rPr>
          <w:rFonts w:ascii="Cambria" w:hAnsi="Cambria"/>
          <w:sz w:val="22"/>
          <w:lang w:val="en-US"/>
        </w:rPr>
        <w:t>informs</w:t>
      </w:r>
      <w:r w:rsidR="009520E5" w:rsidRPr="000B14B8">
        <w:rPr>
          <w:rFonts w:ascii="Cambria" w:hAnsi="Cambria"/>
          <w:sz w:val="22"/>
          <w:lang w:val="en-US"/>
        </w:rPr>
        <w:t xml:space="preserve"> us (supra</w:t>
      </w:r>
      <w:r w:rsidR="00030460">
        <w:rPr>
          <w:rFonts w:ascii="Cambria" w:hAnsi="Cambria"/>
          <w:sz w:val="22"/>
          <w:lang w:val="en-US"/>
        </w:rPr>
        <w:t>, 2.2</w:t>
      </w:r>
      <w:r w:rsidR="009520E5" w:rsidRPr="000B14B8">
        <w:rPr>
          <w:rFonts w:ascii="Cambria" w:hAnsi="Cambria"/>
          <w:sz w:val="22"/>
          <w:lang w:val="en-US"/>
        </w:rPr>
        <w:t xml:space="preserve">), it </w:t>
      </w:r>
      <w:r w:rsidR="005B14A5" w:rsidRPr="000B14B8">
        <w:rPr>
          <w:rFonts w:ascii="Cambria" w:hAnsi="Cambria"/>
          <w:sz w:val="22"/>
          <w:lang w:val="en-US"/>
        </w:rPr>
        <w:t xml:space="preserve">seems likely </w:t>
      </w:r>
      <w:r w:rsidR="00246169">
        <w:rPr>
          <w:rFonts w:ascii="Cambria" w:hAnsi="Cambria"/>
          <w:sz w:val="22"/>
          <w:lang w:val="en-US"/>
        </w:rPr>
        <w:t xml:space="preserve">that it was much easier to reach </w:t>
      </w:r>
      <w:r w:rsidR="005B14A5" w:rsidRPr="000B14B8">
        <w:rPr>
          <w:rFonts w:ascii="Cambria" w:hAnsi="Cambria"/>
          <w:sz w:val="22"/>
          <w:lang w:val="en-US"/>
        </w:rPr>
        <w:t xml:space="preserve">political consensus on negative integration by </w:t>
      </w:r>
      <w:r w:rsidR="00246169">
        <w:rPr>
          <w:rFonts w:ascii="Cambria" w:hAnsi="Cambria"/>
          <w:sz w:val="22"/>
          <w:lang w:val="en-US"/>
        </w:rPr>
        <w:t xml:space="preserve">means of </w:t>
      </w:r>
      <w:r w:rsidR="005B14A5" w:rsidRPr="000B14B8">
        <w:rPr>
          <w:rFonts w:ascii="Cambria" w:hAnsi="Cambria"/>
          <w:sz w:val="22"/>
          <w:lang w:val="en-US"/>
        </w:rPr>
        <w:t xml:space="preserve">legal rules </w:t>
      </w:r>
      <w:r w:rsidR="00246169">
        <w:rPr>
          <w:rFonts w:ascii="Cambria" w:hAnsi="Cambria"/>
          <w:sz w:val="22"/>
          <w:lang w:val="en-US"/>
        </w:rPr>
        <w:t>requiring</w:t>
      </w:r>
      <w:r w:rsidR="005B14A5" w:rsidRPr="000B14B8">
        <w:rPr>
          <w:rFonts w:ascii="Cambria" w:hAnsi="Cambria"/>
          <w:sz w:val="22"/>
          <w:lang w:val="en-US"/>
        </w:rPr>
        <w:t xml:space="preserve"> the abolition of barriers to trade, than on </w:t>
      </w:r>
      <w:r w:rsidR="00784A2F">
        <w:rPr>
          <w:rFonts w:ascii="Cambria" w:hAnsi="Cambria"/>
          <w:sz w:val="22"/>
          <w:lang w:val="en-US"/>
        </w:rPr>
        <w:t xml:space="preserve">the </w:t>
      </w:r>
      <w:r w:rsidR="005B14A5" w:rsidRPr="000B14B8">
        <w:rPr>
          <w:rFonts w:ascii="Cambria" w:hAnsi="Cambria"/>
          <w:sz w:val="22"/>
          <w:lang w:val="en-US"/>
        </w:rPr>
        <w:t xml:space="preserve">positive integration of social and tax systems. </w:t>
      </w:r>
    </w:p>
    <w:p w:rsidR="009A494B" w:rsidRPr="000B14B8" w:rsidRDefault="007A0352" w:rsidP="009A494B">
      <w:pPr>
        <w:spacing w:after="0" w:line="240" w:lineRule="auto"/>
        <w:jc w:val="both"/>
        <w:rPr>
          <w:rFonts w:ascii="Cambria" w:hAnsi="Cambria"/>
          <w:sz w:val="22"/>
        </w:rPr>
      </w:pPr>
      <w:r w:rsidRPr="000B14B8">
        <w:rPr>
          <w:rFonts w:ascii="Cambria" w:hAnsi="Cambria"/>
          <w:sz w:val="22"/>
          <w:lang w:val="en-US"/>
        </w:rPr>
        <w:t>Through</w:t>
      </w:r>
      <w:r w:rsidR="00AF3EFE" w:rsidRPr="000B14B8">
        <w:rPr>
          <w:rFonts w:ascii="Cambria" w:hAnsi="Cambria"/>
          <w:sz w:val="22"/>
          <w:lang w:val="en-US"/>
        </w:rPr>
        <w:t xml:space="preserve"> this, </w:t>
      </w:r>
      <w:r w:rsidR="00167C89" w:rsidRPr="000B14B8">
        <w:rPr>
          <w:rFonts w:ascii="Cambria" w:hAnsi="Cambria"/>
          <w:sz w:val="22"/>
          <w:lang w:val="en-US"/>
        </w:rPr>
        <w:t xml:space="preserve">Europe was </w:t>
      </w:r>
      <w:r w:rsidR="008E5F02" w:rsidRPr="000B14B8">
        <w:rPr>
          <w:rFonts w:ascii="Cambria" w:hAnsi="Cambria"/>
          <w:sz w:val="22"/>
          <w:lang w:val="en-US"/>
        </w:rPr>
        <w:t xml:space="preserve">in fact </w:t>
      </w:r>
      <w:r w:rsidR="00167C89" w:rsidRPr="000B14B8">
        <w:rPr>
          <w:rFonts w:ascii="Cambria" w:hAnsi="Cambria"/>
          <w:sz w:val="22"/>
          <w:lang w:val="en-US"/>
        </w:rPr>
        <w:t>constituted</w:t>
      </w:r>
      <w:r w:rsidR="00C6082F" w:rsidRPr="000B14B8">
        <w:rPr>
          <w:rFonts w:ascii="Cambria" w:hAnsi="Cambria"/>
          <w:sz w:val="22"/>
          <w:lang w:val="en-US"/>
        </w:rPr>
        <w:t xml:space="preserve"> as</w:t>
      </w:r>
      <w:r w:rsidR="00167C89" w:rsidRPr="000B14B8">
        <w:rPr>
          <w:rFonts w:ascii="Cambria" w:hAnsi="Cambria"/>
          <w:sz w:val="22"/>
          <w:lang w:val="en-US"/>
        </w:rPr>
        <w:t xml:space="preserve"> a dual polity. </w:t>
      </w:r>
      <w:r w:rsidR="00704EC3" w:rsidRPr="000B14B8">
        <w:rPr>
          <w:rFonts w:ascii="Cambria" w:hAnsi="Cambria"/>
          <w:sz w:val="22"/>
          <w:lang w:val="en-US"/>
        </w:rPr>
        <w:t>I</w:t>
      </w:r>
      <w:r w:rsidR="00FE3DAD" w:rsidRPr="000B14B8">
        <w:rPr>
          <w:rFonts w:ascii="Cambria" w:hAnsi="Cambria"/>
          <w:sz w:val="22"/>
          <w:lang w:val="en-US"/>
        </w:rPr>
        <w:t xml:space="preserve">t was accepted that the economic dimension was furthered by </w:t>
      </w:r>
      <w:r w:rsidR="00CC69C7" w:rsidRPr="000B14B8">
        <w:rPr>
          <w:rFonts w:ascii="Cambria" w:hAnsi="Cambria"/>
          <w:sz w:val="22"/>
          <w:lang w:val="en-US"/>
        </w:rPr>
        <w:t>a</w:t>
      </w:r>
      <w:r w:rsidR="00530B9B">
        <w:rPr>
          <w:rFonts w:ascii="Cambria" w:hAnsi="Cambria"/>
          <w:sz w:val="22"/>
          <w:lang w:val="en-US"/>
        </w:rPr>
        <w:t>n</w:t>
      </w:r>
      <w:r w:rsidR="00CC69C7" w:rsidRPr="000B14B8">
        <w:rPr>
          <w:rFonts w:ascii="Cambria" w:hAnsi="Cambria"/>
          <w:sz w:val="22"/>
          <w:lang w:val="en-US"/>
        </w:rPr>
        <w:t xml:space="preserve"> ‘economic constitution</w:t>
      </w:r>
      <w:r w:rsidR="00FE3DAD" w:rsidRPr="000B14B8">
        <w:rPr>
          <w:rFonts w:ascii="Cambria" w:hAnsi="Cambria"/>
          <w:sz w:val="22"/>
          <w:lang w:val="en-US"/>
        </w:rPr>
        <w:t>’</w:t>
      </w:r>
      <w:r w:rsidR="00CC69C7" w:rsidRPr="000B14B8">
        <w:rPr>
          <w:rFonts w:ascii="Cambria" w:hAnsi="Cambria"/>
          <w:sz w:val="22"/>
          <w:lang w:val="en-US"/>
        </w:rPr>
        <w:t xml:space="preserve"> </w:t>
      </w:r>
      <w:r w:rsidR="00FA51D1" w:rsidRPr="000B14B8">
        <w:rPr>
          <w:rFonts w:ascii="Cambria" w:hAnsi="Cambria"/>
          <w:sz w:val="22"/>
          <w:lang w:val="en-US"/>
        </w:rPr>
        <w:t>-</w:t>
      </w:r>
      <w:r w:rsidR="00784A2F">
        <w:rPr>
          <w:rFonts w:ascii="Cambria" w:hAnsi="Cambria"/>
          <w:sz w:val="22"/>
          <w:lang w:val="en-US"/>
        </w:rPr>
        <w:t xml:space="preserve"> </w:t>
      </w:r>
      <w:r w:rsidR="00704EC3" w:rsidRPr="000B14B8">
        <w:rPr>
          <w:rFonts w:ascii="Cambria" w:hAnsi="Cambria"/>
          <w:sz w:val="22"/>
          <w:lang w:val="en-US"/>
        </w:rPr>
        <w:t>after the groundwork by the Co</w:t>
      </w:r>
      <w:r w:rsidR="00FA51D1" w:rsidRPr="000B14B8">
        <w:rPr>
          <w:rFonts w:ascii="Cambria" w:hAnsi="Cambria"/>
          <w:sz w:val="22"/>
          <w:lang w:val="en-US"/>
        </w:rPr>
        <w:t>urt in this respect (see supra)</w:t>
      </w:r>
      <w:r w:rsidR="00784A2F">
        <w:rPr>
          <w:rFonts w:ascii="Cambria" w:hAnsi="Cambria"/>
          <w:sz w:val="22"/>
          <w:lang w:val="en-US"/>
        </w:rPr>
        <w:t xml:space="preserve"> </w:t>
      </w:r>
      <w:r w:rsidR="00FA51D1" w:rsidRPr="000B14B8">
        <w:rPr>
          <w:rFonts w:ascii="Cambria" w:hAnsi="Cambria"/>
          <w:sz w:val="22"/>
          <w:lang w:val="en-US"/>
        </w:rPr>
        <w:t>-</w:t>
      </w:r>
      <w:r w:rsidR="008E5F02" w:rsidRPr="000B14B8">
        <w:rPr>
          <w:rFonts w:ascii="Cambria" w:hAnsi="Cambria"/>
          <w:sz w:val="22"/>
          <w:lang w:val="en-US"/>
        </w:rPr>
        <w:t>,</w:t>
      </w:r>
      <w:r w:rsidR="00704EC3" w:rsidRPr="000B14B8">
        <w:rPr>
          <w:rFonts w:ascii="Cambria" w:hAnsi="Cambria"/>
          <w:sz w:val="22"/>
          <w:lang w:val="en-US"/>
        </w:rPr>
        <w:t xml:space="preserve"> </w:t>
      </w:r>
      <w:r w:rsidR="00FE3DAD" w:rsidRPr="000B14B8">
        <w:rPr>
          <w:rFonts w:ascii="Cambria" w:hAnsi="Cambria"/>
          <w:sz w:val="22"/>
          <w:lang w:val="en-US"/>
        </w:rPr>
        <w:t>safeguarding e</w:t>
      </w:r>
      <w:r w:rsidR="00FA51D1" w:rsidRPr="000B14B8">
        <w:rPr>
          <w:rFonts w:ascii="Cambria" w:hAnsi="Cambria"/>
          <w:sz w:val="22"/>
          <w:lang w:val="en-US"/>
        </w:rPr>
        <w:t>conomic freedoms and undistorted</w:t>
      </w:r>
      <w:r w:rsidR="00FE3DAD" w:rsidRPr="000B14B8">
        <w:rPr>
          <w:rFonts w:ascii="Cambria" w:hAnsi="Cambria"/>
          <w:sz w:val="22"/>
          <w:lang w:val="en-US"/>
        </w:rPr>
        <w:t xml:space="preserve"> competition</w:t>
      </w:r>
      <w:r w:rsidR="00704EC3" w:rsidRPr="000B14B8">
        <w:rPr>
          <w:rFonts w:ascii="Cambria" w:hAnsi="Cambria"/>
          <w:sz w:val="22"/>
          <w:lang w:val="en-US"/>
        </w:rPr>
        <w:t xml:space="preserve"> by way of law</w:t>
      </w:r>
      <w:r w:rsidRPr="000B14B8">
        <w:rPr>
          <w:rFonts w:ascii="Cambria" w:hAnsi="Cambria"/>
          <w:sz w:val="22"/>
          <w:lang w:val="en-US"/>
        </w:rPr>
        <w:t xml:space="preserve"> and </w:t>
      </w:r>
      <w:r w:rsidR="004A1089">
        <w:rPr>
          <w:rFonts w:ascii="Cambria" w:hAnsi="Cambria"/>
          <w:sz w:val="22"/>
          <w:lang w:val="en-US"/>
        </w:rPr>
        <w:t xml:space="preserve">its </w:t>
      </w:r>
      <w:r w:rsidRPr="000B14B8">
        <w:rPr>
          <w:rFonts w:ascii="Cambria" w:hAnsi="Cambria"/>
          <w:sz w:val="22"/>
          <w:lang w:val="en-US"/>
        </w:rPr>
        <w:t>principles of direct effect and primacy</w:t>
      </w:r>
      <w:r w:rsidR="00704EC3" w:rsidRPr="000B14B8">
        <w:rPr>
          <w:rFonts w:ascii="Cambria" w:hAnsi="Cambria"/>
          <w:sz w:val="22"/>
          <w:lang w:val="en-US"/>
        </w:rPr>
        <w:t>. T</w:t>
      </w:r>
      <w:r w:rsidR="00C6082F" w:rsidRPr="000B14B8">
        <w:rPr>
          <w:rFonts w:ascii="Cambria" w:hAnsi="Cambria"/>
          <w:sz w:val="22"/>
          <w:lang w:val="en-US"/>
        </w:rPr>
        <w:t xml:space="preserve">he </w:t>
      </w:r>
      <w:r w:rsidR="00FE3DAD" w:rsidRPr="000B14B8">
        <w:rPr>
          <w:rFonts w:ascii="Cambria" w:hAnsi="Cambria"/>
          <w:sz w:val="22"/>
          <w:lang w:val="en-US"/>
        </w:rPr>
        <w:t xml:space="preserve">social </w:t>
      </w:r>
      <w:r w:rsidR="00C6082F" w:rsidRPr="000B14B8">
        <w:rPr>
          <w:rFonts w:ascii="Cambria" w:hAnsi="Cambria"/>
          <w:sz w:val="22"/>
          <w:lang w:val="en-US"/>
        </w:rPr>
        <w:t>dimension</w:t>
      </w:r>
      <w:r w:rsidR="004A1089">
        <w:rPr>
          <w:rFonts w:ascii="Cambria" w:hAnsi="Cambria"/>
          <w:sz w:val="22"/>
          <w:lang w:val="en-US"/>
        </w:rPr>
        <w:t>,</w:t>
      </w:r>
      <w:r w:rsidR="00C6082F" w:rsidRPr="000B14B8">
        <w:rPr>
          <w:rFonts w:ascii="Cambria" w:hAnsi="Cambria"/>
          <w:sz w:val="22"/>
          <w:lang w:val="en-US"/>
        </w:rPr>
        <w:t xml:space="preserve"> </w:t>
      </w:r>
      <w:r w:rsidR="004A1089">
        <w:rPr>
          <w:rFonts w:ascii="Cambria" w:hAnsi="Cambria"/>
          <w:sz w:val="22"/>
          <w:lang w:val="en-US"/>
        </w:rPr>
        <w:t xml:space="preserve">however, </w:t>
      </w:r>
      <w:r w:rsidR="00FE3DAD" w:rsidRPr="000B14B8">
        <w:rPr>
          <w:rFonts w:ascii="Cambria" w:hAnsi="Cambria"/>
          <w:sz w:val="22"/>
          <w:lang w:val="en-US"/>
        </w:rPr>
        <w:t xml:space="preserve">belonged to the realm of </w:t>
      </w:r>
      <w:r w:rsidR="008E5F02" w:rsidRPr="000B14B8">
        <w:rPr>
          <w:rFonts w:ascii="Cambria" w:hAnsi="Cambria"/>
          <w:sz w:val="22"/>
          <w:lang w:val="en-US"/>
        </w:rPr>
        <w:t>‘</w:t>
      </w:r>
      <w:r w:rsidR="00FE3DAD" w:rsidRPr="000B14B8">
        <w:rPr>
          <w:rFonts w:ascii="Cambria" w:hAnsi="Cambria"/>
          <w:sz w:val="22"/>
          <w:lang w:val="en-US"/>
        </w:rPr>
        <w:t>political legislation</w:t>
      </w:r>
      <w:r w:rsidR="008E5F02" w:rsidRPr="000B14B8">
        <w:rPr>
          <w:rFonts w:ascii="Cambria" w:hAnsi="Cambria"/>
          <w:sz w:val="22"/>
          <w:lang w:val="en-US"/>
        </w:rPr>
        <w:t>’</w:t>
      </w:r>
      <w:r w:rsidR="00FE3DAD" w:rsidRPr="000B14B8">
        <w:rPr>
          <w:rFonts w:ascii="Cambria" w:hAnsi="Cambria"/>
          <w:sz w:val="22"/>
          <w:lang w:val="en-US"/>
        </w:rPr>
        <w:t xml:space="preserve"> and, the</w:t>
      </w:r>
      <w:r w:rsidR="00C6082F" w:rsidRPr="000B14B8">
        <w:rPr>
          <w:rFonts w:ascii="Cambria" w:hAnsi="Cambria"/>
          <w:sz w:val="22"/>
          <w:lang w:val="en-US"/>
        </w:rPr>
        <w:t>refore, had to remain national or</w:t>
      </w:r>
      <w:r w:rsidR="00887771" w:rsidRPr="000B14B8">
        <w:rPr>
          <w:rFonts w:ascii="Cambria" w:hAnsi="Cambria"/>
          <w:sz w:val="22"/>
          <w:lang w:val="en-US"/>
        </w:rPr>
        <w:t>,</w:t>
      </w:r>
      <w:r w:rsidR="00C6082F" w:rsidRPr="000B14B8">
        <w:rPr>
          <w:rFonts w:ascii="Cambria" w:hAnsi="Cambria"/>
          <w:sz w:val="22"/>
          <w:lang w:val="en-US"/>
        </w:rPr>
        <w:t xml:space="preserve"> at most</w:t>
      </w:r>
      <w:r w:rsidR="00887771" w:rsidRPr="000B14B8">
        <w:rPr>
          <w:rFonts w:ascii="Cambria" w:hAnsi="Cambria"/>
          <w:sz w:val="22"/>
          <w:lang w:val="en-US"/>
        </w:rPr>
        <w:t>,</w:t>
      </w:r>
      <w:r w:rsidR="00C6082F" w:rsidRPr="000B14B8">
        <w:rPr>
          <w:rFonts w:ascii="Cambria" w:hAnsi="Cambria"/>
          <w:sz w:val="22"/>
          <w:lang w:val="en-US"/>
        </w:rPr>
        <w:t xml:space="preserve"> be </w:t>
      </w:r>
      <w:r w:rsidR="00887771" w:rsidRPr="000B14B8">
        <w:rPr>
          <w:rFonts w:ascii="Cambria" w:hAnsi="Cambria"/>
          <w:sz w:val="22"/>
          <w:lang w:val="en-US"/>
        </w:rPr>
        <w:t xml:space="preserve">the </w:t>
      </w:r>
      <w:r w:rsidR="00C6082F" w:rsidRPr="000B14B8">
        <w:rPr>
          <w:rFonts w:ascii="Cambria" w:hAnsi="Cambria"/>
          <w:sz w:val="22"/>
          <w:lang w:val="en-US"/>
        </w:rPr>
        <w:t>subject of political intergovernmental bargaining</w:t>
      </w:r>
      <w:r w:rsidR="00FE3DAD" w:rsidRPr="000B14B8">
        <w:rPr>
          <w:rFonts w:ascii="Cambria" w:hAnsi="Cambria"/>
          <w:sz w:val="22"/>
          <w:lang w:val="en-US"/>
        </w:rPr>
        <w:t>.</w:t>
      </w:r>
      <w:r w:rsidR="00C6082F" w:rsidRPr="000B14B8">
        <w:rPr>
          <w:rStyle w:val="Voetnootmarkering"/>
          <w:rFonts w:ascii="Cambria" w:hAnsi="Cambria"/>
          <w:sz w:val="22"/>
          <w:lang w:val="en-US"/>
        </w:rPr>
        <w:footnoteReference w:id="38"/>
      </w:r>
      <w:r w:rsidR="009E1B07" w:rsidRPr="000B14B8">
        <w:rPr>
          <w:rFonts w:ascii="Cambria" w:hAnsi="Cambria"/>
          <w:sz w:val="22"/>
          <w:lang w:val="en-US"/>
        </w:rPr>
        <w:t xml:space="preserve"> Fritz Sharpf famously </w:t>
      </w:r>
      <w:r w:rsidR="006E4A80" w:rsidRPr="008921EE">
        <w:rPr>
          <w:rFonts w:ascii="Cambria" w:hAnsi="Cambria"/>
          <w:sz w:val="22"/>
          <w:lang w:val="en-US"/>
        </w:rPr>
        <w:t xml:space="preserve">framed this as the ‘decoupling’ of </w:t>
      </w:r>
      <w:r w:rsidR="002F3AEE" w:rsidRPr="001E3E67">
        <w:rPr>
          <w:rFonts w:ascii="Cambria" w:hAnsi="Cambria"/>
          <w:sz w:val="22"/>
          <w:lang w:val="en-US"/>
        </w:rPr>
        <w:t xml:space="preserve">the </w:t>
      </w:r>
      <w:r w:rsidR="00887771" w:rsidRPr="001E3E67">
        <w:rPr>
          <w:rFonts w:ascii="Cambria" w:hAnsi="Cambria"/>
          <w:sz w:val="22"/>
          <w:lang w:val="en-US"/>
        </w:rPr>
        <w:t>economic</w:t>
      </w:r>
      <w:r w:rsidR="006E4A80" w:rsidRPr="001E3E67">
        <w:rPr>
          <w:rFonts w:ascii="Cambria" w:hAnsi="Cambria"/>
          <w:sz w:val="22"/>
          <w:lang w:val="en-US"/>
        </w:rPr>
        <w:t xml:space="preserve"> and social spheres.</w:t>
      </w:r>
      <w:r w:rsidR="00830DB4" w:rsidRPr="000B14B8">
        <w:rPr>
          <w:rStyle w:val="Voetnootmarkering"/>
          <w:rFonts w:ascii="Cambria" w:hAnsi="Cambria"/>
          <w:sz w:val="22"/>
          <w:lang w:val="en-US"/>
        </w:rPr>
        <w:footnoteReference w:id="39"/>
      </w:r>
      <w:r w:rsidR="004B57C9" w:rsidRPr="000B14B8">
        <w:rPr>
          <w:rFonts w:ascii="Cambria" w:hAnsi="Cambria"/>
          <w:sz w:val="22"/>
          <w:lang w:val="en-US"/>
        </w:rPr>
        <w:t xml:space="preserve"> </w:t>
      </w:r>
      <w:r w:rsidR="005E481A" w:rsidRPr="008921EE">
        <w:rPr>
          <w:rFonts w:ascii="Cambria" w:hAnsi="Cambria"/>
          <w:sz w:val="22"/>
          <w:lang w:val="en-US"/>
        </w:rPr>
        <w:t>T</w:t>
      </w:r>
      <w:r w:rsidR="005E481A" w:rsidRPr="001E3E67">
        <w:rPr>
          <w:rFonts w:ascii="Cambria" w:hAnsi="Cambria"/>
          <w:sz w:val="22"/>
        </w:rPr>
        <w:t>he selective Europeanization of policy functions</w:t>
      </w:r>
      <w:r w:rsidR="005E481A" w:rsidRPr="001E3E67">
        <w:rPr>
          <w:rFonts w:ascii="Cambria" w:hAnsi="Cambria"/>
          <w:sz w:val="22"/>
          <w:lang w:val="en-US"/>
        </w:rPr>
        <w:t xml:space="preserve"> introduced an important </w:t>
      </w:r>
      <w:r w:rsidR="009A494B" w:rsidRPr="001E3E67">
        <w:rPr>
          <w:rFonts w:ascii="Cambria" w:hAnsi="Cambria"/>
          <w:sz w:val="22"/>
          <w:lang w:val="en-US"/>
        </w:rPr>
        <w:t xml:space="preserve">‘constitutional’ </w:t>
      </w:r>
      <w:r w:rsidR="005E481A" w:rsidRPr="001E3E67">
        <w:rPr>
          <w:rFonts w:ascii="Cambria" w:hAnsi="Cambria"/>
          <w:sz w:val="22"/>
          <w:lang w:val="en-US"/>
        </w:rPr>
        <w:t xml:space="preserve">asymmetry </w:t>
      </w:r>
      <w:r w:rsidR="009A494B" w:rsidRPr="000B14B8">
        <w:rPr>
          <w:rFonts w:ascii="Cambria" w:hAnsi="Cambria"/>
          <w:sz w:val="22"/>
          <w:lang w:val="en-US"/>
        </w:rPr>
        <w:t xml:space="preserve">between (the regulation of) </w:t>
      </w:r>
      <w:r w:rsidR="00562FF5" w:rsidRPr="000B14B8">
        <w:rPr>
          <w:rFonts w:ascii="Cambria" w:hAnsi="Cambria"/>
          <w:sz w:val="22"/>
          <w:lang w:val="en-US"/>
        </w:rPr>
        <w:t xml:space="preserve">economic and social policy. </w:t>
      </w:r>
      <w:r w:rsidR="00562FF5" w:rsidRPr="000B14B8">
        <w:rPr>
          <w:rFonts w:ascii="Cambria" w:hAnsi="Cambria"/>
          <w:sz w:val="22"/>
        </w:rPr>
        <w:t>At the national level, economic policy</w:t>
      </w:r>
      <w:r w:rsidR="009A494B" w:rsidRPr="000B14B8">
        <w:rPr>
          <w:rFonts w:ascii="Cambria" w:hAnsi="Cambria"/>
          <w:sz w:val="22"/>
        </w:rPr>
        <w:t xml:space="preserve"> </w:t>
      </w:r>
      <w:r w:rsidR="00562FF5" w:rsidRPr="000B14B8">
        <w:rPr>
          <w:rFonts w:ascii="Cambria" w:hAnsi="Cambria"/>
          <w:sz w:val="22"/>
        </w:rPr>
        <w:t xml:space="preserve">and social policy had and still have the same constitutional status – with the consequence that any conflict between these two types of interests could only be resolved politically. At the European level, however, national </w:t>
      </w:r>
      <w:r w:rsidR="009A494B" w:rsidRPr="000B14B8">
        <w:rPr>
          <w:rFonts w:ascii="Cambria" w:hAnsi="Cambria"/>
          <w:sz w:val="22"/>
        </w:rPr>
        <w:t xml:space="preserve">social </w:t>
      </w:r>
      <w:r w:rsidR="002F3AEE" w:rsidRPr="000B14B8">
        <w:rPr>
          <w:rFonts w:ascii="Cambria" w:hAnsi="Cambria"/>
          <w:sz w:val="22"/>
        </w:rPr>
        <w:t xml:space="preserve">(market-correcting) </w:t>
      </w:r>
      <w:r w:rsidR="009B0E2C" w:rsidRPr="000B14B8">
        <w:rPr>
          <w:rFonts w:ascii="Cambria" w:hAnsi="Cambria"/>
          <w:sz w:val="22"/>
        </w:rPr>
        <w:t xml:space="preserve">policy, in case of conflict, </w:t>
      </w:r>
      <w:r w:rsidR="009A494B" w:rsidRPr="000B14B8">
        <w:rPr>
          <w:rFonts w:ascii="Cambria" w:hAnsi="Cambria"/>
          <w:sz w:val="22"/>
        </w:rPr>
        <w:t xml:space="preserve">will be </w:t>
      </w:r>
      <w:r w:rsidR="00562FF5" w:rsidRPr="000B14B8">
        <w:rPr>
          <w:rFonts w:ascii="Cambria" w:hAnsi="Cambria"/>
          <w:sz w:val="22"/>
        </w:rPr>
        <w:t xml:space="preserve">constrained by economic </w:t>
      </w:r>
      <w:r w:rsidR="002F3AEE" w:rsidRPr="000B14B8">
        <w:rPr>
          <w:rFonts w:ascii="Cambria" w:hAnsi="Cambria"/>
          <w:sz w:val="22"/>
        </w:rPr>
        <w:t>(market</w:t>
      </w:r>
      <w:r w:rsidR="00784A2F">
        <w:rPr>
          <w:rFonts w:ascii="Cambria" w:hAnsi="Cambria"/>
          <w:sz w:val="22"/>
        </w:rPr>
        <w:t>-</w:t>
      </w:r>
      <w:r w:rsidR="002F3AEE" w:rsidRPr="000B14B8">
        <w:rPr>
          <w:rFonts w:ascii="Cambria" w:hAnsi="Cambria"/>
          <w:sz w:val="22"/>
        </w:rPr>
        <w:t xml:space="preserve">building) </w:t>
      </w:r>
      <w:r w:rsidR="00562FF5" w:rsidRPr="000B14B8">
        <w:rPr>
          <w:rFonts w:ascii="Cambria" w:hAnsi="Cambria"/>
          <w:sz w:val="22"/>
        </w:rPr>
        <w:t xml:space="preserve">law of </w:t>
      </w:r>
      <w:r w:rsidR="009A494B" w:rsidRPr="000B14B8">
        <w:rPr>
          <w:rFonts w:ascii="Cambria" w:hAnsi="Cambria"/>
          <w:sz w:val="22"/>
        </w:rPr>
        <w:t>a higher constitutional status.</w:t>
      </w:r>
      <w:r w:rsidR="009A494B" w:rsidRPr="000B14B8">
        <w:rPr>
          <w:rStyle w:val="Voetnootmarkering"/>
          <w:rFonts w:ascii="Cambria" w:hAnsi="Cambria"/>
          <w:sz w:val="22"/>
        </w:rPr>
        <w:footnoteReference w:id="40"/>
      </w:r>
      <w:r w:rsidR="009A494B" w:rsidRPr="000B14B8">
        <w:rPr>
          <w:rFonts w:ascii="Cambria" w:hAnsi="Cambria"/>
          <w:sz w:val="22"/>
        </w:rPr>
        <w:t xml:space="preserve"> </w:t>
      </w:r>
    </w:p>
    <w:p w:rsidR="00B17CF6" w:rsidRPr="008921EE" w:rsidRDefault="00B17CF6" w:rsidP="00B17CF6">
      <w:pPr>
        <w:spacing w:after="0" w:line="240" w:lineRule="auto"/>
        <w:jc w:val="both"/>
        <w:rPr>
          <w:rFonts w:ascii="Cambria" w:hAnsi="Cambria"/>
          <w:sz w:val="22"/>
        </w:rPr>
      </w:pPr>
    </w:p>
    <w:p w:rsidR="00C272EA" w:rsidRPr="000B14B8" w:rsidRDefault="00B17CF6" w:rsidP="00C272EA">
      <w:pPr>
        <w:spacing w:after="0" w:line="240" w:lineRule="auto"/>
        <w:jc w:val="both"/>
        <w:rPr>
          <w:rFonts w:ascii="Cambria" w:hAnsi="Cambria"/>
          <w:sz w:val="22"/>
        </w:rPr>
      </w:pPr>
      <w:r w:rsidRPr="001E3E67">
        <w:rPr>
          <w:rFonts w:ascii="Cambria" w:hAnsi="Cambria"/>
          <w:sz w:val="22"/>
        </w:rPr>
        <w:t xml:space="preserve">For </w:t>
      </w:r>
      <w:r w:rsidR="004E701C">
        <w:rPr>
          <w:rFonts w:ascii="Cambria" w:hAnsi="Cambria"/>
          <w:sz w:val="22"/>
        </w:rPr>
        <w:t xml:space="preserve">almost </w:t>
      </w:r>
      <w:r w:rsidRPr="001E3E67">
        <w:rPr>
          <w:rFonts w:ascii="Cambria" w:hAnsi="Cambria"/>
          <w:sz w:val="22"/>
        </w:rPr>
        <w:t>two decades the division of economic and social competences over the different levels worked out well in practi</w:t>
      </w:r>
      <w:r w:rsidR="007313C7">
        <w:rPr>
          <w:rFonts w:ascii="Cambria" w:hAnsi="Cambria"/>
          <w:sz w:val="22"/>
        </w:rPr>
        <w:t>c</w:t>
      </w:r>
      <w:r w:rsidRPr="001E3E67">
        <w:rPr>
          <w:rFonts w:ascii="Cambria" w:hAnsi="Cambria"/>
          <w:sz w:val="22"/>
        </w:rPr>
        <w:t>e. In fact</w:t>
      </w:r>
      <w:r w:rsidR="00CE3F31" w:rsidRPr="001E3E67">
        <w:rPr>
          <w:rFonts w:ascii="Cambria" w:hAnsi="Cambria"/>
          <w:sz w:val="22"/>
        </w:rPr>
        <w:t>,</w:t>
      </w:r>
      <w:r w:rsidRPr="001E3E67">
        <w:rPr>
          <w:rFonts w:ascii="Cambria" w:hAnsi="Cambria"/>
          <w:sz w:val="22"/>
        </w:rPr>
        <w:t xml:space="preserve"> nati</w:t>
      </w:r>
      <w:r w:rsidRPr="000B14B8">
        <w:rPr>
          <w:rFonts w:ascii="Cambria" w:hAnsi="Cambria"/>
          <w:sz w:val="22"/>
        </w:rPr>
        <w:t>onal systems of social protection could</w:t>
      </w:r>
      <w:r w:rsidR="00CE3F31" w:rsidRPr="000B14B8">
        <w:rPr>
          <w:rFonts w:ascii="Cambria" w:hAnsi="Cambria"/>
          <w:sz w:val="22"/>
        </w:rPr>
        <w:t>,</w:t>
      </w:r>
      <w:r w:rsidRPr="000B14B8">
        <w:rPr>
          <w:rFonts w:ascii="Cambria" w:hAnsi="Cambria"/>
          <w:sz w:val="22"/>
        </w:rPr>
        <w:t xml:space="preserve"> and did</w:t>
      </w:r>
      <w:r w:rsidR="00CE3F31" w:rsidRPr="000B14B8">
        <w:rPr>
          <w:rFonts w:ascii="Cambria" w:hAnsi="Cambria"/>
          <w:sz w:val="22"/>
        </w:rPr>
        <w:t>,</w:t>
      </w:r>
      <w:r w:rsidRPr="000B14B8">
        <w:rPr>
          <w:rFonts w:ascii="Cambria" w:hAnsi="Cambria"/>
          <w:sz w:val="22"/>
        </w:rPr>
        <w:t xml:space="preserve"> expand rapidly in this episode. </w:t>
      </w:r>
      <w:r w:rsidR="00B93230" w:rsidRPr="000B14B8">
        <w:rPr>
          <w:rFonts w:ascii="Cambria" w:hAnsi="Cambria"/>
          <w:sz w:val="22"/>
        </w:rPr>
        <w:t>Still, these were times of economic</w:t>
      </w:r>
      <w:r w:rsidR="00A82025" w:rsidRPr="000B14B8">
        <w:rPr>
          <w:rFonts w:ascii="Cambria" w:hAnsi="Cambria"/>
          <w:sz w:val="22"/>
        </w:rPr>
        <w:t xml:space="preserve"> growth and</w:t>
      </w:r>
      <w:r w:rsidR="00B93230" w:rsidRPr="000B14B8">
        <w:rPr>
          <w:rFonts w:ascii="Cambria" w:hAnsi="Cambria"/>
          <w:sz w:val="22"/>
        </w:rPr>
        <w:t xml:space="preserve"> </w:t>
      </w:r>
      <w:r w:rsidR="0096583C" w:rsidRPr="000B14B8">
        <w:rPr>
          <w:rFonts w:ascii="Cambria" w:hAnsi="Cambria"/>
          <w:sz w:val="22"/>
        </w:rPr>
        <w:t xml:space="preserve">economic </w:t>
      </w:r>
      <w:r w:rsidR="00B93230" w:rsidRPr="000B14B8">
        <w:rPr>
          <w:rFonts w:ascii="Cambria" w:hAnsi="Cambria"/>
          <w:sz w:val="22"/>
        </w:rPr>
        <w:t>integration did not exceed the level of a customs union</w:t>
      </w:r>
      <w:r w:rsidR="00A82025" w:rsidRPr="000B14B8">
        <w:rPr>
          <w:rFonts w:ascii="Cambria" w:hAnsi="Cambria"/>
          <w:sz w:val="22"/>
        </w:rPr>
        <w:t xml:space="preserve">. </w:t>
      </w:r>
    </w:p>
    <w:p w:rsidR="00C272EA" w:rsidRPr="000B14B8" w:rsidRDefault="007F7010" w:rsidP="00C272EA">
      <w:pPr>
        <w:spacing w:after="0" w:line="240" w:lineRule="auto"/>
        <w:jc w:val="both"/>
        <w:rPr>
          <w:rFonts w:ascii="Cambria" w:hAnsi="Cambria"/>
          <w:sz w:val="22"/>
        </w:rPr>
      </w:pPr>
      <w:r w:rsidRPr="000B14B8">
        <w:rPr>
          <w:rFonts w:ascii="Cambria" w:hAnsi="Cambria"/>
          <w:sz w:val="22"/>
        </w:rPr>
        <w:t>In the mid</w:t>
      </w:r>
      <w:r w:rsidR="007313C7">
        <w:rPr>
          <w:rFonts w:ascii="Cambria" w:hAnsi="Cambria"/>
          <w:sz w:val="22"/>
        </w:rPr>
        <w:t>-19</w:t>
      </w:r>
      <w:r w:rsidR="00A82025" w:rsidRPr="000B14B8">
        <w:rPr>
          <w:rFonts w:ascii="Cambria" w:hAnsi="Cambria"/>
          <w:sz w:val="22"/>
        </w:rPr>
        <w:t xml:space="preserve">70s with the first oil crisis, </w:t>
      </w:r>
      <w:r w:rsidR="004B7BA7" w:rsidRPr="000B14B8">
        <w:rPr>
          <w:rFonts w:ascii="Cambria" w:hAnsi="Cambria"/>
          <w:sz w:val="22"/>
        </w:rPr>
        <w:t xml:space="preserve">the </w:t>
      </w:r>
      <w:r w:rsidR="00530B9B">
        <w:rPr>
          <w:rFonts w:ascii="Cambria" w:hAnsi="Cambria"/>
          <w:sz w:val="22"/>
        </w:rPr>
        <w:t>M</w:t>
      </w:r>
      <w:r w:rsidR="004B7BA7" w:rsidRPr="000B14B8">
        <w:rPr>
          <w:rFonts w:ascii="Cambria" w:hAnsi="Cambria"/>
          <w:sz w:val="22"/>
        </w:rPr>
        <w:t xml:space="preserve">ember </w:t>
      </w:r>
      <w:r w:rsidR="00530B9B">
        <w:rPr>
          <w:rFonts w:ascii="Cambria" w:hAnsi="Cambria"/>
          <w:sz w:val="22"/>
        </w:rPr>
        <w:t>S</w:t>
      </w:r>
      <w:r w:rsidR="004B7BA7" w:rsidRPr="000B14B8">
        <w:rPr>
          <w:rFonts w:ascii="Cambria" w:hAnsi="Cambria"/>
          <w:sz w:val="22"/>
        </w:rPr>
        <w:t xml:space="preserve">tates, however, </w:t>
      </w:r>
      <w:r w:rsidR="007313C7">
        <w:rPr>
          <w:rFonts w:ascii="Cambria" w:hAnsi="Cambria"/>
          <w:sz w:val="22"/>
        </w:rPr>
        <w:t>were</w:t>
      </w:r>
      <w:r w:rsidR="004B7BA7" w:rsidRPr="000B14B8">
        <w:rPr>
          <w:rFonts w:ascii="Cambria" w:hAnsi="Cambria"/>
          <w:sz w:val="22"/>
        </w:rPr>
        <w:t xml:space="preserve"> </w:t>
      </w:r>
      <w:r w:rsidR="00A82025" w:rsidRPr="000B14B8">
        <w:rPr>
          <w:rFonts w:ascii="Cambria" w:hAnsi="Cambria"/>
          <w:sz w:val="22"/>
        </w:rPr>
        <w:t>con</w:t>
      </w:r>
      <w:r w:rsidR="002A10E1" w:rsidRPr="000B14B8">
        <w:rPr>
          <w:rFonts w:ascii="Cambria" w:hAnsi="Cambria"/>
          <w:sz w:val="22"/>
        </w:rPr>
        <w:t>fronted with the phenomenon of</w:t>
      </w:r>
      <w:r w:rsidR="00A82025" w:rsidRPr="000B14B8">
        <w:rPr>
          <w:rFonts w:ascii="Cambria" w:hAnsi="Cambria"/>
          <w:sz w:val="22"/>
        </w:rPr>
        <w:t xml:space="preserve"> tran</w:t>
      </w:r>
      <w:r w:rsidR="004B7BA7" w:rsidRPr="000B14B8">
        <w:rPr>
          <w:rFonts w:ascii="Cambria" w:hAnsi="Cambria"/>
          <w:sz w:val="22"/>
        </w:rPr>
        <w:t xml:space="preserve">snational enterprises </w:t>
      </w:r>
      <w:r w:rsidR="00701FAD" w:rsidRPr="000B14B8">
        <w:rPr>
          <w:rFonts w:ascii="Cambria" w:hAnsi="Cambria"/>
          <w:sz w:val="22"/>
        </w:rPr>
        <w:t>that</w:t>
      </w:r>
      <w:r w:rsidR="00CE3F31" w:rsidRPr="000B14B8">
        <w:rPr>
          <w:rFonts w:ascii="Cambria" w:hAnsi="Cambria"/>
          <w:sz w:val="22"/>
        </w:rPr>
        <w:t>, in respect of the restructuring of their workforce,</w:t>
      </w:r>
      <w:r w:rsidR="00701FAD" w:rsidRPr="000B14B8">
        <w:rPr>
          <w:rFonts w:ascii="Cambria" w:hAnsi="Cambria"/>
          <w:sz w:val="22"/>
        </w:rPr>
        <w:t xml:space="preserve"> </w:t>
      </w:r>
      <w:r w:rsidR="007313C7">
        <w:rPr>
          <w:rFonts w:ascii="Cambria" w:hAnsi="Cambria"/>
          <w:sz w:val="22"/>
        </w:rPr>
        <w:t>could</w:t>
      </w:r>
      <w:r w:rsidR="004B7BA7" w:rsidRPr="000B14B8">
        <w:rPr>
          <w:rFonts w:ascii="Cambria" w:hAnsi="Cambria"/>
          <w:sz w:val="22"/>
        </w:rPr>
        <w:t xml:space="preserve"> </w:t>
      </w:r>
      <w:r w:rsidR="00701FAD" w:rsidRPr="000B14B8">
        <w:rPr>
          <w:rFonts w:ascii="Cambria" w:hAnsi="Cambria"/>
          <w:sz w:val="22"/>
        </w:rPr>
        <w:t xml:space="preserve">evade </w:t>
      </w:r>
      <w:r w:rsidR="00B359E3" w:rsidRPr="000B14B8">
        <w:rPr>
          <w:rFonts w:ascii="Cambria" w:hAnsi="Cambria"/>
          <w:sz w:val="22"/>
        </w:rPr>
        <w:t xml:space="preserve">strict </w:t>
      </w:r>
      <w:r w:rsidR="00A82025" w:rsidRPr="000B14B8">
        <w:rPr>
          <w:rFonts w:ascii="Cambria" w:hAnsi="Cambria"/>
          <w:sz w:val="22"/>
        </w:rPr>
        <w:t xml:space="preserve">national social protection </w:t>
      </w:r>
      <w:r w:rsidR="00B359E3" w:rsidRPr="000B14B8">
        <w:rPr>
          <w:rFonts w:ascii="Cambria" w:hAnsi="Cambria"/>
          <w:sz w:val="22"/>
        </w:rPr>
        <w:t xml:space="preserve">by resorting to a national system of </w:t>
      </w:r>
      <w:r w:rsidR="007313C7">
        <w:rPr>
          <w:rFonts w:ascii="Cambria" w:hAnsi="Cambria"/>
          <w:sz w:val="22"/>
        </w:rPr>
        <w:t xml:space="preserve">a </w:t>
      </w:r>
      <w:r w:rsidR="00B359E3" w:rsidRPr="000B14B8">
        <w:rPr>
          <w:rFonts w:ascii="Cambria" w:hAnsi="Cambria"/>
          <w:sz w:val="22"/>
        </w:rPr>
        <w:t>lower level</w:t>
      </w:r>
      <w:r w:rsidR="00FE278D" w:rsidRPr="000B14B8">
        <w:rPr>
          <w:rFonts w:ascii="Cambria" w:hAnsi="Cambria"/>
          <w:sz w:val="22"/>
        </w:rPr>
        <w:t>. The</w:t>
      </w:r>
      <w:r w:rsidR="00EF7242" w:rsidRPr="000B14B8">
        <w:rPr>
          <w:rFonts w:ascii="Cambria" w:hAnsi="Cambria"/>
          <w:sz w:val="22"/>
        </w:rPr>
        <w:t xml:space="preserve"> Commission and the member</w:t>
      </w:r>
      <w:r w:rsidR="00FE278D" w:rsidRPr="000B14B8">
        <w:rPr>
          <w:rFonts w:ascii="Cambria" w:hAnsi="Cambria"/>
          <w:sz w:val="22"/>
        </w:rPr>
        <w:t xml:space="preserve"> states react</w:t>
      </w:r>
      <w:r w:rsidR="007313C7">
        <w:rPr>
          <w:rFonts w:ascii="Cambria" w:hAnsi="Cambria"/>
          <w:sz w:val="22"/>
        </w:rPr>
        <w:t>ed</w:t>
      </w:r>
      <w:r w:rsidR="00FE278D" w:rsidRPr="000B14B8">
        <w:rPr>
          <w:rFonts w:ascii="Cambria" w:hAnsi="Cambria"/>
          <w:sz w:val="22"/>
        </w:rPr>
        <w:t xml:space="preserve"> promptly with the adoption of the </w:t>
      </w:r>
      <w:r w:rsidR="00701FAD" w:rsidRPr="000B14B8">
        <w:rPr>
          <w:rFonts w:ascii="Cambria" w:hAnsi="Cambria"/>
          <w:sz w:val="22"/>
        </w:rPr>
        <w:t>‘</w:t>
      </w:r>
      <w:r w:rsidR="00FE278D" w:rsidRPr="000B14B8">
        <w:rPr>
          <w:rFonts w:ascii="Cambria" w:hAnsi="Cambria"/>
          <w:sz w:val="22"/>
        </w:rPr>
        <w:t>restructuring directives</w:t>
      </w:r>
      <w:r w:rsidR="00701FAD" w:rsidRPr="000B14B8">
        <w:rPr>
          <w:rFonts w:ascii="Cambria" w:hAnsi="Cambria"/>
          <w:sz w:val="22"/>
        </w:rPr>
        <w:t>’</w:t>
      </w:r>
      <w:r w:rsidR="00FE278D" w:rsidRPr="000B14B8">
        <w:rPr>
          <w:rFonts w:ascii="Cambria" w:hAnsi="Cambria"/>
          <w:sz w:val="22"/>
        </w:rPr>
        <w:t xml:space="preserve"> harmonizing the protection of workers.</w:t>
      </w:r>
      <w:r w:rsidR="00FE3241" w:rsidRPr="000B14B8">
        <w:rPr>
          <w:rStyle w:val="Voetnootmarkering"/>
          <w:rFonts w:ascii="Cambria" w:hAnsi="Cambria"/>
          <w:sz w:val="22"/>
        </w:rPr>
        <w:footnoteReference w:id="41"/>
      </w:r>
      <w:r w:rsidR="00FE278D" w:rsidRPr="000B14B8">
        <w:rPr>
          <w:rFonts w:ascii="Cambria" w:hAnsi="Cambria"/>
          <w:sz w:val="22"/>
        </w:rPr>
        <w:t xml:space="preserve"> In </w:t>
      </w:r>
      <w:r w:rsidR="007313C7">
        <w:rPr>
          <w:rFonts w:ascii="Cambria" w:hAnsi="Cambria"/>
          <w:sz w:val="22"/>
        </w:rPr>
        <w:t xml:space="preserve">the </w:t>
      </w:r>
      <w:r w:rsidR="00FE278D" w:rsidRPr="000B14B8">
        <w:rPr>
          <w:rFonts w:ascii="Cambria" w:hAnsi="Cambria"/>
          <w:sz w:val="22"/>
        </w:rPr>
        <w:t xml:space="preserve">case of collective </w:t>
      </w:r>
      <w:r w:rsidR="00FE278D" w:rsidRPr="000B14B8">
        <w:rPr>
          <w:rFonts w:ascii="Cambria" w:hAnsi="Cambria"/>
          <w:sz w:val="22"/>
        </w:rPr>
        <w:lastRenderedPageBreak/>
        <w:t>redundancies the employer is obliged to consult trade unions beforehand ‘with the view of reaching an agreement’.</w:t>
      </w:r>
      <w:r w:rsidR="00701FAD" w:rsidRPr="008921EE">
        <w:rPr>
          <w:rFonts w:ascii="Cambria" w:hAnsi="Cambria"/>
          <w:sz w:val="22"/>
        </w:rPr>
        <w:t xml:space="preserve"> </w:t>
      </w:r>
      <w:r w:rsidR="007313C7">
        <w:rPr>
          <w:rFonts w:ascii="Cambria" w:hAnsi="Cambria"/>
          <w:sz w:val="22"/>
        </w:rPr>
        <w:t>Due to the</w:t>
      </w:r>
      <w:r w:rsidR="00701FAD" w:rsidRPr="008921EE">
        <w:rPr>
          <w:rFonts w:ascii="Cambria" w:hAnsi="Cambria"/>
          <w:sz w:val="22"/>
        </w:rPr>
        <w:t xml:space="preserve"> lac</w:t>
      </w:r>
      <w:r w:rsidR="00701FAD" w:rsidRPr="001E3E67">
        <w:rPr>
          <w:rFonts w:ascii="Cambria" w:hAnsi="Cambria"/>
          <w:sz w:val="22"/>
        </w:rPr>
        <w:t xml:space="preserve">k of competence for social European legislation, the directives are based upon article 100 </w:t>
      </w:r>
      <w:r w:rsidR="00011D82" w:rsidRPr="001E3E67">
        <w:rPr>
          <w:rFonts w:ascii="Cambria" w:hAnsi="Cambria"/>
          <w:sz w:val="22"/>
        </w:rPr>
        <w:t xml:space="preserve">EEC </w:t>
      </w:r>
      <w:r w:rsidR="00701FAD" w:rsidRPr="001E3E67">
        <w:rPr>
          <w:rFonts w:ascii="Cambria" w:hAnsi="Cambria"/>
          <w:sz w:val="22"/>
        </w:rPr>
        <w:t>(now 115 TFEU). Social protection, hence, cannot be regulated in its own right</w:t>
      </w:r>
      <w:r w:rsidR="00CE3F31" w:rsidRPr="000B14B8">
        <w:rPr>
          <w:rFonts w:ascii="Cambria" w:hAnsi="Cambria"/>
          <w:sz w:val="22"/>
        </w:rPr>
        <w:t>,</w:t>
      </w:r>
      <w:r w:rsidR="00701FAD" w:rsidRPr="000B14B8">
        <w:rPr>
          <w:rFonts w:ascii="Cambria" w:hAnsi="Cambria"/>
          <w:sz w:val="22"/>
        </w:rPr>
        <w:t xml:space="preserve"> but is derived from </w:t>
      </w:r>
      <w:r w:rsidR="002A10E1" w:rsidRPr="000B14B8">
        <w:rPr>
          <w:rFonts w:ascii="Cambria" w:hAnsi="Cambria"/>
          <w:sz w:val="22"/>
        </w:rPr>
        <w:t xml:space="preserve">the need for </w:t>
      </w:r>
      <w:r w:rsidR="00701FAD" w:rsidRPr="000B14B8">
        <w:rPr>
          <w:rFonts w:ascii="Cambria" w:hAnsi="Cambria"/>
          <w:sz w:val="22"/>
        </w:rPr>
        <w:t xml:space="preserve">fair </w:t>
      </w:r>
      <w:r w:rsidR="00B359E3" w:rsidRPr="000B14B8">
        <w:rPr>
          <w:rFonts w:ascii="Cambria" w:hAnsi="Cambria"/>
          <w:sz w:val="22"/>
        </w:rPr>
        <w:t xml:space="preserve">economic </w:t>
      </w:r>
      <w:r w:rsidR="00701FAD" w:rsidRPr="000B14B8">
        <w:rPr>
          <w:rFonts w:ascii="Cambria" w:hAnsi="Cambria"/>
          <w:sz w:val="22"/>
        </w:rPr>
        <w:t>competition</w:t>
      </w:r>
      <w:r w:rsidR="00900F02" w:rsidRPr="000B14B8">
        <w:rPr>
          <w:rFonts w:ascii="Cambria" w:hAnsi="Cambria"/>
          <w:sz w:val="22"/>
        </w:rPr>
        <w:t xml:space="preserve"> within a common market</w:t>
      </w:r>
      <w:r w:rsidR="00B359E3" w:rsidRPr="000B14B8">
        <w:rPr>
          <w:rFonts w:ascii="Cambria" w:hAnsi="Cambria"/>
          <w:sz w:val="22"/>
        </w:rPr>
        <w:t>.</w:t>
      </w:r>
      <w:r w:rsidR="002A10E1" w:rsidRPr="000B14B8">
        <w:rPr>
          <w:rFonts w:ascii="Cambria" w:hAnsi="Cambria"/>
          <w:sz w:val="22"/>
        </w:rPr>
        <w:t xml:space="preserve"> </w:t>
      </w:r>
      <w:r w:rsidR="00DA050D">
        <w:rPr>
          <w:rFonts w:ascii="Cambria" w:hAnsi="Cambria"/>
          <w:sz w:val="22"/>
        </w:rPr>
        <w:t xml:space="preserve">In order to adopt </w:t>
      </w:r>
      <w:r w:rsidR="002A10E1" w:rsidRPr="000B14B8">
        <w:rPr>
          <w:rFonts w:ascii="Cambria" w:hAnsi="Cambria"/>
          <w:sz w:val="22"/>
        </w:rPr>
        <w:t>social regulations on the basis of Article 115, which requires unanimity, states must share a common socio</w:t>
      </w:r>
      <w:r w:rsidR="000C3FC5" w:rsidRPr="000B14B8">
        <w:rPr>
          <w:rFonts w:ascii="Cambria" w:hAnsi="Cambria"/>
          <w:sz w:val="22"/>
        </w:rPr>
        <w:t xml:space="preserve">-political philosophy on the necessity </w:t>
      </w:r>
      <w:r w:rsidR="002A10E1" w:rsidRPr="000B14B8">
        <w:rPr>
          <w:rFonts w:ascii="Cambria" w:hAnsi="Cambria"/>
          <w:sz w:val="22"/>
        </w:rPr>
        <w:t xml:space="preserve">of </w:t>
      </w:r>
      <w:r w:rsidR="000C3FC5" w:rsidRPr="000B14B8">
        <w:rPr>
          <w:rFonts w:ascii="Cambria" w:hAnsi="Cambria"/>
          <w:sz w:val="22"/>
        </w:rPr>
        <w:t xml:space="preserve">creating a </w:t>
      </w:r>
      <w:r w:rsidR="002A10E1" w:rsidRPr="000B14B8">
        <w:rPr>
          <w:rFonts w:ascii="Cambria" w:hAnsi="Cambria"/>
          <w:sz w:val="22"/>
        </w:rPr>
        <w:t>level playing</w:t>
      </w:r>
      <w:r w:rsidR="000C3FC5" w:rsidRPr="000B14B8">
        <w:rPr>
          <w:rFonts w:ascii="Cambria" w:hAnsi="Cambria"/>
          <w:sz w:val="22"/>
        </w:rPr>
        <w:t xml:space="preserve"> </w:t>
      </w:r>
      <w:r w:rsidR="007313C7">
        <w:rPr>
          <w:rFonts w:ascii="Cambria" w:hAnsi="Cambria"/>
          <w:sz w:val="22"/>
        </w:rPr>
        <w:t xml:space="preserve">field </w:t>
      </w:r>
      <w:r w:rsidR="000C3FC5" w:rsidRPr="000B14B8">
        <w:rPr>
          <w:rFonts w:ascii="Cambria" w:hAnsi="Cambria"/>
          <w:sz w:val="22"/>
        </w:rPr>
        <w:t xml:space="preserve">by state </w:t>
      </w:r>
      <w:r w:rsidR="00C272EA" w:rsidRPr="000B14B8">
        <w:rPr>
          <w:rFonts w:ascii="Cambria" w:hAnsi="Cambria"/>
          <w:sz w:val="22"/>
        </w:rPr>
        <w:t>interven</w:t>
      </w:r>
      <w:r w:rsidR="000C3FC5" w:rsidRPr="000B14B8">
        <w:rPr>
          <w:rFonts w:ascii="Cambria" w:hAnsi="Cambria"/>
          <w:sz w:val="22"/>
        </w:rPr>
        <w:t>tion</w:t>
      </w:r>
      <w:r w:rsidR="00EF7242" w:rsidRPr="000B14B8">
        <w:rPr>
          <w:rFonts w:ascii="Cambria" w:hAnsi="Cambria"/>
          <w:sz w:val="22"/>
        </w:rPr>
        <w:t xml:space="preserve"> in the market</w:t>
      </w:r>
      <w:r w:rsidR="000C3FC5" w:rsidRPr="000B14B8">
        <w:rPr>
          <w:rFonts w:ascii="Cambria" w:hAnsi="Cambria"/>
          <w:sz w:val="22"/>
        </w:rPr>
        <w:t xml:space="preserve">, as well </w:t>
      </w:r>
      <w:r w:rsidR="00895EB1" w:rsidRPr="000B14B8">
        <w:rPr>
          <w:rFonts w:ascii="Cambria" w:hAnsi="Cambria"/>
          <w:sz w:val="22"/>
        </w:rPr>
        <w:t>as, in certain issues,</w:t>
      </w:r>
      <w:r w:rsidR="000C3FC5" w:rsidRPr="000B14B8">
        <w:rPr>
          <w:rFonts w:ascii="Cambria" w:hAnsi="Cambria"/>
          <w:sz w:val="22"/>
        </w:rPr>
        <w:t xml:space="preserve"> </w:t>
      </w:r>
      <w:r w:rsidR="00EF7242" w:rsidRPr="000B14B8">
        <w:rPr>
          <w:rFonts w:ascii="Cambria" w:hAnsi="Cambria"/>
          <w:sz w:val="22"/>
        </w:rPr>
        <w:t xml:space="preserve">on </w:t>
      </w:r>
      <w:r w:rsidR="000C3FC5" w:rsidRPr="000B14B8">
        <w:rPr>
          <w:rFonts w:ascii="Cambria" w:hAnsi="Cambria"/>
          <w:sz w:val="22"/>
        </w:rPr>
        <w:t>the</w:t>
      </w:r>
      <w:r w:rsidR="00EF7242" w:rsidRPr="000B14B8">
        <w:rPr>
          <w:rFonts w:ascii="Cambria" w:hAnsi="Cambria"/>
          <w:sz w:val="22"/>
        </w:rPr>
        <w:t xml:space="preserve"> </w:t>
      </w:r>
      <w:r w:rsidR="000C3FC5" w:rsidRPr="000B14B8">
        <w:rPr>
          <w:rFonts w:ascii="Cambria" w:hAnsi="Cambria"/>
          <w:sz w:val="22"/>
        </w:rPr>
        <w:t>role of trade unions</w:t>
      </w:r>
      <w:r w:rsidR="00DA050D">
        <w:rPr>
          <w:rFonts w:ascii="Cambria" w:hAnsi="Cambria"/>
          <w:sz w:val="22"/>
        </w:rPr>
        <w:t xml:space="preserve"> in regulating labour</w:t>
      </w:r>
      <w:r w:rsidR="000C3FC5" w:rsidRPr="000B14B8">
        <w:rPr>
          <w:rFonts w:ascii="Cambria" w:hAnsi="Cambria"/>
          <w:sz w:val="22"/>
        </w:rPr>
        <w:t>.</w:t>
      </w:r>
      <w:r w:rsidR="00845290" w:rsidRPr="00845290">
        <w:rPr>
          <w:rFonts w:ascii="Cambria" w:hAnsi="Cambria" w:cs="Times New Roman"/>
          <w:sz w:val="22"/>
        </w:rPr>
        <w:t xml:space="preserve"> </w:t>
      </w:r>
      <w:r w:rsidR="00DA050D">
        <w:rPr>
          <w:rFonts w:ascii="Cambria" w:hAnsi="Cambria" w:cs="Times New Roman"/>
          <w:sz w:val="22"/>
        </w:rPr>
        <w:t xml:space="preserve">In the </w:t>
      </w:r>
      <w:r w:rsidR="007313C7">
        <w:rPr>
          <w:rFonts w:ascii="Cambria" w:hAnsi="Cambria" w:cs="Times New Roman"/>
          <w:sz w:val="22"/>
        </w:rPr>
        <w:t>19</w:t>
      </w:r>
      <w:r w:rsidR="00DA050D">
        <w:rPr>
          <w:rFonts w:ascii="Cambria" w:hAnsi="Cambria" w:cs="Times New Roman"/>
          <w:sz w:val="22"/>
        </w:rPr>
        <w:t xml:space="preserve">70s this </w:t>
      </w:r>
      <w:r w:rsidR="007313C7">
        <w:rPr>
          <w:rFonts w:ascii="Cambria" w:hAnsi="Cambria" w:cs="Times New Roman"/>
          <w:sz w:val="22"/>
        </w:rPr>
        <w:t>was</w:t>
      </w:r>
      <w:r w:rsidR="00DA050D">
        <w:rPr>
          <w:rFonts w:ascii="Cambria" w:hAnsi="Cambria" w:cs="Times New Roman"/>
          <w:sz w:val="22"/>
        </w:rPr>
        <w:t xml:space="preserve"> still the case. But </w:t>
      </w:r>
      <w:r w:rsidR="00DA050D">
        <w:rPr>
          <w:rFonts w:ascii="Cambria" w:hAnsi="Cambria"/>
          <w:sz w:val="22"/>
        </w:rPr>
        <w:t>w</w:t>
      </w:r>
      <w:r w:rsidR="00C272EA" w:rsidRPr="008921EE">
        <w:rPr>
          <w:rFonts w:ascii="Cambria" w:hAnsi="Cambria"/>
          <w:sz w:val="22"/>
        </w:rPr>
        <w:t xml:space="preserve">ith the accession of </w:t>
      </w:r>
      <w:r w:rsidR="00C272EA" w:rsidRPr="001E3E67">
        <w:rPr>
          <w:rFonts w:ascii="Cambria" w:hAnsi="Cambria"/>
          <w:sz w:val="22"/>
        </w:rPr>
        <w:t xml:space="preserve">especially </w:t>
      </w:r>
      <w:r w:rsidR="007313C7">
        <w:rPr>
          <w:rFonts w:ascii="Cambria" w:hAnsi="Cambria"/>
          <w:sz w:val="22"/>
        </w:rPr>
        <w:t>Great Britain</w:t>
      </w:r>
      <w:r w:rsidR="00C272EA" w:rsidRPr="001E3E67">
        <w:rPr>
          <w:rFonts w:ascii="Cambria" w:hAnsi="Cambria"/>
          <w:sz w:val="22"/>
        </w:rPr>
        <w:t xml:space="preserve"> and Ireland </w:t>
      </w:r>
      <w:r w:rsidR="00EF7242" w:rsidRPr="001E3E67">
        <w:rPr>
          <w:rFonts w:ascii="Cambria" w:hAnsi="Cambria"/>
          <w:sz w:val="22"/>
        </w:rPr>
        <w:t>and later southern states like Greece and Portugal</w:t>
      </w:r>
      <w:r w:rsidR="009B0E2C" w:rsidRPr="001E3E67">
        <w:rPr>
          <w:rFonts w:ascii="Cambria" w:hAnsi="Cambria"/>
          <w:sz w:val="22"/>
        </w:rPr>
        <w:t>,</w:t>
      </w:r>
      <w:r w:rsidR="00EF7242" w:rsidRPr="001E3E67">
        <w:rPr>
          <w:rFonts w:ascii="Cambria" w:hAnsi="Cambria"/>
          <w:sz w:val="22"/>
        </w:rPr>
        <w:t xml:space="preserve"> </w:t>
      </w:r>
      <w:r w:rsidR="00C272EA" w:rsidRPr="000B14B8">
        <w:rPr>
          <w:rFonts w:ascii="Cambria" w:hAnsi="Cambria"/>
          <w:sz w:val="22"/>
        </w:rPr>
        <w:t xml:space="preserve">the heterogeneity in this respect </w:t>
      </w:r>
      <w:r w:rsidR="00EF7242" w:rsidRPr="000B14B8">
        <w:rPr>
          <w:rFonts w:ascii="Cambria" w:hAnsi="Cambria"/>
          <w:sz w:val="22"/>
        </w:rPr>
        <w:t>increased</w:t>
      </w:r>
      <w:r w:rsidR="00C272EA" w:rsidRPr="000B14B8">
        <w:rPr>
          <w:rFonts w:ascii="Cambria" w:hAnsi="Cambria"/>
          <w:sz w:val="22"/>
        </w:rPr>
        <w:t>.</w:t>
      </w:r>
      <w:r w:rsidR="00C272EA" w:rsidRPr="000B14B8">
        <w:rPr>
          <w:rStyle w:val="Voetnootmarkering"/>
          <w:rFonts w:ascii="Cambria" w:hAnsi="Cambria"/>
          <w:sz w:val="22"/>
        </w:rPr>
        <w:footnoteReference w:id="42"/>
      </w:r>
      <w:r w:rsidR="00FE3241" w:rsidRPr="000B14B8">
        <w:rPr>
          <w:rFonts w:ascii="Cambria" w:hAnsi="Cambria"/>
          <w:sz w:val="22"/>
        </w:rPr>
        <w:t xml:space="preserve"> </w:t>
      </w:r>
      <w:r w:rsidR="00EF7242" w:rsidRPr="008921EE">
        <w:rPr>
          <w:rFonts w:ascii="Cambria" w:hAnsi="Cambria"/>
          <w:sz w:val="22"/>
        </w:rPr>
        <w:t>Since 1980</w:t>
      </w:r>
      <w:r w:rsidR="00895EB1" w:rsidRPr="001E3E67">
        <w:rPr>
          <w:rFonts w:ascii="Cambria" w:hAnsi="Cambria"/>
          <w:sz w:val="22"/>
        </w:rPr>
        <w:t>,</w:t>
      </w:r>
      <w:r w:rsidR="00EF7242" w:rsidRPr="001E3E67">
        <w:rPr>
          <w:rFonts w:ascii="Cambria" w:hAnsi="Cambria"/>
          <w:sz w:val="22"/>
        </w:rPr>
        <w:t xml:space="preserve"> article 115 has </w:t>
      </w:r>
      <w:r w:rsidR="00C272EA" w:rsidRPr="001E3E67">
        <w:rPr>
          <w:rFonts w:ascii="Cambria" w:hAnsi="Cambria"/>
          <w:sz w:val="22"/>
        </w:rPr>
        <w:t>no</w:t>
      </w:r>
      <w:r w:rsidR="007313C7">
        <w:rPr>
          <w:rFonts w:ascii="Cambria" w:hAnsi="Cambria"/>
          <w:sz w:val="22"/>
        </w:rPr>
        <w:t xml:space="preserve"> longer</w:t>
      </w:r>
      <w:r w:rsidR="00C272EA" w:rsidRPr="001E3E67">
        <w:rPr>
          <w:rFonts w:ascii="Cambria" w:hAnsi="Cambria"/>
          <w:sz w:val="22"/>
        </w:rPr>
        <w:t xml:space="preserve"> been used </w:t>
      </w:r>
      <w:r w:rsidR="00EF7242" w:rsidRPr="001E3E67">
        <w:rPr>
          <w:rFonts w:ascii="Cambria" w:hAnsi="Cambria"/>
          <w:sz w:val="22"/>
        </w:rPr>
        <w:t xml:space="preserve">for social policy </w:t>
      </w:r>
      <w:r w:rsidR="00EF7242" w:rsidRPr="000B14B8">
        <w:rPr>
          <w:rFonts w:ascii="Cambria" w:hAnsi="Cambria"/>
          <w:sz w:val="22"/>
        </w:rPr>
        <w:t>measures</w:t>
      </w:r>
      <w:r w:rsidR="00FE3241" w:rsidRPr="000B14B8">
        <w:rPr>
          <w:rFonts w:ascii="Cambria" w:hAnsi="Cambria"/>
          <w:sz w:val="22"/>
        </w:rPr>
        <w:t xml:space="preserve">. </w:t>
      </w:r>
    </w:p>
    <w:p w:rsidR="009B0E2C" w:rsidRPr="000B14B8" w:rsidRDefault="009B0E2C" w:rsidP="006A1712">
      <w:pPr>
        <w:spacing w:after="0" w:line="240" w:lineRule="auto"/>
        <w:jc w:val="both"/>
        <w:rPr>
          <w:rFonts w:ascii="Cambria" w:hAnsi="Cambria"/>
          <w:sz w:val="22"/>
        </w:rPr>
      </w:pPr>
    </w:p>
    <w:p w:rsidR="009B0E2C" w:rsidRPr="00030460" w:rsidRDefault="009B0E2C" w:rsidP="00065F9B">
      <w:pPr>
        <w:spacing w:after="0" w:line="240" w:lineRule="auto"/>
        <w:jc w:val="both"/>
        <w:outlineLvl w:val="0"/>
        <w:rPr>
          <w:rFonts w:ascii="Cambria" w:hAnsi="Cambria"/>
          <w:sz w:val="22"/>
        </w:rPr>
      </w:pPr>
      <w:r w:rsidRPr="000B14B8">
        <w:rPr>
          <w:rFonts w:ascii="Cambria" w:hAnsi="Cambria"/>
          <w:sz w:val="22"/>
        </w:rPr>
        <w:tab/>
      </w:r>
      <w:r w:rsidRPr="00030460">
        <w:rPr>
          <w:rFonts w:ascii="Cambria" w:hAnsi="Cambria"/>
          <w:sz w:val="22"/>
        </w:rPr>
        <w:t xml:space="preserve">3.2 </w:t>
      </w:r>
      <w:r w:rsidR="007D186A" w:rsidRPr="00030460">
        <w:rPr>
          <w:rFonts w:ascii="Cambria" w:hAnsi="Cambria"/>
          <w:sz w:val="22"/>
        </w:rPr>
        <w:t>The complementation of the internal market</w:t>
      </w:r>
      <w:r w:rsidR="00D61CDB" w:rsidRPr="00030460">
        <w:rPr>
          <w:rFonts w:ascii="Cambria" w:hAnsi="Cambria"/>
          <w:sz w:val="22"/>
        </w:rPr>
        <w:t xml:space="preserve"> and the</w:t>
      </w:r>
      <w:r w:rsidR="00007A3E" w:rsidRPr="00030460">
        <w:rPr>
          <w:rFonts w:ascii="Cambria" w:hAnsi="Cambria"/>
          <w:sz w:val="22"/>
        </w:rPr>
        <w:t xml:space="preserve"> endeavour for a </w:t>
      </w:r>
      <w:r w:rsidR="00D61CDB" w:rsidRPr="00030460">
        <w:rPr>
          <w:rFonts w:ascii="Cambria" w:hAnsi="Cambria"/>
          <w:sz w:val="22"/>
        </w:rPr>
        <w:t>social Europe</w:t>
      </w:r>
    </w:p>
    <w:p w:rsidR="009B0E2C" w:rsidRPr="000B14B8" w:rsidRDefault="009B0E2C" w:rsidP="006A1712">
      <w:pPr>
        <w:spacing w:after="0" w:line="240" w:lineRule="auto"/>
        <w:jc w:val="both"/>
        <w:rPr>
          <w:rFonts w:ascii="Cambria" w:hAnsi="Cambria"/>
          <w:sz w:val="22"/>
        </w:rPr>
      </w:pPr>
    </w:p>
    <w:p w:rsidR="006D2F42" w:rsidRPr="000B14B8" w:rsidRDefault="00895EB1" w:rsidP="006A1712">
      <w:pPr>
        <w:spacing w:after="0" w:line="240" w:lineRule="auto"/>
        <w:jc w:val="both"/>
        <w:rPr>
          <w:rFonts w:ascii="Cambria" w:hAnsi="Cambria" w:cs="Times New Roman"/>
          <w:sz w:val="22"/>
        </w:rPr>
      </w:pPr>
      <w:r w:rsidRPr="000B14B8">
        <w:rPr>
          <w:rFonts w:ascii="Cambria" w:hAnsi="Cambria"/>
          <w:sz w:val="22"/>
        </w:rPr>
        <w:t xml:space="preserve">The rather strict lines between </w:t>
      </w:r>
      <w:r w:rsidR="002F3AEE" w:rsidRPr="000B14B8">
        <w:rPr>
          <w:rFonts w:ascii="Cambria" w:hAnsi="Cambria"/>
          <w:sz w:val="22"/>
        </w:rPr>
        <w:t xml:space="preserve">the </w:t>
      </w:r>
      <w:r w:rsidRPr="000B14B8">
        <w:rPr>
          <w:rFonts w:ascii="Cambria" w:hAnsi="Cambria"/>
          <w:sz w:val="22"/>
        </w:rPr>
        <w:t>economic and social spheres</w:t>
      </w:r>
      <w:r w:rsidR="00F72A69">
        <w:rPr>
          <w:rFonts w:ascii="Cambria" w:hAnsi="Cambria"/>
          <w:sz w:val="22"/>
        </w:rPr>
        <w:t>,</w:t>
      </w:r>
      <w:r w:rsidRPr="000B14B8">
        <w:rPr>
          <w:rFonts w:ascii="Cambria" w:hAnsi="Cambria"/>
          <w:sz w:val="22"/>
        </w:rPr>
        <w:t xml:space="preserve"> as result of the </w:t>
      </w:r>
      <w:r w:rsidR="006E6C11" w:rsidRPr="000B14B8">
        <w:rPr>
          <w:rFonts w:ascii="Cambria" w:hAnsi="Cambria"/>
          <w:sz w:val="22"/>
        </w:rPr>
        <w:t>‘constitutional asymmetry’ at</w:t>
      </w:r>
      <w:r w:rsidR="00F72A69">
        <w:rPr>
          <w:rFonts w:ascii="Cambria" w:hAnsi="Cambria"/>
          <w:sz w:val="22"/>
        </w:rPr>
        <w:t xml:space="preserve"> the</w:t>
      </w:r>
      <w:r w:rsidR="006E6C11" w:rsidRPr="000B14B8">
        <w:rPr>
          <w:rFonts w:ascii="Cambria" w:hAnsi="Cambria"/>
          <w:sz w:val="22"/>
        </w:rPr>
        <w:t xml:space="preserve"> European level, </w:t>
      </w:r>
      <w:r w:rsidR="002F3AEE" w:rsidRPr="000B14B8">
        <w:rPr>
          <w:rFonts w:ascii="Cambria" w:hAnsi="Cambria"/>
          <w:sz w:val="22"/>
        </w:rPr>
        <w:t xml:space="preserve">started to have more serious </w:t>
      </w:r>
      <w:r w:rsidR="006E6C11" w:rsidRPr="000B14B8">
        <w:rPr>
          <w:rFonts w:ascii="Cambria" w:hAnsi="Cambria"/>
          <w:sz w:val="22"/>
        </w:rPr>
        <w:t xml:space="preserve">consequences when </w:t>
      </w:r>
      <w:r w:rsidRPr="000B14B8">
        <w:rPr>
          <w:rFonts w:ascii="Cambria" w:hAnsi="Cambria"/>
          <w:sz w:val="22"/>
        </w:rPr>
        <w:t xml:space="preserve">economic integration </w:t>
      </w:r>
      <w:r w:rsidR="006E6C11" w:rsidRPr="000B14B8">
        <w:rPr>
          <w:rFonts w:ascii="Cambria" w:hAnsi="Cambria"/>
          <w:sz w:val="22"/>
        </w:rPr>
        <w:t>in the mid</w:t>
      </w:r>
      <w:r w:rsidR="00F72A69">
        <w:rPr>
          <w:rFonts w:ascii="Cambria" w:hAnsi="Cambria"/>
          <w:sz w:val="22"/>
        </w:rPr>
        <w:t>-19</w:t>
      </w:r>
      <w:r w:rsidR="006E6C11" w:rsidRPr="000B14B8">
        <w:rPr>
          <w:rFonts w:ascii="Cambria" w:hAnsi="Cambria"/>
          <w:sz w:val="22"/>
        </w:rPr>
        <w:t xml:space="preserve">80s </w:t>
      </w:r>
      <w:r w:rsidRPr="000B14B8">
        <w:rPr>
          <w:rFonts w:ascii="Cambria" w:hAnsi="Cambria"/>
          <w:sz w:val="22"/>
        </w:rPr>
        <w:t>was greatly deepened and widened by the internal market</w:t>
      </w:r>
      <w:r w:rsidR="006E6C11" w:rsidRPr="000B14B8">
        <w:rPr>
          <w:rFonts w:ascii="Cambria" w:hAnsi="Cambria"/>
          <w:sz w:val="22"/>
        </w:rPr>
        <w:t xml:space="preserve"> </w:t>
      </w:r>
      <w:r w:rsidRPr="000B14B8">
        <w:rPr>
          <w:rFonts w:ascii="Cambria" w:hAnsi="Cambria"/>
          <w:sz w:val="22"/>
        </w:rPr>
        <w:t>program</w:t>
      </w:r>
      <w:r w:rsidR="006E6C11" w:rsidRPr="000B14B8">
        <w:rPr>
          <w:rFonts w:ascii="Cambria" w:hAnsi="Cambria"/>
          <w:sz w:val="22"/>
        </w:rPr>
        <w:softHyphen/>
      </w:r>
      <w:r w:rsidRPr="000B14B8">
        <w:rPr>
          <w:rFonts w:ascii="Cambria" w:hAnsi="Cambria"/>
          <w:sz w:val="22"/>
        </w:rPr>
        <w:t>me and the Single European Act</w:t>
      </w:r>
      <w:r w:rsidR="007A0352" w:rsidRPr="000B14B8">
        <w:rPr>
          <w:rFonts w:ascii="Cambria" w:hAnsi="Cambria"/>
          <w:sz w:val="22"/>
        </w:rPr>
        <w:t xml:space="preserve"> (1986)</w:t>
      </w:r>
      <w:r w:rsidRPr="000B14B8">
        <w:rPr>
          <w:rFonts w:ascii="Cambria" w:hAnsi="Cambria"/>
          <w:sz w:val="22"/>
        </w:rPr>
        <w:t>, and it came to matter even more</w:t>
      </w:r>
      <w:r w:rsidR="006E6C11" w:rsidRPr="000B14B8">
        <w:rPr>
          <w:rFonts w:ascii="Cambria" w:hAnsi="Cambria"/>
          <w:sz w:val="22"/>
        </w:rPr>
        <w:t xml:space="preserve"> </w:t>
      </w:r>
      <w:r w:rsidRPr="000B14B8">
        <w:rPr>
          <w:rFonts w:ascii="Cambria" w:hAnsi="Cambria"/>
          <w:sz w:val="22"/>
        </w:rPr>
        <w:t xml:space="preserve">when the Maastricht Treaty committed Member States to create </w:t>
      </w:r>
      <w:r w:rsidR="007A0352" w:rsidRPr="000B14B8">
        <w:rPr>
          <w:rFonts w:ascii="Cambria" w:hAnsi="Cambria"/>
          <w:sz w:val="22"/>
        </w:rPr>
        <w:t xml:space="preserve">an </w:t>
      </w:r>
      <w:r w:rsidRPr="000B14B8">
        <w:rPr>
          <w:rFonts w:ascii="Cambria" w:hAnsi="Cambria"/>
          <w:sz w:val="22"/>
        </w:rPr>
        <w:t>E</w:t>
      </w:r>
      <w:r w:rsidR="007A0352" w:rsidRPr="000B14B8">
        <w:rPr>
          <w:rFonts w:ascii="Cambria" w:hAnsi="Cambria"/>
          <w:sz w:val="22"/>
        </w:rPr>
        <w:t>conomic and</w:t>
      </w:r>
      <w:r w:rsidR="006E6C11" w:rsidRPr="000B14B8">
        <w:rPr>
          <w:rFonts w:ascii="Cambria" w:hAnsi="Cambria"/>
          <w:sz w:val="22"/>
        </w:rPr>
        <w:t xml:space="preserve"> </w:t>
      </w:r>
      <w:r w:rsidR="007A0352" w:rsidRPr="000B14B8">
        <w:rPr>
          <w:rFonts w:ascii="Cambria" w:hAnsi="Cambria"/>
          <w:sz w:val="22"/>
        </w:rPr>
        <w:t>M</w:t>
      </w:r>
      <w:r w:rsidRPr="000B14B8">
        <w:rPr>
          <w:rFonts w:ascii="Cambria" w:hAnsi="Cambria"/>
          <w:sz w:val="22"/>
        </w:rPr>
        <w:t xml:space="preserve">onetary </w:t>
      </w:r>
      <w:r w:rsidR="007A0352" w:rsidRPr="000B14B8">
        <w:rPr>
          <w:rFonts w:ascii="Cambria" w:hAnsi="Cambria"/>
          <w:sz w:val="22"/>
        </w:rPr>
        <w:t>U</w:t>
      </w:r>
      <w:r w:rsidRPr="000B14B8">
        <w:rPr>
          <w:rFonts w:ascii="Cambria" w:hAnsi="Cambria"/>
          <w:sz w:val="22"/>
        </w:rPr>
        <w:t xml:space="preserve">nion in the 1990s. </w:t>
      </w:r>
      <w:r w:rsidR="00890DEB" w:rsidRPr="000B14B8">
        <w:rPr>
          <w:rFonts w:ascii="Cambria" w:hAnsi="Cambria"/>
          <w:sz w:val="22"/>
        </w:rPr>
        <w:t>Though</w:t>
      </w:r>
      <w:r w:rsidR="001A7012" w:rsidRPr="000B14B8">
        <w:rPr>
          <w:rFonts w:ascii="Cambria" w:hAnsi="Cambria"/>
          <w:sz w:val="22"/>
        </w:rPr>
        <w:t xml:space="preserve"> enhancing the</w:t>
      </w:r>
      <w:r w:rsidR="00890DEB" w:rsidRPr="000B14B8">
        <w:rPr>
          <w:rFonts w:ascii="Cambria" w:hAnsi="Cambria"/>
          <w:sz w:val="22"/>
        </w:rPr>
        <w:t xml:space="preserve"> </w:t>
      </w:r>
      <w:r w:rsidR="006D2F42" w:rsidRPr="000B14B8">
        <w:rPr>
          <w:rFonts w:ascii="Cambria" w:hAnsi="Cambria"/>
          <w:sz w:val="22"/>
        </w:rPr>
        <w:t>economic integration</w:t>
      </w:r>
      <w:r w:rsidR="001A7012" w:rsidRPr="000B14B8">
        <w:rPr>
          <w:rFonts w:ascii="Cambria" w:hAnsi="Cambria"/>
          <w:sz w:val="22"/>
        </w:rPr>
        <w:t xml:space="preserve"> process</w:t>
      </w:r>
      <w:r w:rsidR="00F134F1" w:rsidRPr="000B14B8">
        <w:rPr>
          <w:rFonts w:ascii="Cambria" w:hAnsi="Cambria"/>
          <w:sz w:val="22"/>
        </w:rPr>
        <w:t xml:space="preserve">, </w:t>
      </w:r>
      <w:r w:rsidR="00890DEB" w:rsidRPr="000B14B8">
        <w:rPr>
          <w:rFonts w:ascii="Cambria" w:hAnsi="Cambria"/>
          <w:sz w:val="22"/>
        </w:rPr>
        <w:t xml:space="preserve">the liberalization and deregulation strategies </w:t>
      </w:r>
      <w:r w:rsidR="001A7012" w:rsidRPr="000B14B8">
        <w:rPr>
          <w:rFonts w:ascii="Cambria" w:hAnsi="Cambria"/>
          <w:sz w:val="22"/>
        </w:rPr>
        <w:t xml:space="preserve">that have been </w:t>
      </w:r>
      <w:r w:rsidR="006D2F42" w:rsidRPr="000B14B8">
        <w:rPr>
          <w:rFonts w:ascii="Cambria" w:hAnsi="Cambria"/>
          <w:sz w:val="22"/>
        </w:rPr>
        <w:t xml:space="preserve">applied </w:t>
      </w:r>
      <w:r w:rsidR="00890DEB" w:rsidRPr="000B14B8">
        <w:rPr>
          <w:rFonts w:ascii="Cambria" w:hAnsi="Cambria"/>
          <w:sz w:val="22"/>
        </w:rPr>
        <w:t xml:space="preserve">greatly reduced the </w:t>
      </w:r>
      <w:r w:rsidR="00BC4C6B" w:rsidRPr="000B14B8">
        <w:rPr>
          <w:rFonts w:ascii="Cambria" w:hAnsi="Cambria"/>
          <w:sz w:val="22"/>
        </w:rPr>
        <w:t xml:space="preserve">sovereignty </w:t>
      </w:r>
      <w:r w:rsidR="00890DEB" w:rsidRPr="000B14B8">
        <w:rPr>
          <w:rFonts w:ascii="Cambria" w:hAnsi="Cambria"/>
          <w:sz w:val="22"/>
        </w:rPr>
        <w:t>of Member</w:t>
      </w:r>
      <w:r w:rsidR="00BC4C6B" w:rsidRPr="000B14B8">
        <w:rPr>
          <w:rFonts w:ascii="Cambria" w:hAnsi="Cambria"/>
          <w:sz w:val="22"/>
        </w:rPr>
        <w:t xml:space="preserve"> </w:t>
      </w:r>
      <w:r w:rsidR="00890DEB" w:rsidRPr="000B14B8">
        <w:rPr>
          <w:rFonts w:ascii="Cambria" w:hAnsi="Cambria"/>
          <w:sz w:val="22"/>
        </w:rPr>
        <w:t xml:space="preserve">States to influence </w:t>
      </w:r>
      <w:r w:rsidR="00BC4C6B" w:rsidRPr="000B14B8">
        <w:rPr>
          <w:rFonts w:ascii="Cambria" w:hAnsi="Cambria"/>
          <w:sz w:val="22"/>
        </w:rPr>
        <w:t>national economic growth and employment and</w:t>
      </w:r>
      <w:r w:rsidR="00F72A69">
        <w:rPr>
          <w:rFonts w:ascii="Cambria" w:hAnsi="Cambria"/>
          <w:sz w:val="22"/>
        </w:rPr>
        <w:t xml:space="preserve"> to</w:t>
      </w:r>
      <w:r w:rsidR="00BC4C6B" w:rsidRPr="000B14B8">
        <w:rPr>
          <w:rFonts w:ascii="Cambria" w:hAnsi="Cambria"/>
          <w:sz w:val="22"/>
        </w:rPr>
        <w:t xml:space="preserve"> </w:t>
      </w:r>
      <w:r w:rsidR="00890DEB" w:rsidRPr="000B14B8">
        <w:rPr>
          <w:rFonts w:ascii="Cambria" w:hAnsi="Cambria"/>
          <w:sz w:val="22"/>
        </w:rPr>
        <w:t>realize self</w:t>
      </w:r>
      <w:r w:rsidR="00BC4C6B" w:rsidRPr="000B14B8">
        <w:rPr>
          <w:rFonts w:ascii="Cambria" w:hAnsi="Cambria"/>
          <w:sz w:val="22"/>
        </w:rPr>
        <w:t>-</w:t>
      </w:r>
      <w:r w:rsidR="00890DEB" w:rsidRPr="000B14B8">
        <w:rPr>
          <w:rFonts w:ascii="Cambria" w:hAnsi="Cambria"/>
          <w:sz w:val="22"/>
        </w:rPr>
        <w:t>defined</w:t>
      </w:r>
      <w:r w:rsidR="00BC4C6B" w:rsidRPr="000B14B8">
        <w:rPr>
          <w:rFonts w:ascii="Cambria" w:hAnsi="Cambria"/>
          <w:sz w:val="22"/>
        </w:rPr>
        <w:t xml:space="preserve"> </w:t>
      </w:r>
      <w:r w:rsidR="00890DEB" w:rsidRPr="000B14B8">
        <w:rPr>
          <w:rFonts w:ascii="Cambria" w:hAnsi="Cambria"/>
          <w:sz w:val="22"/>
        </w:rPr>
        <w:t>socio-political goals.</w:t>
      </w:r>
      <w:r w:rsidR="002A73CE" w:rsidRPr="000B14B8">
        <w:rPr>
          <w:rStyle w:val="Voetnootmarkering"/>
          <w:rFonts w:ascii="Cambria" w:hAnsi="Cambria"/>
          <w:sz w:val="22"/>
        </w:rPr>
        <w:footnoteReference w:id="43"/>
      </w:r>
      <w:r w:rsidR="000739D2" w:rsidRPr="000B14B8">
        <w:rPr>
          <w:rFonts w:ascii="Cambria" w:hAnsi="Cambria"/>
          <w:sz w:val="22"/>
        </w:rPr>
        <w:t xml:space="preserve"> In short, </w:t>
      </w:r>
      <w:r w:rsidR="00BC4C6B" w:rsidRPr="008921EE">
        <w:rPr>
          <w:rFonts w:ascii="Cambria" w:hAnsi="Cambria"/>
          <w:sz w:val="22"/>
        </w:rPr>
        <w:t>European liberalization and deregulation policies</w:t>
      </w:r>
      <w:r w:rsidR="000739D2" w:rsidRPr="001E3E67">
        <w:rPr>
          <w:rFonts w:ascii="Cambria" w:hAnsi="Cambria"/>
          <w:sz w:val="22"/>
        </w:rPr>
        <w:t xml:space="preserve"> have, for example, </w:t>
      </w:r>
      <w:r w:rsidR="00BC4C6B" w:rsidRPr="001E3E67">
        <w:rPr>
          <w:rFonts w:ascii="Cambria" w:hAnsi="Cambria"/>
          <w:sz w:val="22"/>
        </w:rPr>
        <w:t>eliminated the possibility of using public-sector industries as an employment</w:t>
      </w:r>
      <w:r w:rsidR="000739D2" w:rsidRPr="001E3E67">
        <w:rPr>
          <w:rFonts w:ascii="Cambria" w:hAnsi="Cambria"/>
          <w:sz w:val="22"/>
        </w:rPr>
        <w:t xml:space="preserve"> </w:t>
      </w:r>
      <w:r w:rsidR="00BC4C6B" w:rsidRPr="001E3E67">
        <w:rPr>
          <w:rFonts w:ascii="Cambria" w:hAnsi="Cambria"/>
          <w:sz w:val="22"/>
        </w:rPr>
        <w:t>buffer</w:t>
      </w:r>
      <w:r w:rsidR="00F134F1" w:rsidRPr="000B14B8">
        <w:rPr>
          <w:rFonts w:ascii="Cambria" w:hAnsi="Cambria"/>
          <w:sz w:val="22"/>
        </w:rPr>
        <w:t xml:space="preserve"> and </w:t>
      </w:r>
      <w:r w:rsidR="009B21A9" w:rsidRPr="000B14B8">
        <w:rPr>
          <w:rFonts w:ascii="Cambria" w:hAnsi="Cambria"/>
          <w:sz w:val="22"/>
        </w:rPr>
        <w:t xml:space="preserve">forced </w:t>
      </w:r>
      <w:r w:rsidR="00F9373A" w:rsidRPr="000B14B8">
        <w:rPr>
          <w:rFonts w:ascii="Cambria" w:hAnsi="Cambria"/>
          <w:sz w:val="22"/>
        </w:rPr>
        <w:t xml:space="preserve">welfare </w:t>
      </w:r>
      <w:r w:rsidR="009B21A9" w:rsidRPr="000B14B8">
        <w:rPr>
          <w:rFonts w:ascii="Cambria" w:hAnsi="Cambria"/>
          <w:sz w:val="22"/>
        </w:rPr>
        <w:t xml:space="preserve">costs to meet </w:t>
      </w:r>
      <w:r w:rsidR="00F9373A" w:rsidRPr="000B14B8">
        <w:rPr>
          <w:rFonts w:ascii="Cambria" w:hAnsi="Cambria"/>
          <w:sz w:val="22"/>
        </w:rPr>
        <w:t xml:space="preserve">the constraints on the public sector deficits </w:t>
      </w:r>
      <w:r w:rsidR="003B5A49" w:rsidRPr="000B14B8">
        <w:rPr>
          <w:rFonts w:ascii="Cambria" w:hAnsi="Cambria"/>
          <w:sz w:val="22"/>
        </w:rPr>
        <w:t>imposed by the Stability Pact</w:t>
      </w:r>
      <w:r w:rsidR="009B21A9" w:rsidRPr="000B14B8">
        <w:rPr>
          <w:rFonts w:ascii="Cambria" w:hAnsi="Cambria"/>
          <w:sz w:val="22"/>
        </w:rPr>
        <w:t xml:space="preserve">, </w:t>
      </w:r>
      <w:r w:rsidR="00F6333E" w:rsidRPr="000B14B8">
        <w:rPr>
          <w:rFonts w:ascii="Cambria" w:hAnsi="Cambria"/>
          <w:sz w:val="22"/>
        </w:rPr>
        <w:t xml:space="preserve">whereas </w:t>
      </w:r>
      <w:r w:rsidR="00F134F1" w:rsidRPr="000B14B8">
        <w:rPr>
          <w:rFonts w:ascii="Cambria" w:hAnsi="Cambria"/>
          <w:sz w:val="22"/>
        </w:rPr>
        <w:t xml:space="preserve">the extended reach of </w:t>
      </w:r>
      <w:r w:rsidR="006A1712" w:rsidRPr="000B14B8">
        <w:rPr>
          <w:rFonts w:ascii="Cambria" w:hAnsi="Cambria"/>
          <w:sz w:val="22"/>
        </w:rPr>
        <w:t xml:space="preserve">economic freedoms and </w:t>
      </w:r>
      <w:r w:rsidR="00F134F1" w:rsidRPr="000B14B8">
        <w:rPr>
          <w:rFonts w:ascii="Cambria" w:hAnsi="Cambria"/>
          <w:sz w:val="22"/>
        </w:rPr>
        <w:t>the principle of undistorted</w:t>
      </w:r>
      <w:r w:rsidR="009B21A9" w:rsidRPr="000B14B8">
        <w:rPr>
          <w:rFonts w:ascii="Cambria" w:hAnsi="Cambria"/>
          <w:sz w:val="22"/>
        </w:rPr>
        <w:t xml:space="preserve"> competition to all national policies</w:t>
      </w:r>
      <w:r w:rsidR="00F134F1" w:rsidRPr="000B14B8">
        <w:rPr>
          <w:rFonts w:ascii="Cambria" w:hAnsi="Cambria"/>
          <w:sz w:val="22"/>
        </w:rPr>
        <w:t>,</w:t>
      </w:r>
      <w:r w:rsidR="009B21A9" w:rsidRPr="000B14B8">
        <w:rPr>
          <w:rFonts w:ascii="Cambria" w:hAnsi="Cambria"/>
          <w:sz w:val="22"/>
        </w:rPr>
        <w:t xml:space="preserve"> </w:t>
      </w:r>
      <w:r w:rsidR="006A1712" w:rsidRPr="000B14B8">
        <w:rPr>
          <w:rFonts w:ascii="Cambria" w:hAnsi="Cambria"/>
          <w:sz w:val="22"/>
        </w:rPr>
        <w:t xml:space="preserve">threatened </w:t>
      </w:r>
      <w:r w:rsidR="00F134F1" w:rsidRPr="000B14B8">
        <w:rPr>
          <w:rFonts w:ascii="Cambria" w:hAnsi="Cambria"/>
          <w:sz w:val="22"/>
        </w:rPr>
        <w:t xml:space="preserve">to, or did, </w:t>
      </w:r>
      <w:r w:rsidR="006A1712" w:rsidRPr="000B14B8">
        <w:rPr>
          <w:rFonts w:ascii="Cambria" w:hAnsi="Cambria"/>
          <w:sz w:val="22"/>
        </w:rPr>
        <w:t xml:space="preserve">restrict social policy options in numerous fields (e.g. </w:t>
      </w:r>
      <w:r w:rsidR="009B21A9" w:rsidRPr="000B14B8">
        <w:rPr>
          <w:rFonts w:ascii="Cambria" w:hAnsi="Cambria" w:cs="Times New Roman"/>
          <w:sz w:val="22"/>
        </w:rPr>
        <w:t>public placement services,</w:t>
      </w:r>
      <w:r w:rsidR="006A1712" w:rsidRPr="000B14B8">
        <w:rPr>
          <w:rFonts w:ascii="Cambria" w:hAnsi="Cambria"/>
          <w:sz w:val="22"/>
        </w:rPr>
        <w:t xml:space="preserve"> </w:t>
      </w:r>
      <w:r w:rsidR="006A1712" w:rsidRPr="000B14B8">
        <w:rPr>
          <w:rFonts w:ascii="Cambria" w:hAnsi="Cambria" w:cs="Times New Roman"/>
          <w:sz w:val="22"/>
        </w:rPr>
        <w:t>national</w:t>
      </w:r>
      <w:r w:rsidR="009B21A9" w:rsidRPr="000B14B8">
        <w:rPr>
          <w:rFonts w:ascii="Cambria" w:hAnsi="Cambria" w:cs="Times New Roman"/>
          <w:sz w:val="22"/>
        </w:rPr>
        <w:t xml:space="preserve"> </w:t>
      </w:r>
      <w:r w:rsidR="006A1712" w:rsidRPr="000B14B8">
        <w:rPr>
          <w:rFonts w:ascii="Cambria" w:hAnsi="Cambria" w:cs="Times New Roman"/>
          <w:sz w:val="22"/>
        </w:rPr>
        <w:t>health</w:t>
      </w:r>
      <w:r w:rsidR="009B21A9" w:rsidRPr="000B14B8">
        <w:rPr>
          <w:rFonts w:ascii="Cambria" w:hAnsi="Cambria" w:cs="Times New Roman"/>
          <w:sz w:val="22"/>
        </w:rPr>
        <w:t xml:space="preserve"> </w:t>
      </w:r>
      <w:r w:rsidR="006A1712" w:rsidRPr="000B14B8">
        <w:rPr>
          <w:rFonts w:ascii="Cambria" w:hAnsi="Cambria" w:cs="Times New Roman"/>
          <w:sz w:val="22"/>
        </w:rPr>
        <w:t xml:space="preserve">insurance, retail price maintenance for books, public transport, state monopolies in order to </w:t>
      </w:r>
      <w:r w:rsidR="002A73CE" w:rsidRPr="000B14B8">
        <w:rPr>
          <w:rFonts w:ascii="Cambria" w:hAnsi="Cambria" w:cs="Times New Roman"/>
          <w:sz w:val="22"/>
        </w:rPr>
        <w:t>combat alcohol or gambling addiction, etc</w:t>
      </w:r>
      <w:r w:rsidR="00F72A69">
        <w:rPr>
          <w:rFonts w:ascii="Cambria" w:hAnsi="Cambria" w:cs="Times New Roman"/>
          <w:sz w:val="22"/>
        </w:rPr>
        <w:t>.</w:t>
      </w:r>
      <w:r w:rsidR="002A73CE" w:rsidRPr="000B14B8">
        <w:rPr>
          <w:rFonts w:ascii="Cambria" w:hAnsi="Cambria" w:cs="Times New Roman"/>
          <w:sz w:val="22"/>
        </w:rPr>
        <w:t>).</w:t>
      </w:r>
      <w:r w:rsidR="006D2F42" w:rsidRPr="000B14B8">
        <w:rPr>
          <w:rFonts w:ascii="Cambria" w:hAnsi="Cambria" w:cs="Times New Roman"/>
          <w:sz w:val="22"/>
        </w:rPr>
        <w:t xml:space="preserve"> The point </w:t>
      </w:r>
      <w:r w:rsidR="009E1CB6" w:rsidRPr="000B14B8">
        <w:rPr>
          <w:rFonts w:ascii="Cambria" w:hAnsi="Cambria" w:cs="Times New Roman"/>
          <w:sz w:val="22"/>
        </w:rPr>
        <w:t>to be made</w:t>
      </w:r>
      <w:r w:rsidR="006D2F42" w:rsidRPr="000B14B8">
        <w:rPr>
          <w:rFonts w:ascii="Cambria" w:hAnsi="Cambria" w:cs="Times New Roman"/>
          <w:sz w:val="22"/>
        </w:rPr>
        <w:t xml:space="preserve"> is not whether or not this has been beneficial for </w:t>
      </w:r>
      <w:r w:rsidR="009E1CB6" w:rsidRPr="000B14B8">
        <w:rPr>
          <w:rFonts w:ascii="Cambria" w:hAnsi="Cambria" w:cs="Times New Roman"/>
          <w:sz w:val="22"/>
        </w:rPr>
        <w:t xml:space="preserve">economic growth, employment and </w:t>
      </w:r>
      <w:r w:rsidR="00F134F1" w:rsidRPr="000B14B8">
        <w:rPr>
          <w:rFonts w:ascii="Cambria" w:hAnsi="Cambria" w:cs="Times New Roman"/>
          <w:sz w:val="22"/>
        </w:rPr>
        <w:t xml:space="preserve">the </w:t>
      </w:r>
      <w:r w:rsidR="006C6ACD" w:rsidRPr="000B14B8">
        <w:rPr>
          <w:rFonts w:ascii="Cambria" w:hAnsi="Cambria" w:cs="Times New Roman"/>
          <w:sz w:val="22"/>
        </w:rPr>
        <w:t>‘modernisation’ of national welfare systems</w:t>
      </w:r>
      <w:r w:rsidR="006D2F42" w:rsidRPr="000B14B8">
        <w:rPr>
          <w:rFonts w:ascii="Cambria" w:hAnsi="Cambria" w:cs="Times New Roman"/>
          <w:sz w:val="22"/>
        </w:rPr>
        <w:t xml:space="preserve">, but </w:t>
      </w:r>
      <w:r w:rsidR="00CE3F31" w:rsidRPr="000B14B8">
        <w:rPr>
          <w:rFonts w:ascii="Cambria" w:hAnsi="Cambria" w:cs="Times New Roman"/>
          <w:sz w:val="22"/>
        </w:rPr>
        <w:t xml:space="preserve">to show </w:t>
      </w:r>
      <w:r w:rsidR="006C6ACD" w:rsidRPr="000B14B8">
        <w:rPr>
          <w:rFonts w:ascii="Cambria" w:hAnsi="Cambria" w:cs="Times New Roman"/>
          <w:sz w:val="22"/>
        </w:rPr>
        <w:t xml:space="preserve">the </w:t>
      </w:r>
      <w:r w:rsidR="00CE3F31" w:rsidRPr="000B14B8">
        <w:rPr>
          <w:rFonts w:ascii="Cambria" w:hAnsi="Cambria" w:cs="Times New Roman"/>
          <w:sz w:val="22"/>
        </w:rPr>
        <w:t xml:space="preserve">magnitude of the </w:t>
      </w:r>
      <w:r w:rsidR="006C6ACD" w:rsidRPr="000B14B8">
        <w:rPr>
          <w:rFonts w:ascii="Cambria" w:hAnsi="Cambria" w:cs="Times New Roman"/>
          <w:sz w:val="22"/>
        </w:rPr>
        <w:t xml:space="preserve">effects </w:t>
      </w:r>
      <w:r w:rsidR="00CE3F31" w:rsidRPr="000B14B8">
        <w:rPr>
          <w:rFonts w:ascii="Cambria" w:hAnsi="Cambria" w:cs="Times New Roman"/>
          <w:sz w:val="22"/>
        </w:rPr>
        <w:t xml:space="preserve">of market integration </w:t>
      </w:r>
      <w:r w:rsidR="001A7012" w:rsidRPr="000B14B8">
        <w:rPr>
          <w:rFonts w:ascii="Cambria" w:hAnsi="Cambria" w:cs="Times New Roman"/>
          <w:sz w:val="22"/>
        </w:rPr>
        <w:t>– the outer reaches of EU economic law are ambiguous</w:t>
      </w:r>
      <w:bookmarkStart w:id="8" w:name="_Ref420512854"/>
      <w:r w:rsidR="001A7012" w:rsidRPr="000B14B8">
        <w:rPr>
          <w:rStyle w:val="Voetnootmarkering"/>
          <w:rFonts w:ascii="Cambria" w:hAnsi="Cambria" w:cs="Times New Roman"/>
          <w:sz w:val="22"/>
        </w:rPr>
        <w:footnoteReference w:id="44"/>
      </w:r>
      <w:bookmarkEnd w:id="8"/>
      <w:r w:rsidR="001A7012" w:rsidRPr="000B14B8">
        <w:rPr>
          <w:rFonts w:ascii="Cambria" w:hAnsi="Cambria" w:cs="Times New Roman"/>
          <w:sz w:val="22"/>
        </w:rPr>
        <w:t xml:space="preserve"> </w:t>
      </w:r>
      <w:r w:rsidR="00DA050D">
        <w:rPr>
          <w:rFonts w:ascii="Cambria" w:hAnsi="Cambria" w:cs="Times New Roman"/>
          <w:sz w:val="22"/>
        </w:rPr>
        <w:t xml:space="preserve">- </w:t>
      </w:r>
      <w:r w:rsidR="006C6ACD" w:rsidRPr="008921EE">
        <w:rPr>
          <w:rFonts w:ascii="Cambria" w:hAnsi="Cambria" w:cs="Times New Roman"/>
          <w:sz w:val="22"/>
        </w:rPr>
        <w:t xml:space="preserve">on the </w:t>
      </w:r>
      <w:r w:rsidR="00CE3F31" w:rsidRPr="001E3E67">
        <w:rPr>
          <w:rFonts w:ascii="Cambria" w:hAnsi="Cambria" w:cs="Times New Roman"/>
          <w:sz w:val="22"/>
        </w:rPr>
        <w:t>politically agreed</w:t>
      </w:r>
      <w:r w:rsidR="004936BD" w:rsidRPr="001E3E67">
        <w:rPr>
          <w:rFonts w:ascii="Cambria" w:hAnsi="Cambria" w:cs="Times New Roman"/>
          <w:sz w:val="22"/>
        </w:rPr>
        <w:t xml:space="preserve"> </w:t>
      </w:r>
      <w:r w:rsidR="006C6ACD" w:rsidRPr="001E3E67">
        <w:rPr>
          <w:rFonts w:ascii="Cambria" w:hAnsi="Cambria" w:cs="Times New Roman"/>
          <w:sz w:val="22"/>
        </w:rPr>
        <w:t xml:space="preserve">multi-level distribution of </w:t>
      </w:r>
      <w:r w:rsidR="004936BD" w:rsidRPr="000B14B8">
        <w:rPr>
          <w:rFonts w:ascii="Cambria" w:hAnsi="Cambria" w:cs="Times New Roman"/>
          <w:sz w:val="22"/>
        </w:rPr>
        <w:t>powers in the social and economic fields.</w:t>
      </w:r>
    </w:p>
    <w:p w:rsidR="000E0BC1" w:rsidRPr="000B14B8" w:rsidRDefault="000E0BC1" w:rsidP="00F6333E">
      <w:pPr>
        <w:spacing w:after="0" w:line="240" w:lineRule="auto"/>
        <w:jc w:val="both"/>
        <w:rPr>
          <w:rFonts w:ascii="Cambria" w:hAnsi="Cambria" w:cs="Times New Roman"/>
          <w:sz w:val="22"/>
        </w:rPr>
      </w:pPr>
    </w:p>
    <w:p w:rsidR="00EF5322" w:rsidRPr="000B14B8" w:rsidRDefault="00F97CF3" w:rsidP="00F6333E">
      <w:pPr>
        <w:spacing w:after="0" w:line="240" w:lineRule="auto"/>
        <w:jc w:val="both"/>
        <w:rPr>
          <w:rFonts w:ascii="Cambria" w:hAnsi="Cambria" w:cs="Times New Roman"/>
          <w:sz w:val="22"/>
        </w:rPr>
      </w:pPr>
      <w:r w:rsidRPr="000B14B8">
        <w:rPr>
          <w:rFonts w:ascii="Cambria" w:hAnsi="Cambria" w:cs="Times New Roman"/>
          <w:sz w:val="22"/>
        </w:rPr>
        <w:t>In response</w:t>
      </w:r>
      <w:r w:rsidR="003B21B4" w:rsidRPr="000B14B8">
        <w:rPr>
          <w:rFonts w:ascii="Cambria" w:hAnsi="Cambria" w:cs="Times New Roman"/>
          <w:sz w:val="22"/>
        </w:rPr>
        <w:t xml:space="preserve">, particularly </w:t>
      </w:r>
      <w:r w:rsidR="00530B9B">
        <w:rPr>
          <w:rFonts w:ascii="Cambria" w:hAnsi="Cambria" w:cs="Times New Roman"/>
          <w:sz w:val="22"/>
        </w:rPr>
        <w:t>M</w:t>
      </w:r>
      <w:r w:rsidR="0027501C" w:rsidRPr="000B14B8">
        <w:rPr>
          <w:rFonts w:ascii="Cambria" w:hAnsi="Cambria" w:cs="Times New Roman"/>
          <w:sz w:val="22"/>
        </w:rPr>
        <w:t xml:space="preserve">ember </w:t>
      </w:r>
      <w:r w:rsidR="00530B9B">
        <w:rPr>
          <w:rFonts w:ascii="Cambria" w:hAnsi="Cambria" w:cs="Times New Roman"/>
          <w:sz w:val="22"/>
        </w:rPr>
        <w:t>S</w:t>
      </w:r>
      <w:r w:rsidR="0027501C" w:rsidRPr="000B14B8">
        <w:rPr>
          <w:rFonts w:ascii="Cambria" w:hAnsi="Cambria" w:cs="Times New Roman"/>
          <w:sz w:val="22"/>
        </w:rPr>
        <w:t xml:space="preserve">tates with </w:t>
      </w:r>
      <w:r w:rsidR="00F6333E" w:rsidRPr="000B14B8">
        <w:rPr>
          <w:rFonts w:ascii="Cambria" w:hAnsi="Cambria" w:cs="Times New Roman"/>
          <w:sz w:val="22"/>
        </w:rPr>
        <w:t>generous welfare state transfers</w:t>
      </w:r>
      <w:r w:rsidR="0027501C" w:rsidRPr="000B14B8">
        <w:rPr>
          <w:rFonts w:ascii="Cambria" w:hAnsi="Cambria" w:cs="Times New Roman"/>
          <w:sz w:val="22"/>
        </w:rPr>
        <w:t xml:space="preserve"> and services</w:t>
      </w:r>
      <w:r w:rsidR="003B21B4" w:rsidRPr="000B14B8">
        <w:rPr>
          <w:rFonts w:ascii="Cambria" w:hAnsi="Cambria" w:cs="Times New Roman"/>
          <w:sz w:val="22"/>
        </w:rPr>
        <w:t xml:space="preserve"> </w:t>
      </w:r>
      <w:r w:rsidR="0027501C" w:rsidRPr="000B14B8">
        <w:rPr>
          <w:rFonts w:ascii="Cambria" w:hAnsi="Cambria" w:cs="Times New Roman"/>
          <w:sz w:val="22"/>
        </w:rPr>
        <w:t xml:space="preserve">expected </w:t>
      </w:r>
      <w:r w:rsidR="00F6333E" w:rsidRPr="000B14B8">
        <w:rPr>
          <w:rFonts w:ascii="Cambria" w:hAnsi="Cambria" w:cs="Times New Roman"/>
          <w:sz w:val="22"/>
        </w:rPr>
        <w:t xml:space="preserve">the European Union to </w:t>
      </w:r>
      <w:r w:rsidR="006C6ACD" w:rsidRPr="000B14B8">
        <w:rPr>
          <w:rFonts w:ascii="Cambria" w:hAnsi="Cambria" w:cs="Times New Roman"/>
          <w:sz w:val="22"/>
        </w:rPr>
        <w:t>address -</w:t>
      </w:r>
      <w:r w:rsidR="00CE3F31" w:rsidRPr="000B14B8">
        <w:rPr>
          <w:rFonts w:ascii="Cambria" w:hAnsi="Cambria" w:cs="Times New Roman"/>
          <w:sz w:val="22"/>
        </w:rPr>
        <w:t xml:space="preserve"> </w:t>
      </w:r>
      <w:r w:rsidR="003B21B4" w:rsidRPr="000B14B8">
        <w:rPr>
          <w:rFonts w:ascii="Cambria" w:hAnsi="Cambria" w:cs="Times New Roman"/>
          <w:sz w:val="22"/>
        </w:rPr>
        <w:t xml:space="preserve">what was </w:t>
      </w:r>
      <w:r w:rsidR="006C6ACD" w:rsidRPr="000B14B8">
        <w:rPr>
          <w:rFonts w:ascii="Cambria" w:hAnsi="Cambria" w:cs="Times New Roman"/>
          <w:sz w:val="22"/>
        </w:rPr>
        <w:t>perceived at the time as</w:t>
      </w:r>
      <w:r w:rsidR="00CE3F31" w:rsidRPr="000B14B8">
        <w:rPr>
          <w:rFonts w:ascii="Cambria" w:hAnsi="Cambria" w:cs="Times New Roman"/>
          <w:sz w:val="22"/>
        </w:rPr>
        <w:t xml:space="preserve"> </w:t>
      </w:r>
      <w:r w:rsidR="006C6ACD" w:rsidRPr="000B14B8">
        <w:rPr>
          <w:rFonts w:ascii="Cambria" w:hAnsi="Cambria" w:cs="Times New Roman"/>
          <w:sz w:val="22"/>
        </w:rPr>
        <w:t xml:space="preserve">- </w:t>
      </w:r>
      <w:r w:rsidR="003B21B4" w:rsidRPr="000B14B8">
        <w:rPr>
          <w:rFonts w:ascii="Cambria" w:hAnsi="Cambria" w:cs="Times New Roman"/>
          <w:sz w:val="22"/>
        </w:rPr>
        <w:t xml:space="preserve">the </w:t>
      </w:r>
      <w:r w:rsidR="0027501C" w:rsidRPr="000B14B8">
        <w:rPr>
          <w:rFonts w:ascii="Cambria" w:hAnsi="Cambria" w:cs="Times New Roman"/>
          <w:sz w:val="22"/>
        </w:rPr>
        <w:t>‘social deficit’</w:t>
      </w:r>
      <w:r w:rsidR="003B21B4" w:rsidRPr="000B14B8">
        <w:rPr>
          <w:rFonts w:ascii="Cambria" w:hAnsi="Cambria" w:cs="Times New Roman"/>
          <w:sz w:val="22"/>
        </w:rPr>
        <w:t xml:space="preserve"> of the EU</w:t>
      </w:r>
      <w:r w:rsidR="00E31FBB" w:rsidRPr="000B14B8">
        <w:rPr>
          <w:rFonts w:ascii="Cambria" w:hAnsi="Cambria" w:cs="Times New Roman"/>
          <w:sz w:val="22"/>
        </w:rPr>
        <w:t xml:space="preserve">, </w:t>
      </w:r>
      <w:r w:rsidR="00CE3F31" w:rsidRPr="000B14B8">
        <w:rPr>
          <w:rFonts w:ascii="Cambria" w:hAnsi="Cambria" w:cs="Times New Roman"/>
          <w:sz w:val="22"/>
        </w:rPr>
        <w:t xml:space="preserve">as </w:t>
      </w:r>
      <w:r w:rsidR="00E31FBB" w:rsidRPr="000B14B8">
        <w:rPr>
          <w:rFonts w:ascii="Cambria" w:hAnsi="Cambria" w:cs="Times New Roman"/>
          <w:sz w:val="22"/>
        </w:rPr>
        <w:t xml:space="preserve">was </w:t>
      </w:r>
      <w:r w:rsidR="0027501C" w:rsidRPr="000B14B8">
        <w:rPr>
          <w:rFonts w:ascii="Cambria" w:hAnsi="Cambria" w:cs="Times New Roman"/>
          <w:sz w:val="22"/>
        </w:rPr>
        <w:t xml:space="preserve">promised by </w:t>
      </w:r>
      <w:r w:rsidR="003B21B4" w:rsidRPr="000B14B8">
        <w:rPr>
          <w:rFonts w:ascii="Cambria" w:hAnsi="Cambria" w:cs="Times New Roman"/>
          <w:sz w:val="22"/>
        </w:rPr>
        <w:t xml:space="preserve">the </w:t>
      </w:r>
      <w:r w:rsidR="00B611CF" w:rsidRPr="000B14B8">
        <w:rPr>
          <w:rFonts w:ascii="Cambria" w:hAnsi="Cambria" w:cs="Times New Roman"/>
          <w:sz w:val="22"/>
        </w:rPr>
        <w:t>Delors Commission</w:t>
      </w:r>
      <w:r w:rsidR="006C6ACD" w:rsidRPr="000B14B8">
        <w:rPr>
          <w:rFonts w:ascii="Cambria" w:hAnsi="Cambria" w:cs="Times New Roman"/>
          <w:sz w:val="22"/>
        </w:rPr>
        <w:t xml:space="preserve"> with the deepening of the internal market</w:t>
      </w:r>
      <w:r w:rsidR="00B611CF" w:rsidRPr="000B14B8">
        <w:rPr>
          <w:rFonts w:ascii="Cambria" w:hAnsi="Cambria" w:cs="Times New Roman"/>
          <w:sz w:val="22"/>
        </w:rPr>
        <w:t xml:space="preserve">. </w:t>
      </w:r>
      <w:r w:rsidR="00E31FBB" w:rsidRPr="000B14B8">
        <w:rPr>
          <w:rFonts w:ascii="Cambria" w:hAnsi="Cambria" w:cs="Times New Roman"/>
          <w:sz w:val="22"/>
        </w:rPr>
        <w:t xml:space="preserve">The ‘European social model’ was to </w:t>
      </w:r>
      <w:r w:rsidR="00AF5AD3" w:rsidRPr="000B14B8">
        <w:rPr>
          <w:rFonts w:ascii="Cambria" w:hAnsi="Cambria" w:cs="Times New Roman"/>
          <w:sz w:val="22"/>
        </w:rPr>
        <w:t xml:space="preserve">reinstall </w:t>
      </w:r>
      <w:r w:rsidR="00390CDF" w:rsidRPr="000B14B8">
        <w:rPr>
          <w:rFonts w:ascii="Cambria" w:hAnsi="Cambria" w:cs="Times New Roman"/>
          <w:sz w:val="22"/>
        </w:rPr>
        <w:t>‘market-making’</w:t>
      </w:r>
      <w:r w:rsidR="00F6333E" w:rsidRPr="000B14B8">
        <w:rPr>
          <w:rFonts w:ascii="Cambria" w:hAnsi="Cambria" w:cs="Times New Roman"/>
          <w:sz w:val="22"/>
        </w:rPr>
        <w:t xml:space="preserve"> and </w:t>
      </w:r>
      <w:r w:rsidR="00390CDF" w:rsidRPr="000B14B8">
        <w:rPr>
          <w:rFonts w:ascii="Cambria" w:hAnsi="Cambria" w:cs="Times New Roman"/>
          <w:sz w:val="22"/>
        </w:rPr>
        <w:t xml:space="preserve">‘market-correcting’ </w:t>
      </w:r>
      <w:r w:rsidR="00F6333E" w:rsidRPr="000B14B8">
        <w:rPr>
          <w:rFonts w:ascii="Cambria" w:hAnsi="Cambria" w:cs="Times New Roman"/>
          <w:sz w:val="22"/>
        </w:rPr>
        <w:t xml:space="preserve">policy purposes </w:t>
      </w:r>
      <w:r w:rsidR="00F72A69">
        <w:rPr>
          <w:rFonts w:ascii="Cambria" w:hAnsi="Cambria" w:cs="Times New Roman"/>
          <w:sz w:val="22"/>
        </w:rPr>
        <w:t>on</w:t>
      </w:r>
      <w:r w:rsidR="00390CDF" w:rsidRPr="000B14B8">
        <w:rPr>
          <w:rFonts w:ascii="Cambria" w:hAnsi="Cambria" w:cs="Times New Roman"/>
          <w:sz w:val="22"/>
        </w:rPr>
        <w:t xml:space="preserve"> </w:t>
      </w:r>
      <w:r w:rsidR="00AF5AD3" w:rsidRPr="000B14B8">
        <w:rPr>
          <w:rFonts w:ascii="Cambria" w:hAnsi="Cambria" w:cs="Times New Roman"/>
          <w:sz w:val="22"/>
        </w:rPr>
        <w:t xml:space="preserve">the same constitutional footing, as had existed </w:t>
      </w:r>
      <w:r w:rsidR="00F6333E" w:rsidRPr="000B14B8">
        <w:rPr>
          <w:rFonts w:ascii="Cambria" w:hAnsi="Cambria" w:cs="Times New Roman"/>
          <w:sz w:val="22"/>
        </w:rPr>
        <w:t>at the national level before the take</w:t>
      </w:r>
      <w:r w:rsidR="00F72A69">
        <w:rPr>
          <w:rFonts w:ascii="Cambria" w:hAnsi="Cambria" w:cs="Times New Roman"/>
          <w:sz w:val="22"/>
        </w:rPr>
        <w:t>-</w:t>
      </w:r>
      <w:r w:rsidR="00F6333E" w:rsidRPr="000B14B8">
        <w:rPr>
          <w:rFonts w:ascii="Cambria" w:hAnsi="Cambria" w:cs="Times New Roman"/>
          <w:sz w:val="22"/>
        </w:rPr>
        <w:t>off</w:t>
      </w:r>
      <w:r w:rsidR="00390CDF" w:rsidRPr="000B14B8">
        <w:rPr>
          <w:rFonts w:ascii="Cambria" w:hAnsi="Cambria" w:cs="Times New Roman"/>
          <w:sz w:val="22"/>
        </w:rPr>
        <w:t xml:space="preserve"> </w:t>
      </w:r>
      <w:r w:rsidR="00F6333E" w:rsidRPr="000B14B8">
        <w:rPr>
          <w:rFonts w:ascii="Cambria" w:hAnsi="Cambria" w:cs="Times New Roman"/>
          <w:sz w:val="22"/>
        </w:rPr>
        <w:t>of economic integration</w:t>
      </w:r>
      <w:r w:rsidR="00390CDF" w:rsidRPr="000B14B8">
        <w:rPr>
          <w:rFonts w:ascii="Cambria" w:hAnsi="Cambria" w:cs="Times New Roman"/>
          <w:sz w:val="22"/>
        </w:rPr>
        <w:t>.</w:t>
      </w:r>
      <w:r w:rsidR="00B611CF" w:rsidRPr="000B14B8">
        <w:rPr>
          <w:rStyle w:val="Voetnootmarkering"/>
          <w:rFonts w:ascii="Cambria" w:hAnsi="Cambria" w:cs="Times New Roman"/>
          <w:sz w:val="22"/>
        </w:rPr>
        <w:footnoteReference w:id="45"/>
      </w:r>
      <w:r w:rsidR="00A21A18" w:rsidRPr="000B14B8">
        <w:rPr>
          <w:rFonts w:ascii="Cambria" w:hAnsi="Cambria" w:cs="Times New Roman"/>
          <w:sz w:val="22"/>
        </w:rPr>
        <w:t xml:space="preserve"> </w:t>
      </w:r>
      <w:r w:rsidR="00390CDF" w:rsidRPr="008921EE">
        <w:rPr>
          <w:rFonts w:ascii="Cambria" w:hAnsi="Cambria" w:cs="Times New Roman"/>
          <w:sz w:val="22"/>
        </w:rPr>
        <w:t>An</w:t>
      </w:r>
      <w:r w:rsidR="00A21A18" w:rsidRPr="001E3E67">
        <w:rPr>
          <w:rFonts w:ascii="Cambria" w:hAnsi="Cambria" w:cs="Times New Roman"/>
          <w:sz w:val="22"/>
        </w:rPr>
        <w:t>d, indeed, with the Maastricht T</w:t>
      </w:r>
      <w:r w:rsidR="00390CDF" w:rsidRPr="001E3E67">
        <w:rPr>
          <w:rFonts w:ascii="Cambria" w:hAnsi="Cambria" w:cs="Times New Roman"/>
          <w:sz w:val="22"/>
        </w:rPr>
        <w:t>reaty</w:t>
      </w:r>
      <w:r w:rsidR="00A21A18" w:rsidRPr="001E3E67">
        <w:rPr>
          <w:rFonts w:ascii="Cambria" w:hAnsi="Cambria" w:cs="Times New Roman"/>
          <w:sz w:val="22"/>
        </w:rPr>
        <w:t xml:space="preserve"> </w:t>
      </w:r>
      <w:r w:rsidR="00007A3E" w:rsidRPr="001E3E67">
        <w:rPr>
          <w:rFonts w:ascii="Cambria" w:hAnsi="Cambria" w:cs="Times New Roman"/>
          <w:sz w:val="22"/>
        </w:rPr>
        <w:t xml:space="preserve">social </w:t>
      </w:r>
      <w:r w:rsidR="003E454D" w:rsidRPr="000B14B8">
        <w:rPr>
          <w:rFonts w:ascii="Cambria" w:hAnsi="Cambria" w:cs="Times New Roman"/>
          <w:sz w:val="22"/>
        </w:rPr>
        <w:t xml:space="preserve">regulatory competences </w:t>
      </w:r>
      <w:r w:rsidR="00007A3E" w:rsidRPr="000B14B8">
        <w:rPr>
          <w:rFonts w:ascii="Cambria" w:hAnsi="Cambria" w:cs="Times New Roman"/>
          <w:sz w:val="22"/>
        </w:rPr>
        <w:t>were introduced at</w:t>
      </w:r>
      <w:r w:rsidR="00F72A69">
        <w:rPr>
          <w:rFonts w:ascii="Cambria" w:hAnsi="Cambria" w:cs="Times New Roman"/>
          <w:sz w:val="22"/>
        </w:rPr>
        <w:t xml:space="preserve"> the</w:t>
      </w:r>
      <w:r w:rsidR="00007A3E" w:rsidRPr="000B14B8">
        <w:rPr>
          <w:rFonts w:ascii="Cambria" w:hAnsi="Cambria" w:cs="Times New Roman"/>
          <w:sz w:val="22"/>
        </w:rPr>
        <w:t xml:space="preserve"> European level next to </w:t>
      </w:r>
      <w:r w:rsidR="003E454D" w:rsidRPr="000B14B8">
        <w:rPr>
          <w:rFonts w:ascii="Cambria" w:hAnsi="Cambria" w:cs="Times New Roman"/>
          <w:sz w:val="22"/>
        </w:rPr>
        <w:t>a mechanism for European social dialogue bet</w:t>
      </w:r>
      <w:r w:rsidR="00007A3E" w:rsidRPr="000B14B8">
        <w:rPr>
          <w:rFonts w:ascii="Cambria" w:hAnsi="Cambria" w:cs="Times New Roman"/>
          <w:sz w:val="22"/>
        </w:rPr>
        <w:t>ween management and labour</w:t>
      </w:r>
      <w:r w:rsidR="003E454D" w:rsidRPr="000B14B8">
        <w:rPr>
          <w:rFonts w:ascii="Cambria" w:hAnsi="Cambria" w:cs="Times New Roman"/>
          <w:sz w:val="22"/>
        </w:rPr>
        <w:t xml:space="preserve">, first by way of a social protocol (with the </w:t>
      </w:r>
      <w:r w:rsidR="00E31FBB" w:rsidRPr="000B14B8">
        <w:rPr>
          <w:rFonts w:ascii="Cambria" w:hAnsi="Cambria" w:cs="Times New Roman"/>
          <w:sz w:val="22"/>
        </w:rPr>
        <w:t xml:space="preserve">opt-out of the UK) but later on, in Amsterdam, </w:t>
      </w:r>
      <w:r w:rsidR="003E454D" w:rsidRPr="000B14B8">
        <w:rPr>
          <w:rFonts w:ascii="Cambria" w:hAnsi="Cambria" w:cs="Times New Roman"/>
          <w:sz w:val="22"/>
        </w:rPr>
        <w:t>in</w:t>
      </w:r>
      <w:r w:rsidR="00E31FBB" w:rsidRPr="000B14B8">
        <w:rPr>
          <w:rFonts w:ascii="Cambria" w:hAnsi="Cambria" w:cs="Times New Roman"/>
          <w:sz w:val="22"/>
        </w:rPr>
        <w:t xml:space="preserve">corporated </w:t>
      </w:r>
      <w:r w:rsidR="003E454D" w:rsidRPr="000B14B8">
        <w:rPr>
          <w:rFonts w:ascii="Cambria" w:hAnsi="Cambria" w:cs="Times New Roman"/>
          <w:sz w:val="22"/>
        </w:rPr>
        <w:t xml:space="preserve">in the Treaty </w:t>
      </w:r>
      <w:r w:rsidR="00E31FBB" w:rsidRPr="000B14B8">
        <w:rPr>
          <w:rFonts w:ascii="Cambria" w:hAnsi="Cambria" w:cs="Times New Roman"/>
          <w:sz w:val="22"/>
        </w:rPr>
        <w:t>itself</w:t>
      </w:r>
      <w:r w:rsidR="003E454D" w:rsidRPr="000B14B8">
        <w:rPr>
          <w:rFonts w:ascii="Cambria" w:hAnsi="Cambria" w:cs="Times New Roman"/>
          <w:sz w:val="22"/>
        </w:rPr>
        <w:t>.</w:t>
      </w:r>
      <w:r w:rsidR="00AF5AD3" w:rsidRPr="000B14B8">
        <w:rPr>
          <w:rFonts w:ascii="Cambria" w:hAnsi="Cambria" w:cs="Times New Roman"/>
          <w:sz w:val="22"/>
        </w:rPr>
        <w:t xml:space="preserve"> </w:t>
      </w:r>
    </w:p>
    <w:p w:rsidR="00325725" w:rsidRPr="008921EE" w:rsidRDefault="00E31FBB" w:rsidP="00B37737">
      <w:pPr>
        <w:spacing w:after="0" w:line="240" w:lineRule="auto"/>
        <w:jc w:val="both"/>
        <w:rPr>
          <w:rFonts w:ascii="Cambria" w:hAnsi="Cambria" w:cs="EUAlbertina"/>
          <w:sz w:val="22"/>
          <w:lang w:val="en-US"/>
        </w:rPr>
      </w:pPr>
      <w:r w:rsidRPr="000B14B8">
        <w:rPr>
          <w:rFonts w:ascii="Cambria" w:hAnsi="Cambria" w:cs="Times New Roman"/>
          <w:sz w:val="22"/>
        </w:rPr>
        <w:t xml:space="preserve">The social competences </w:t>
      </w:r>
      <w:r w:rsidR="00EF5322" w:rsidRPr="000B14B8">
        <w:rPr>
          <w:rFonts w:ascii="Cambria" w:hAnsi="Cambria" w:cs="Times New Roman"/>
          <w:sz w:val="22"/>
        </w:rPr>
        <w:t xml:space="preserve">and dialogue of </w:t>
      </w:r>
      <w:r w:rsidRPr="000B14B8">
        <w:rPr>
          <w:rFonts w:ascii="Cambria" w:hAnsi="Cambria" w:cs="Times New Roman"/>
          <w:sz w:val="22"/>
        </w:rPr>
        <w:t>article</w:t>
      </w:r>
      <w:r w:rsidR="00EF5322" w:rsidRPr="000B14B8">
        <w:rPr>
          <w:rFonts w:ascii="Cambria" w:hAnsi="Cambria" w:cs="Times New Roman"/>
          <w:sz w:val="22"/>
        </w:rPr>
        <w:t>s</w:t>
      </w:r>
      <w:r w:rsidRPr="000B14B8">
        <w:rPr>
          <w:rFonts w:ascii="Cambria" w:hAnsi="Cambria" w:cs="Times New Roman"/>
          <w:sz w:val="22"/>
        </w:rPr>
        <w:t xml:space="preserve"> 153</w:t>
      </w:r>
      <w:r w:rsidR="00EF5322" w:rsidRPr="000B14B8">
        <w:rPr>
          <w:rFonts w:ascii="Cambria" w:hAnsi="Cambria" w:cs="Times New Roman"/>
          <w:sz w:val="22"/>
        </w:rPr>
        <w:t>-155</w:t>
      </w:r>
      <w:r w:rsidRPr="000B14B8">
        <w:rPr>
          <w:rFonts w:ascii="Cambria" w:hAnsi="Cambria" w:cs="Times New Roman"/>
          <w:sz w:val="22"/>
        </w:rPr>
        <w:t xml:space="preserve"> TFEU formerly </w:t>
      </w:r>
      <w:r w:rsidR="009C5C9F" w:rsidRPr="000B14B8">
        <w:rPr>
          <w:rFonts w:ascii="Cambria" w:hAnsi="Cambria" w:cs="Times New Roman"/>
          <w:sz w:val="22"/>
        </w:rPr>
        <w:t>s</w:t>
      </w:r>
      <w:r w:rsidR="00AF5AD3" w:rsidRPr="000B14B8">
        <w:rPr>
          <w:rFonts w:ascii="Cambria" w:hAnsi="Cambria" w:cs="Times New Roman"/>
          <w:sz w:val="22"/>
        </w:rPr>
        <w:t xml:space="preserve">eemed to blur the </w:t>
      </w:r>
      <w:r w:rsidR="00EF5322" w:rsidRPr="000B14B8">
        <w:rPr>
          <w:rFonts w:ascii="Cambria" w:hAnsi="Cambria" w:cs="Times New Roman"/>
          <w:sz w:val="22"/>
        </w:rPr>
        <w:t xml:space="preserve">strict division </w:t>
      </w:r>
      <w:r w:rsidR="006C6ACD" w:rsidRPr="000B14B8">
        <w:rPr>
          <w:rFonts w:ascii="Cambria" w:hAnsi="Cambria" w:cs="Times New Roman"/>
          <w:sz w:val="22"/>
        </w:rPr>
        <w:t xml:space="preserve">of tasks, by which the European market was to be </w:t>
      </w:r>
      <w:r w:rsidR="007D186A" w:rsidRPr="000B14B8">
        <w:rPr>
          <w:rFonts w:ascii="Cambria" w:hAnsi="Cambria" w:cs="Times New Roman"/>
          <w:sz w:val="22"/>
        </w:rPr>
        <w:t>‘</w:t>
      </w:r>
      <w:r w:rsidR="006C6ACD" w:rsidRPr="000B14B8">
        <w:rPr>
          <w:rFonts w:ascii="Cambria" w:hAnsi="Cambria" w:cs="Times New Roman"/>
          <w:sz w:val="22"/>
        </w:rPr>
        <w:t>socially embedded</w:t>
      </w:r>
      <w:r w:rsidR="007D186A" w:rsidRPr="000B14B8">
        <w:rPr>
          <w:rFonts w:ascii="Cambria" w:hAnsi="Cambria" w:cs="Times New Roman"/>
          <w:sz w:val="22"/>
        </w:rPr>
        <w:t>’</w:t>
      </w:r>
      <w:r w:rsidR="006C6ACD" w:rsidRPr="000B14B8">
        <w:rPr>
          <w:rFonts w:ascii="Cambria" w:hAnsi="Cambria" w:cs="Times New Roman"/>
          <w:sz w:val="22"/>
        </w:rPr>
        <w:t xml:space="preserve"> by </w:t>
      </w:r>
      <w:r w:rsidR="00907EA1" w:rsidRPr="000B14B8">
        <w:rPr>
          <w:rFonts w:ascii="Cambria" w:hAnsi="Cambria" w:cs="Times New Roman"/>
          <w:sz w:val="22"/>
        </w:rPr>
        <w:t>differen</w:t>
      </w:r>
      <w:r w:rsidR="00907EA1" w:rsidRPr="000B14B8">
        <w:rPr>
          <w:rFonts w:ascii="Cambria" w:hAnsi="Cambria" w:cs="Times New Roman"/>
          <w:sz w:val="22"/>
        </w:rPr>
        <w:softHyphen/>
      </w:r>
      <w:r w:rsidR="00907EA1" w:rsidRPr="000B14B8">
        <w:rPr>
          <w:rFonts w:ascii="Cambria" w:hAnsi="Cambria" w:cs="Times New Roman"/>
          <w:sz w:val="22"/>
        </w:rPr>
        <w:lastRenderedPageBreak/>
        <w:t>tiated</w:t>
      </w:r>
      <w:r w:rsidR="00CE3F31" w:rsidRPr="000B14B8">
        <w:rPr>
          <w:rFonts w:ascii="Cambria" w:hAnsi="Cambria" w:cs="Times New Roman"/>
          <w:sz w:val="22"/>
        </w:rPr>
        <w:t xml:space="preserve"> </w:t>
      </w:r>
      <w:r w:rsidR="00FA2D84">
        <w:rPr>
          <w:rFonts w:ascii="Cambria" w:hAnsi="Cambria" w:cs="Times New Roman"/>
          <w:sz w:val="22"/>
        </w:rPr>
        <w:t xml:space="preserve">policies at the national level. </w:t>
      </w:r>
      <w:r w:rsidR="00CE3F31" w:rsidRPr="000B14B8">
        <w:rPr>
          <w:rFonts w:ascii="Cambria" w:hAnsi="Cambria" w:cs="Times New Roman"/>
          <w:sz w:val="22"/>
        </w:rPr>
        <w:t xml:space="preserve">In </w:t>
      </w:r>
      <w:r w:rsidR="00F72A69">
        <w:rPr>
          <w:rFonts w:ascii="Cambria" w:hAnsi="Cambria" w:cs="Times New Roman"/>
          <w:sz w:val="22"/>
        </w:rPr>
        <w:t>practices,</w:t>
      </w:r>
      <w:r w:rsidR="00CE3F31" w:rsidRPr="000B14B8">
        <w:rPr>
          <w:rFonts w:ascii="Cambria" w:hAnsi="Cambria" w:cs="Times New Roman"/>
          <w:sz w:val="22"/>
        </w:rPr>
        <w:t xml:space="preserve"> however, </w:t>
      </w:r>
      <w:r w:rsidR="00EF5322" w:rsidRPr="000B14B8">
        <w:rPr>
          <w:rFonts w:ascii="Cambria" w:hAnsi="Cambria" w:cs="Times New Roman"/>
          <w:sz w:val="22"/>
        </w:rPr>
        <w:t xml:space="preserve">the </w:t>
      </w:r>
      <w:r w:rsidR="00EC1753" w:rsidRPr="000B14B8">
        <w:rPr>
          <w:rFonts w:ascii="Cambria" w:hAnsi="Cambria" w:cs="Times New Roman"/>
          <w:sz w:val="22"/>
        </w:rPr>
        <w:t>road</w:t>
      </w:r>
      <w:r w:rsidR="00B37737" w:rsidRPr="000B14B8">
        <w:rPr>
          <w:rFonts w:ascii="Cambria" w:hAnsi="Cambria" w:cs="Times New Roman"/>
          <w:sz w:val="22"/>
        </w:rPr>
        <w:t xml:space="preserve"> </w:t>
      </w:r>
      <w:r w:rsidR="00CE3F31" w:rsidRPr="000B14B8">
        <w:rPr>
          <w:rFonts w:ascii="Cambria" w:hAnsi="Cambria" w:cs="Times New Roman"/>
          <w:sz w:val="22"/>
        </w:rPr>
        <w:t>taken</w:t>
      </w:r>
      <w:r w:rsidR="00EC1753" w:rsidRPr="000B14B8">
        <w:rPr>
          <w:rFonts w:ascii="Cambria" w:hAnsi="Cambria" w:cs="Times New Roman"/>
          <w:sz w:val="22"/>
        </w:rPr>
        <w:t xml:space="preserve"> turned out to be </w:t>
      </w:r>
      <w:r w:rsidR="00EF5322" w:rsidRPr="000B14B8">
        <w:rPr>
          <w:rFonts w:ascii="Cambria" w:hAnsi="Cambria" w:cs="Times New Roman"/>
          <w:sz w:val="22"/>
        </w:rPr>
        <w:t>foreclosed by</w:t>
      </w:r>
      <w:r w:rsidR="00325725" w:rsidRPr="000B14B8">
        <w:rPr>
          <w:rFonts w:ascii="Cambria" w:hAnsi="Cambria" w:cs="Times New Roman"/>
          <w:sz w:val="22"/>
        </w:rPr>
        <w:t>,</w:t>
      </w:r>
      <w:r w:rsidR="00EF5322" w:rsidRPr="000B14B8">
        <w:rPr>
          <w:rFonts w:ascii="Cambria" w:hAnsi="Cambria" w:cs="Times New Roman"/>
          <w:sz w:val="22"/>
        </w:rPr>
        <w:t xml:space="preserve"> </w:t>
      </w:r>
      <w:r w:rsidR="00325725" w:rsidRPr="000B14B8">
        <w:rPr>
          <w:rFonts w:ascii="Cambria" w:hAnsi="Cambria" w:cs="Times New Roman"/>
          <w:sz w:val="22"/>
        </w:rPr>
        <w:t>exactly, th</w:t>
      </w:r>
      <w:r w:rsidR="00CE3F31" w:rsidRPr="000B14B8">
        <w:rPr>
          <w:rFonts w:ascii="Cambria" w:hAnsi="Cambria" w:cs="Times New Roman"/>
          <w:sz w:val="22"/>
        </w:rPr>
        <w:t xml:space="preserve">is </w:t>
      </w:r>
      <w:r w:rsidR="00EF5322" w:rsidRPr="000B14B8">
        <w:rPr>
          <w:rFonts w:ascii="Cambria" w:hAnsi="Cambria" w:cs="Times New Roman"/>
          <w:sz w:val="22"/>
        </w:rPr>
        <w:t xml:space="preserve">diversity of national </w:t>
      </w:r>
      <w:r w:rsidR="00B37737" w:rsidRPr="000B14B8">
        <w:rPr>
          <w:rFonts w:ascii="Cambria" w:hAnsi="Cambria" w:cs="Times New Roman"/>
          <w:sz w:val="22"/>
        </w:rPr>
        <w:t xml:space="preserve">welfare systems, reinforced by </w:t>
      </w:r>
      <w:r w:rsidR="00325725" w:rsidRPr="000B14B8">
        <w:rPr>
          <w:rFonts w:ascii="Cambria" w:hAnsi="Cambria" w:cs="Times New Roman"/>
          <w:sz w:val="22"/>
        </w:rPr>
        <w:t xml:space="preserve">the successive </w:t>
      </w:r>
      <w:r w:rsidR="00907EA1" w:rsidRPr="000B14B8">
        <w:rPr>
          <w:rFonts w:ascii="Cambria" w:hAnsi="Cambria" w:cs="Times New Roman"/>
          <w:sz w:val="22"/>
        </w:rPr>
        <w:t>enlargement</w:t>
      </w:r>
      <w:r w:rsidR="00DA0693" w:rsidRPr="000B14B8">
        <w:rPr>
          <w:rFonts w:ascii="Cambria" w:hAnsi="Cambria" w:cs="Times New Roman"/>
          <w:sz w:val="22"/>
        </w:rPr>
        <w:t>s</w:t>
      </w:r>
      <w:r w:rsidR="00907EA1" w:rsidRPr="000B14B8">
        <w:rPr>
          <w:rFonts w:ascii="Cambria" w:hAnsi="Cambria" w:cs="Times New Roman"/>
          <w:sz w:val="22"/>
        </w:rPr>
        <w:t xml:space="preserve"> of the Union</w:t>
      </w:r>
      <w:r w:rsidR="00EC1753" w:rsidRPr="000B14B8">
        <w:rPr>
          <w:rFonts w:ascii="Cambria" w:hAnsi="Cambria" w:cs="Times New Roman"/>
          <w:sz w:val="22"/>
        </w:rPr>
        <w:t xml:space="preserve">. </w:t>
      </w:r>
      <w:r w:rsidR="00DA0693" w:rsidRPr="000B14B8">
        <w:rPr>
          <w:rFonts w:ascii="Cambria" w:hAnsi="Cambria" w:cs="Times New Roman"/>
          <w:sz w:val="22"/>
        </w:rPr>
        <w:t xml:space="preserve">At the one hand, </w:t>
      </w:r>
      <w:r w:rsidR="00341E4E" w:rsidRPr="000B14B8">
        <w:rPr>
          <w:rFonts w:ascii="Cambria" w:hAnsi="Cambria" w:cs="Times New Roman"/>
          <w:sz w:val="22"/>
        </w:rPr>
        <w:t>there was</w:t>
      </w:r>
      <w:r w:rsidR="00B37737" w:rsidRPr="000B14B8">
        <w:rPr>
          <w:rFonts w:ascii="Cambria" w:hAnsi="Cambria" w:cs="Times New Roman"/>
          <w:sz w:val="22"/>
        </w:rPr>
        <w:t xml:space="preserve"> a divergent development of social systems in terms of socio-po</w:t>
      </w:r>
      <w:r w:rsidR="008408F6" w:rsidRPr="000B14B8">
        <w:rPr>
          <w:rFonts w:ascii="Cambria" w:hAnsi="Cambria" w:cs="Times New Roman"/>
          <w:sz w:val="22"/>
        </w:rPr>
        <w:t>li</w:t>
      </w:r>
      <w:r w:rsidR="00DA0693" w:rsidRPr="000B14B8">
        <w:rPr>
          <w:rFonts w:ascii="Cambria" w:hAnsi="Cambria" w:cs="Times New Roman"/>
          <w:sz w:val="22"/>
        </w:rPr>
        <w:t>tical ideologies and cultures</w:t>
      </w:r>
      <w:r w:rsidR="00FA2D84">
        <w:rPr>
          <w:rFonts w:ascii="Cambria" w:hAnsi="Cambria" w:cs="Times New Roman"/>
          <w:sz w:val="22"/>
        </w:rPr>
        <w:t>, while</w:t>
      </w:r>
      <w:r w:rsidR="00FA2D84" w:rsidRPr="00FA2D84">
        <w:rPr>
          <w:rFonts w:ascii="Cambria" w:hAnsi="Cambria" w:cs="Times New Roman"/>
          <w:sz w:val="22"/>
        </w:rPr>
        <w:t xml:space="preserve"> the increased differences in the economic development of the member states, especially after the accession of Middle and Eastern States, influenced the levels of affordable welfare.</w:t>
      </w:r>
      <w:r w:rsidR="00341E4E" w:rsidRPr="000B14B8">
        <w:rPr>
          <w:rFonts w:ascii="Cambria" w:hAnsi="Cambria" w:cs="Times New Roman"/>
          <w:sz w:val="22"/>
          <w:vertAlign w:val="superscript"/>
        </w:rPr>
        <w:footnoteReference w:id="46"/>
      </w:r>
      <w:r w:rsidR="00DA0693" w:rsidRPr="000B14B8">
        <w:rPr>
          <w:rFonts w:ascii="Cambria" w:hAnsi="Cambria" w:cs="Times New Roman"/>
          <w:sz w:val="22"/>
        </w:rPr>
        <w:t xml:space="preserve"> </w:t>
      </w:r>
      <w:r w:rsidR="00FA2D84">
        <w:rPr>
          <w:rFonts w:ascii="Cambria" w:hAnsi="Cambria" w:cs="Times New Roman"/>
          <w:sz w:val="22"/>
        </w:rPr>
        <w:t>T</w:t>
      </w:r>
      <w:r w:rsidR="008408F6" w:rsidRPr="000B14B8">
        <w:rPr>
          <w:rFonts w:ascii="Cambria" w:hAnsi="Cambria" w:cs="Times New Roman"/>
          <w:sz w:val="22"/>
        </w:rPr>
        <w:t xml:space="preserve">hese structural </w:t>
      </w:r>
      <w:r w:rsidR="00341E4E" w:rsidRPr="000B14B8">
        <w:rPr>
          <w:rFonts w:ascii="Cambria" w:hAnsi="Cambria" w:cs="Times New Roman"/>
          <w:sz w:val="22"/>
        </w:rPr>
        <w:t>dif</w:t>
      </w:r>
      <w:r w:rsidR="00341E4E" w:rsidRPr="000B14B8">
        <w:rPr>
          <w:rFonts w:ascii="Cambria" w:hAnsi="Cambria" w:cs="Times New Roman"/>
          <w:sz w:val="22"/>
        </w:rPr>
        <w:softHyphen/>
        <w:t>ferences</w:t>
      </w:r>
      <w:r w:rsidR="00982862" w:rsidRPr="000B14B8">
        <w:rPr>
          <w:rFonts w:ascii="Cambria" w:hAnsi="Cambria" w:cs="Times New Roman"/>
          <w:sz w:val="22"/>
        </w:rPr>
        <w:t xml:space="preserve"> were</w:t>
      </w:r>
      <w:r w:rsidR="00FA2D84">
        <w:rPr>
          <w:rFonts w:ascii="Cambria" w:hAnsi="Cambria" w:cs="Times New Roman"/>
          <w:sz w:val="22"/>
        </w:rPr>
        <w:t>, moreover,</w:t>
      </w:r>
      <w:r w:rsidR="008408F6" w:rsidRPr="000B14B8">
        <w:rPr>
          <w:rFonts w:ascii="Cambria" w:hAnsi="Cambria" w:cs="Times New Roman"/>
          <w:sz w:val="22"/>
        </w:rPr>
        <w:t xml:space="preserve"> of </w:t>
      </w:r>
      <w:r w:rsidR="00DA0693" w:rsidRPr="000B14B8">
        <w:rPr>
          <w:rFonts w:ascii="Cambria" w:hAnsi="Cambria" w:cs="Times New Roman"/>
          <w:sz w:val="22"/>
        </w:rPr>
        <w:t>highly political salience</w:t>
      </w:r>
      <w:r w:rsidR="00341E4E" w:rsidRPr="000B14B8">
        <w:rPr>
          <w:rFonts w:ascii="Cambria" w:hAnsi="Cambria" w:cs="Times New Roman"/>
          <w:sz w:val="22"/>
        </w:rPr>
        <w:t xml:space="preserve">: </w:t>
      </w:r>
      <w:r w:rsidR="00F72A69">
        <w:rPr>
          <w:rFonts w:ascii="Cambria" w:hAnsi="Cambria" w:cs="Times New Roman"/>
          <w:sz w:val="22"/>
        </w:rPr>
        <w:t xml:space="preserve">the </w:t>
      </w:r>
      <w:r w:rsidR="008408F6" w:rsidRPr="000B14B8">
        <w:rPr>
          <w:rFonts w:ascii="Cambria" w:hAnsi="Cambria" w:cs="Times New Roman"/>
          <w:sz w:val="22"/>
        </w:rPr>
        <w:t xml:space="preserve">radical </w:t>
      </w:r>
      <w:r w:rsidR="006348F2" w:rsidRPr="000B14B8">
        <w:rPr>
          <w:rFonts w:ascii="Cambria" w:hAnsi="Cambria" w:cs="Times New Roman"/>
          <w:sz w:val="22"/>
        </w:rPr>
        <w:t xml:space="preserve">political reform </w:t>
      </w:r>
      <w:r w:rsidR="008408F6" w:rsidRPr="000B14B8">
        <w:rPr>
          <w:rFonts w:ascii="Cambria" w:hAnsi="Cambria" w:cs="Times New Roman"/>
          <w:sz w:val="22"/>
        </w:rPr>
        <w:t xml:space="preserve">of welfare arrangements and correlated tax burdens </w:t>
      </w:r>
      <w:r w:rsidR="006348F2" w:rsidRPr="000B14B8">
        <w:rPr>
          <w:rFonts w:ascii="Cambria" w:hAnsi="Cambria" w:cs="Times New Roman"/>
          <w:sz w:val="22"/>
        </w:rPr>
        <w:t>would</w:t>
      </w:r>
      <w:r w:rsidR="008408F6" w:rsidRPr="000B14B8">
        <w:rPr>
          <w:rFonts w:ascii="Cambria" w:hAnsi="Cambria" w:cs="Times New Roman"/>
          <w:sz w:val="22"/>
        </w:rPr>
        <w:t xml:space="preserve"> meet fierce op</w:t>
      </w:r>
      <w:r w:rsidR="006348F2" w:rsidRPr="000B14B8">
        <w:rPr>
          <w:rFonts w:ascii="Cambria" w:hAnsi="Cambria" w:cs="Times New Roman"/>
          <w:sz w:val="22"/>
        </w:rPr>
        <w:t xml:space="preserve">position </w:t>
      </w:r>
      <w:r w:rsidR="008408F6" w:rsidRPr="000B14B8">
        <w:rPr>
          <w:rFonts w:ascii="Cambria" w:hAnsi="Cambria" w:cs="Times New Roman"/>
          <w:sz w:val="22"/>
        </w:rPr>
        <w:t xml:space="preserve">by </w:t>
      </w:r>
      <w:r w:rsidR="00DA0693" w:rsidRPr="000B14B8">
        <w:rPr>
          <w:rFonts w:ascii="Cambria" w:hAnsi="Cambria" w:cs="Times New Roman"/>
          <w:sz w:val="22"/>
        </w:rPr>
        <w:t>nationals</w:t>
      </w:r>
      <w:r w:rsidR="008408F6" w:rsidRPr="000B14B8">
        <w:rPr>
          <w:rFonts w:ascii="Cambria" w:hAnsi="Cambria" w:cs="Times New Roman"/>
          <w:sz w:val="22"/>
        </w:rPr>
        <w:t>.</w:t>
      </w:r>
      <w:r w:rsidR="00A63775">
        <w:rPr>
          <w:rStyle w:val="Voetnootmarkering"/>
          <w:rFonts w:ascii="Cambria" w:hAnsi="Cambria" w:cs="Times New Roman"/>
          <w:sz w:val="22"/>
        </w:rPr>
        <w:footnoteReference w:id="47"/>
      </w:r>
      <w:r w:rsidR="00907EA1" w:rsidRPr="000B14B8">
        <w:rPr>
          <w:rFonts w:ascii="Cambria" w:hAnsi="Cambria" w:cs="Times New Roman"/>
          <w:sz w:val="22"/>
        </w:rPr>
        <w:t xml:space="preserve"> On the other hand, </w:t>
      </w:r>
      <w:r w:rsidR="006348F2" w:rsidRPr="000B14B8">
        <w:rPr>
          <w:rFonts w:ascii="Cambria" w:hAnsi="Cambria" w:cs="Times New Roman"/>
          <w:sz w:val="22"/>
        </w:rPr>
        <w:t>har</w:t>
      </w:r>
      <w:r w:rsidR="00907EA1" w:rsidRPr="000B14B8">
        <w:rPr>
          <w:rFonts w:ascii="Cambria" w:hAnsi="Cambria" w:cs="Times New Roman"/>
          <w:sz w:val="22"/>
        </w:rPr>
        <w:t>mo</w:t>
      </w:r>
      <w:r w:rsidR="009B0E2C" w:rsidRPr="000B14B8">
        <w:rPr>
          <w:rFonts w:ascii="Cambria" w:hAnsi="Cambria" w:cs="Times New Roman"/>
          <w:sz w:val="22"/>
        </w:rPr>
        <w:softHyphen/>
      </w:r>
      <w:r w:rsidR="00907EA1" w:rsidRPr="000B14B8">
        <w:rPr>
          <w:rFonts w:ascii="Cambria" w:hAnsi="Cambria" w:cs="Times New Roman"/>
          <w:sz w:val="22"/>
        </w:rPr>
        <w:t>nizing European legis</w:t>
      </w:r>
      <w:r w:rsidR="00907EA1" w:rsidRPr="000B14B8">
        <w:rPr>
          <w:rFonts w:ascii="Cambria" w:hAnsi="Cambria" w:cs="Times New Roman"/>
          <w:sz w:val="22"/>
        </w:rPr>
        <w:softHyphen/>
        <w:t xml:space="preserve">lation </w:t>
      </w:r>
      <w:r w:rsidR="004A39DD" w:rsidRPr="000B14B8">
        <w:rPr>
          <w:rFonts w:ascii="Cambria" w:hAnsi="Cambria" w:cs="Times New Roman"/>
          <w:sz w:val="22"/>
        </w:rPr>
        <w:t xml:space="preserve">on, </w:t>
      </w:r>
      <w:r w:rsidR="004A39DD" w:rsidRPr="000B14B8">
        <w:rPr>
          <w:rFonts w:ascii="Cambria" w:hAnsi="Cambria" w:cs="Times New Roman"/>
          <w:i/>
          <w:sz w:val="22"/>
        </w:rPr>
        <w:t>i.a.</w:t>
      </w:r>
      <w:r w:rsidR="00DA0693" w:rsidRPr="000B14B8">
        <w:rPr>
          <w:rFonts w:ascii="Cambria" w:hAnsi="Cambria" w:cs="Times New Roman"/>
          <w:sz w:val="22"/>
        </w:rPr>
        <w:t xml:space="preserve">, </w:t>
      </w:r>
      <w:r w:rsidR="004A39DD" w:rsidRPr="000B14B8">
        <w:rPr>
          <w:rFonts w:ascii="Cambria" w:hAnsi="Cambria" w:cs="Times New Roman"/>
          <w:sz w:val="22"/>
        </w:rPr>
        <w:t>social security and</w:t>
      </w:r>
      <w:r w:rsidR="00F72A69">
        <w:rPr>
          <w:rFonts w:ascii="Cambria" w:hAnsi="Cambria" w:cs="Times New Roman"/>
          <w:sz w:val="22"/>
        </w:rPr>
        <w:t xml:space="preserve"> the</w:t>
      </w:r>
      <w:r w:rsidR="004A39DD" w:rsidRPr="000B14B8">
        <w:rPr>
          <w:rFonts w:ascii="Cambria" w:hAnsi="Cambria" w:cs="Times New Roman"/>
          <w:sz w:val="22"/>
        </w:rPr>
        <w:t xml:space="preserve"> social protection of workers</w:t>
      </w:r>
      <w:r w:rsidR="00B3139C" w:rsidRPr="000B14B8">
        <w:rPr>
          <w:rFonts w:ascii="Cambria" w:hAnsi="Cambria" w:cs="Times New Roman"/>
          <w:sz w:val="22"/>
        </w:rPr>
        <w:t xml:space="preserve">, </w:t>
      </w:r>
      <w:r w:rsidR="004A39DD" w:rsidRPr="000B14B8">
        <w:rPr>
          <w:rFonts w:ascii="Cambria" w:hAnsi="Cambria" w:cs="Times New Roman"/>
          <w:sz w:val="22"/>
        </w:rPr>
        <w:t>including the termination of</w:t>
      </w:r>
      <w:r w:rsidR="00982862" w:rsidRPr="000B14B8">
        <w:rPr>
          <w:rFonts w:ascii="Cambria" w:hAnsi="Cambria" w:cs="Times New Roman"/>
          <w:sz w:val="22"/>
        </w:rPr>
        <w:t xml:space="preserve"> employment contracts, required</w:t>
      </w:r>
      <w:r w:rsidR="00907EA1" w:rsidRPr="000B14B8">
        <w:rPr>
          <w:rFonts w:ascii="Cambria" w:hAnsi="Cambria" w:cs="Times New Roman"/>
          <w:sz w:val="22"/>
        </w:rPr>
        <w:t xml:space="preserve">, according to article 153 TFEU, </w:t>
      </w:r>
      <w:r w:rsidR="004A39DD" w:rsidRPr="000B14B8">
        <w:rPr>
          <w:rFonts w:ascii="Cambria" w:hAnsi="Cambria" w:cs="Times New Roman"/>
          <w:sz w:val="22"/>
        </w:rPr>
        <w:t xml:space="preserve">an unanimous </w:t>
      </w:r>
      <w:r w:rsidR="00DA0693" w:rsidRPr="000B14B8">
        <w:rPr>
          <w:rFonts w:ascii="Cambria" w:hAnsi="Cambria" w:cs="Times New Roman"/>
          <w:sz w:val="22"/>
        </w:rPr>
        <w:t>Coun</w:t>
      </w:r>
      <w:r w:rsidR="00F72A69">
        <w:rPr>
          <w:rFonts w:ascii="Cambria" w:hAnsi="Cambria" w:cs="Times New Roman"/>
          <w:sz w:val="22"/>
        </w:rPr>
        <w:t>cil</w:t>
      </w:r>
      <w:r w:rsidR="00DA0693" w:rsidRPr="000B14B8">
        <w:rPr>
          <w:rFonts w:ascii="Cambria" w:hAnsi="Cambria" w:cs="Times New Roman"/>
          <w:sz w:val="22"/>
        </w:rPr>
        <w:t xml:space="preserve"> </w:t>
      </w:r>
      <w:r w:rsidR="004A39DD" w:rsidRPr="000B14B8">
        <w:rPr>
          <w:rFonts w:ascii="Cambria" w:hAnsi="Cambria" w:cs="Times New Roman"/>
          <w:sz w:val="22"/>
        </w:rPr>
        <w:t>vote.</w:t>
      </w:r>
      <w:r w:rsidR="006348F2" w:rsidRPr="000B14B8">
        <w:rPr>
          <w:rFonts w:ascii="Cambria" w:hAnsi="Cambria" w:cs="Times New Roman"/>
          <w:sz w:val="22"/>
        </w:rPr>
        <w:t xml:space="preserve"> And t</w:t>
      </w:r>
      <w:r w:rsidR="004A39DD" w:rsidRPr="000B14B8">
        <w:rPr>
          <w:rFonts w:ascii="Cambria" w:hAnsi="Cambria" w:cs="Times New Roman"/>
          <w:sz w:val="22"/>
        </w:rPr>
        <w:t>he</w:t>
      </w:r>
      <w:r w:rsidR="00341E4E" w:rsidRPr="000B14B8">
        <w:rPr>
          <w:rFonts w:ascii="Cambria" w:hAnsi="Cambria" w:cs="Times New Roman"/>
          <w:sz w:val="22"/>
        </w:rPr>
        <w:t xml:space="preserve"> </w:t>
      </w:r>
      <w:r w:rsidR="00325725" w:rsidRPr="000B14B8">
        <w:rPr>
          <w:rFonts w:ascii="Cambria" w:hAnsi="Cambria" w:cs="Times New Roman"/>
          <w:sz w:val="22"/>
        </w:rPr>
        <w:t>para</w:t>
      </w:r>
      <w:r w:rsidR="00325725" w:rsidRPr="000B14B8">
        <w:rPr>
          <w:rFonts w:ascii="Cambria" w:hAnsi="Cambria" w:cs="Times New Roman"/>
          <w:sz w:val="22"/>
        </w:rPr>
        <w:softHyphen/>
      </w:r>
      <w:r w:rsidR="009B0E2C" w:rsidRPr="000B14B8">
        <w:rPr>
          <w:rFonts w:ascii="Cambria" w:hAnsi="Cambria" w:cs="Times New Roman"/>
          <w:sz w:val="22"/>
        </w:rPr>
        <w:t xml:space="preserve">mount issues </w:t>
      </w:r>
      <w:r w:rsidR="00982862" w:rsidRPr="000B14B8">
        <w:rPr>
          <w:rFonts w:ascii="Cambria" w:hAnsi="Cambria" w:cs="Times New Roman"/>
          <w:sz w:val="22"/>
        </w:rPr>
        <w:t xml:space="preserve">- in the field of industrial relations - </w:t>
      </w:r>
      <w:r w:rsidR="00325725" w:rsidRPr="000B14B8">
        <w:rPr>
          <w:rFonts w:ascii="Cambria" w:hAnsi="Cambria" w:cs="Times New Roman"/>
          <w:sz w:val="22"/>
        </w:rPr>
        <w:t xml:space="preserve">of </w:t>
      </w:r>
      <w:r w:rsidR="00B3139C" w:rsidRPr="000B14B8">
        <w:rPr>
          <w:rFonts w:ascii="Cambria" w:hAnsi="Cambria" w:cs="EUAlbertina"/>
          <w:sz w:val="22"/>
          <w:lang w:val="en-US"/>
        </w:rPr>
        <w:t xml:space="preserve">pay, the right of association and </w:t>
      </w:r>
      <w:r w:rsidR="004A39DD" w:rsidRPr="000B14B8">
        <w:rPr>
          <w:rFonts w:ascii="Cambria" w:hAnsi="Cambria" w:cs="EUAlbertina"/>
          <w:sz w:val="22"/>
          <w:lang w:val="en-US"/>
        </w:rPr>
        <w:t>the right to strike</w:t>
      </w:r>
      <w:r w:rsidR="00D443B5" w:rsidRPr="000B14B8">
        <w:rPr>
          <w:rFonts w:ascii="Cambria" w:hAnsi="Cambria" w:cs="EUAlbertina"/>
          <w:sz w:val="22"/>
          <w:lang w:val="en-US"/>
        </w:rPr>
        <w:t xml:space="preserve"> were</w:t>
      </w:r>
      <w:r w:rsidR="00B3139C" w:rsidRPr="000B14B8">
        <w:rPr>
          <w:rFonts w:ascii="Cambria" w:hAnsi="Cambria" w:cs="EUAlbertina"/>
          <w:sz w:val="22"/>
          <w:lang w:val="en-US"/>
        </w:rPr>
        <w:t xml:space="preserve"> altogether excluded from the Union’s compe</w:t>
      </w:r>
      <w:r w:rsidR="00341E4E" w:rsidRPr="000B14B8">
        <w:rPr>
          <w:rFonts w:ascii="Cambria" w:hAnsi="Cambria" w:cs="EUAlbertina"/>
          <w:sz w:val="22"/>
          <w:lang w:val="en-US"/>
        </w:rPr>
        <w:softHyphen/>
      </w:r>
      <w:r w:rsidR="00B3139C" w:rsidRPr="000B14B8">
        <w:rPr>
          <w:rFonts w:ascii="Cambria" w:hAnsi="Cambria" w:cs="EUAlbertina"/>
          <w:sz w:val="22"/>
          <w:lang w:val="en-US"/>
        </w:rPr>
        <w:t>tences.</w:t>
      </w:r>
      <w:r w:rsidR="00B3139C" w:rsidRPr="000B14B8">
        <w:rPr>
          <w:rStyle w:val="Voetnootmarkering"/>
          <w:rFonts w:ascii="Cambria" w:hAnsi="Cambria" w:cs="Times New Roman"/>
          <w:sz w:val="22"/>
        </w:rPr>
        <w:footnoteReference w:id="48"/>
      </w:r>
      <w:r w:rsidR="00907EA1" w:rsidRPr="000B14B8">
        <w:rPr>
          <w:rFonts w:ascii="Cambria" w:hAnsi="Cambria" w:cs="EUAlbertina"/>
          <w:sz w:val="22"/>
          <w:lang w:val="en-US"/>
        </w:rPr>
        <w:t xml:space="preserve"> </w:t>
      </w:r>
    </w:p>
    <w:p w:rsidR="00325725" w:rsidRPr="001E3E67" w:rsidRDefault="00325725" w:rsidP="00B37737">
      <w:pPr>
        <w:spacing w:after="0" w:line="240" w:lineRule="auto"/>
        <w:jc w:val="both"/>
        <w:rPr>
          <w:rFonts w:ascii="Cambria" w:hAnsi="Cambria" w:cs="EUAlbertina"/>
          <w:sz w:val="22"/>
          <w:lang w:val="en-US"/>
        </w:rPr>
      </w:pPr>
    </w:p>
    <w:p w:rsidR="00EF5322" w:rsidRPr="000B14B8" w:rsidRDefault="00D443B5" w:rsidP="00B37737">
      <w:pPr>
        <w:spacing w:after="0" w:line="240" w:lineRule="auto"/>
        <w:jc w:val="both"/>
        <w:rPr>
          <w:rFonts w:ascii="Cambria" w:hAnsi="Cambria" w:cs="EUAlbertina"/>
          <w:sz w:val="22"/>
          <w:lang w:val="en-US"/>
        </w:rPr>
      </w:pPr>
      <w:r w:rsidRPr="001E3E67">
        <w:rPr>
          <w:rFonts w:ascii="Cambria" w:hAnsi="Cambria" w:cs="EUAlbertina"/>
          <w:sz w:val="22"/>
          <w:lang w:val="en-US"/>
        </w:rPr>
        <w:t xml:space="preserve">After the insertion of social legislative competences, </w:t>
      </w:r>
      <w:r w:rsidR="00F72A69">
        <w:rPr>
          <w:rFonts w:ascii="Cambria" w:hAnsi="Cambria" w:cs="EUAlbertina"/>
          <w:sz w:val="22"/>
          <w:lang w:val="en-US"/>
        </w:rPr>
        <w:t xml:space="preserve">the </w:t>
      </w:r>
      <w:r w:rsidRPr="001E3E67">
        <w:rPr>
          <w:rFonts w:ascii="Cambria" w:hAnsi="Cambria" w:cs="EUAlbertina"/>
          <w:sz w:val="22"/>
          <w:lang w:val="en-US"/>
        </w:rPr>
        <w:t>a</w:t>
      </w:r>
      <w:r w:rsidR="00325725" w:rsidRPr="001E3E67">
        <w:rPr>
          <w:rFonts w:ascii="Cambria" w:hAnsi="Cambria" w:cs="EUAlbertina"/>
          <w:sz w:val="22"/>
          <w:lang w:val="en-US"/>
        </w:rPr>
        <w:t>ctual harmoni</w:t>
      </w:r>
      <w:r w:rsidR="00325725" w:rsidRPr="000B14B8">
        <w:rPr>
          <w:rFonts w:ascii="Cambria" w:hAnsi="Cambria" w:cs="EUAlbertina"/>
          <w:sz w:val="22"/>
          <w:lang w:val="en-US"/>
        </w:rPr>
        <w:t>zation</w:t>
      </w:r>
      <w:r w:rsidRPr="000B14B8">
        <w:rPr>
          <w:rFonts w:ascii="Cambria" w:hAnsi="Cambria" w:cs="EUAlbertina"/>
          <w:sz w:val="22"/>
          <w:lang w:val="en-US"/>
        </w:rPr>
        <w:t xml:space="preserve"> </w:t>
      </w:r>
      <w:r w:rsidR="00CA21BD">
        <w:rPr>
          <w:rFonts w:ascii="Cambria" w:hAnsi="Cambria" w:cs="EUAlbertina"/>
          <w:sz w:val="22"/>
          <w:lang w:val="en-US"/>
        </w:rPr>
        <w:t>of national social policy</w:t>
      </w:r>
      <w:r w:rsidR="00FA2D84">
        <w:rPr>
          <w:rFonts w:ascii="Cambria" w:hAnsi="Cambria" w:cs="EUAlbertina"/>
          <w:sz w:val="22"/>
          <w:lang w:val="en-US"/>
        </w:rPr>
        <w:t xml:space="preserve"> </w:t>
      </w:r>
      <w:r w:rsidRPr="000B14B8">
        <w:rPr>
          <w:rFonts w:ascii="Cambria" w:hAnsi="Cambria" w:cs="EUAlbertina"/>
          <w:sz w:val="22"/>
          <w:lang w:val="en-US"/>
        </w:rPr>
        <w:t>-</w:t>
      </w:r>
      <w:r w:rsidR="00DA0693" w:rsidRPr="000B14B8">
        <w:rPr>
          <w:rFonts w:ascii="Cambria" w:hAnsi="Cambria" w:cs="EUAlbertina"/>
          <w:sz w:val="22"/>
          <w:lang w:val="en-US"/>
        </w:rPr>
        <w:t xml:space="preserve"> </w:t>
      </w:r>
      <w:r w:rsidR="009B0E2C" w:rsidRPr="000B14B8">
        <w:rPr>
          <w:rFonts w:ascii="Cambria" w:hAnsi="Cambria" w:cs="EUAlbertina"/>
          <w:sz w:val="22"/>
          <w:lang w:val="en-US"/>
        </w:rPr>
        <w:t xml:space="preserve">besides </w:t>
      </w:r>
      <w:r w:rsidR="00DA0693" w:rsidRPr="000B14B8">
        <w:rPr>
          <w:rFonts w:ascii="Cambria" w:hAnsi="Cambria" w:cs="EUAlbertina"/>
          <w:sz w:val="22"/>
          <w:lang w:val="en-US"/>
        </w:rPr>
        <w:t xml:space="preserve">the </w:t>
      </w:r>
      <w:r w:rsidR="009B0E2C" w:rsidRPr="000B14B8">
        <w:rPr>
          <w:rFonts w:ascii="Cambria" w:hAnsi="Cambria" w:cs="EUAlbertina"/>
          <w:sz w:val="22"/>
          <w:lang w:val="en-US"/>
        </w:rPr>
        <w:t>‘</w:t>
      </w:r>
      <w:r w:rsidR="00DA0693" w:rsidRPr="000B14B8">
        <w:rPr>
          <w:rFonts w:ascii="Cambria" w:hAnsi="Cambria" w:cs="EUAlbertina"/>
          <w:sz w:val="22"/>
          <w:lang w:val="en-US"/>
        </w:rPr>
        <w:t>restructuring directives</w:t>
      </w:r>
      <w:r w:rsidR="009B0E2C" w:rsidRPr="000B14B8">
        <w:rPr>
          <w:rFonts w:ascii="Cambria" w:hAnsi="Cambria" w:cs="EUAlbertina"/>
          <w:sz w:val="22"/>
          <w:lang w:val="en-US"/>
        </w:rPr>
        <w:t>’</w:t>
      </w:r>
      <w:r w:rsidRPr="000B14B8">
        <w:rPr>
          <w:rFonts w:ascii="Cambria" w:hAnsi="Cambria" w:cs="EUAlbertina"/>
          <w:sz w:val="22"/>
          <w:lang w:val="en-US"/>
        </w:rPr>
        <w:t xml:space="preserve"> of the </w:t>
      </w:r>
      <w:r w:rsidR="00F72A69">
        <w:rPr>
          <w:rFonts w:ascii="Cambria" w:hAnsi="Cambria" w:cs="EUAlbertina"/>
          <w:sz w:val="22"/>
          <w:lang w:val="en-US"/>
        </w:rPr>
        <w:t>19</w:t>
      </w:r>
      <w:r w:rsidRPr="000B14B8">
        <w:rPr>
          <w:rFonts w:ascii="Cambria" w:hAnsi="Cambria" w:cs="EUAlbertina"/>
          <w:sz w:val="22"/>
          <w:lang w:val="en-US"/>
        </w:rPr>
        <w:t>70s -</w:t>
      </w:r>
      <w:r w:rsidR="00DA0693" w:rsidRPr="000B14B8">
        <w:rPr>
          <w:rFonts w:ascii="Cambria" w:hAnsi="Cambria" w:cs="EUAlbertina"/>
          <w:sz w:val="22"/>
          <w:lang w:val="en-US"/>
        </w:rPr>
        <w:t xml:space="preserve"> </w:t>
      </w:r>
      <w:r w:rsidR="00325725" w:rsidRPr="000B14B8">
        <w:rPr>
          <w:rFonts w:ascii="Cambria" w:hAnsi="Cambria" w:cs="EUAlbertina"/>
          <w:sz w:val="22"/>
          <w:lang w:val="en-US"/>
        </w:rPr>
        <w:t xml:space="preserve">has been limited to </w:t>
      </w:r>
      <w:r w:rsidR="00907EA1" w:rsidRPr="000B14B8">
        <w:rPr>
          <w:rFonts w:ascii="Cambria" w:hAnsi="Cambria" w:cs="EUAlbertina"/>
          <w:sz w:val="22"/>
          <w:lang w:val="en-US"/>
        </w:rPr>
        <w:t>equal treatment</w:t>
      </w:r>
      <w:r w:rsidR="00CA21BD">
        <w:rPr>
          <w:rFonts w:ascii="Cambria" w:hAnsi="Cambria" w:cs="EUAlbertina"/>
          <w:sz w:val="22"/>
          <w:lang w:val="en-US"/>
        </w:rPr>
        <w:t xml:space="preserve">, </w:t>
      </w:r>
      <w:r w:rsidR="00907EA1" w:rsidRPr="000B14B8">
        <w:rPr>
          <w:rFonts w:ascii="Cambria" w:hAnsi="Cambria" w:cs="EUAlbertina"/>
          <w:sz w:val="22"/>
          <w:lang w:val="en-US"/>
        </w:rPr>
        <w:t>health and safety in the workplace</w:t>
      </w:r>
      <w:r w:rsidR="00FA2D84">
        <w:rPr>
          <w:rFonts w:ascii="Cambria" w:hAnsi="Cambria" w:cs="EUAlbertina"/>
          <w:sz w:val="22"/>
          <w:lang w:val="en-US"/>
        </w:rPr>
        <w:t xml:space="preserve"> </w:t>
      </w:r>
      <w:r w:rsidR="00CA21BD">
        <w:rPr>
          <w:rFonts w:ascii="Cambria" w:hAnsi="Cambria" w:cs="EUAlbertina"/>
          <w:sz w:val="22"/>
          <w:lang w:val="en-US"/>
        </w:rPr>
        <w:t xml:space="preserve">(including working time and leave) </w:t>
      </w:r>
      <w:r w:rsidR="00F010B6" w:rsidRPr="000B14B8">
        <w:rPr>
          <w:rFonts w:ascii="Cambria" w:hAnsi="Cambria" w:cs="EUAlbertina"/>
          <w:sz w:val="22"/>
          <w:lang w:val="en-US"/>
        </w:rPr>
        <w:t xml:space="preserve">and to, albeit in a much more cautious way, </w:t>
      </w:r>
      <w:r w:rsidR="00243EE8" w:rsidRPr="000B14B8">
        <w:rPr>
          <w:rFonts w:ascii="Cambria" w:hAnsi="Cambria" w:cs="EUAlbertina"/>
          <w:sz w:val="22"/>
          <w:lang w:val="en-US"/>
        </w:rPr>
        <w:t>employees’ consultation rights and equal treatment in employment conditions for flexible work</w:t>
      </w:r>
      <w:r w:rsidR="00DA0693" w:rsidRPr="000B14B8">
        <w:rPr>
          <w:rFonts w:ascii="Cambria" w:hAnsi="Cambria" w:cs="EUAlbertina"/>
          <w:sz w:val="22"/>
          <w:lang w:val="en-US"/>
        </w:rPr>
        <w:t>ers</w:t>
      </w:r>
      <w:r w:rsidR="00243EE8" w:rsidRPr="000B14B8">
        <w:rPr>
          <w:rFonts w:ascii="Cambria" w:hAnsi="Cambria" w:cs="EUAlbertina"/>
          <w:sz w:val="22"/>
          <w:lang w:val="en-US"/>
        </w:rPr>
        <w:t>. T</w:t>
      </w:r>
      <w:r w:rsidR="00907EA1" w:rsidRPr="000B14B8">
        <w:rPr>
          <w:rFonts w:ascii="Cambria" w:hAnsi="Cambria" w:cs="EUAlbertina"/>
          <w:sz w:val="22"/>
          <w:lang w:val="en-US"/>
        </w:rPr>
        <w:t>he subject</w:t>
      </w:r>
      <w:r w:rsidR="00F72A69">
        <w:rPr>
          <w:rFonts w:ascii="Cambria" w:hAnsi="Cambria" w:cs="EUAlbertina"/>
          <w:sz w:val="22"/>
          <w:lang w:val="en-US"/>
        </w:rPr>
        <w:t>-</w:t>
      </w:r>
      <w:r w:rsidR="00907EA1" w:rsidRPr="000B14B8">
        <w:rPr>
          <w:rFonts w:ascii="Cambria" w:hAnsi="Cambria" w:cs="EUAlbertina"/>
          <w:sz w:val="22"/>
          <w:lang w:val="en-US"/>
        </w:rPr>
        <w:t xml:space="preserve">matters of </w:t>
      </w:r>
      <w:r w:rsidR="001A7012" w:rsidRPr="000B14B8">
        <w:rPr>
          <w:rFonts w:ascii="Cambria" w:hAnsi="Cambria" w:cs="EUAlbertina"/>
          <w:sz w:val="22"/>
          <w:lang w:val="en-US"/>
        </w:rPr>
        <w:t>A</w:t>
      </w:r>
      <w:r w:rsidR="00907EA1" w:rsidRPr="000B14B8">
        <w:rPr>
          <w:rFonts w:ascii="Cambria" w:hAnsi="Cambria" w:cs="EUAlbertina"/>
          <w:sz w:val="22"/>
          <w:lang w:val="en-US"/>
        </w:rPr>
        <w:t>rticle 153</w:t>
      </w:r>
      <w:r w:rsidR="001A7012" w:rsidRPr="000B14B8">
        <w:rPr>
          <w:rFonts w:ascii="Cambria" w:hAnsi="Cambria" w:cs="EUAlbertina"/>
          <w:sz w:val="22"/>
          <w:lang w:val="en-US"/>
        </w:rPr>
        <w:t xml:space="preserve"> TFEU</w:t>
      </w:r>
      <w:r w:rsidR="00907EA1" w:rsidRPr="000B14B8">
        <w:rPr>
          <w:rFonts w:ascii="Cambria" w:hAnsi="Cambria" w:cs="EUAlbertina"/>
          <w:sz w:val="22"/>
          <w:lang w:val="en-US"/>
        </w:rPr>
        <w:t xml:space="preserve"> that require </w:t>
      </w:r>
      <w:r w:rsidR="00F010B6" w:rsidRPr="000B14B8">
        <w:rPr>
          <w:rFonts w:ascii="Cambria" w:hAnsi="Cambria" w:cs="EUAlbertina"/>
          <w:sz w:val="22"/>
          <w:lang w:val="en-US"/>
        </w:rPr>
        <w:t xml:space="preserve">political </w:t>
      </w:r>
      <w:r w:rsidR="00907EA1" w:rsidRPr="000B14B8">
        <w:rPr>
          <w:rFonts w:ascii="Cambria" w:hAnsi="Cambria" w:cs="EUAlbertina"/>
          <w:sz w:val="22"/>
          <w:lang w:val="en-US"/>
        </w:rPr>
        <w:t>consensus have never been used so far.</w:t>
      </w:r>
    </w:p>
    <w:p w:rsidR="002D0F1C" w:rsidRPr="000B14B8" w:rsidRDefault="002D0F1C" w:rsidP="00B37737">
      <w:pPr>
        <w:spacing w:after="0" w:line="240" w:lineRule="auto"/>
        <w:jc w:val="both"/>
        <w:rPr>
          <w:rFonts w:ascii="Cambria" w:hAnsi="Cambria" w:cs="Times New Roman"/>
          <w:sz w:val="22"/>
        </w:rPr>
      </w:pPr>
    </w:p>
    <w:p w:rsidR="00EC1753" w:rsidRPr="000B14B8" w:rsidRDefault="00EC1753" w:rsidP="00F6333E">
      <w:pPr>
        <w:spacing w:after="0" w:line="240" w:lineRule="auto"/>
        <w:jc w:val="both"/>
        <w:rPr>
          <w:rFonts w:ascii="Cambria" w:hAnsi="Cambria" w:cs="Times New Roman"/>
          <w:sz w:val="22"/>
        </w:rPr>
      </w:pPr>
    </w:p>
    <w:p w:rsidR="002D0F1C" w:rsidRPr="000B14B8" w:rsidRDefault="00845290" w:rsidP="00065F9B">
      <w:pPr>
        <w:spacing w:after="0" w:line="240" w:lineRule="auto"/>
        <w:jc w:val="both"/>
        <w:outlineLvl w:val="0"/>
        <w:rPr>
          <w:rFonts w:ascii="Cambria" w:hAnsi="Cambria" w:cs="Times New Roman"/>
          <w:b/>
          <w:sz w:val="22"/>
          <w:lang w:val="en-US"/>
        </w:rPr>
      </w:pPr>
      <w:r w:rsidRPr="00845290">
        <w:rPr>
          <w:rFonts w:ascii="Cambria" w:hAnsi="Cambria" w:cs="Times New Roman"/>
          <w:b/>
          <w:sz w:val="22"/>
          <w:lang w:val="en-US"/>
        </w:rPr>
        <w:t>4</w:t>
      </w:r>
      <w:r w:rsidRPr="00845290">
        <w:rPr>
          <w:rFonts w:ascii="Cambria" w:hAnsi="Cambria" w:cs="Times New Roman"/>
          <w:b/>
          <w:sz w:val="22"/>
          <w:lang w:val="en-US"/>
        </w:rPr>
        <w:tab/>
        <w:t>The way the reconciliation problem has been handled so far</w:t>
      </w:r>
    </w:p>
    <w:p w:rsidR="002D0F1C" w:rsidRPr="000B14B8" w:rsidRDefault="002D0F1C" w:rsidP="002D0F1C">
      <w:pPr>
        <w:spacing w:after="0" w:line="240" w:lineRule="auto"/>
        <w:jc w:val="both"/>
        <w:rPr>
          <w:rFonts w:ascii="Cambria" w:hAnsi="Cambria" w:cs="Times New Roman"/>
          <w:b/>
          <w:sz w:val="22"/>
          <w:lang w:val="en-US"/>
        </w:rPr>
      </w:pPr>
    </w:p>
    <w:p w:rsidR="002D0F1C" w:rsidRPr="00030460" w:rsidRDefault="002D0F1C" w:rsidP="002D0F1C">
      <w:pPr>
        <w:spacing w:after="0" w:line="240" w:lineRule="auto"/>
        <w:ind w:left="360"/>
        <w:jc w:val="both"/>
        <w:rPr>
          <w:rFonts w:ascii="Cambria" w:hAnsi="Cambria" w:cs="Times New Roman"/>
          <w:sz w:val="22"/>
          <w:lang w:val="en-US"/>
        </w:rPr>
      </w:pPr>
      <w:r w:rsidRPr="00030460">
        <w:rPr>
          <w:rFonts w:ascii="Cambria" w:hAnsi="Cambria" w:cs="Times New Roman"/>
          <w:sz w:val="22"/>
          <w:lang w:val="en-US"/>
        </w:rPr>
        <w:t>4.1</w:t>
      </w:r>
      <w:r w:rsidRPr="00030460">
        <w:rPr>
          <w:rFonts w:ascii="Cambria" w:hAnsi="Cambria" w:cs="Times New Roman"/>
          <w:sz w:val="22"/>
          <w:lang w:val="en-US"/>
        </w:rPr>
        <w:tab/>
        <w:t xml:space="preserve"> </w:t>
      </w:r>
      <w:r w:rsidR="000B27CB" w:rsidRPr="00030460">
        <w:rPr>
          <w:rFonts w:ascii="Cambria" w:hAnsi="Cambria" w:cs="Times New Roman"/>
          <w:sz w:val="22"/>
          <w:lang w:val="en-US"/>
        </w:rPr>
        <w:t xml:space="preserve">New modes of governance </w:t>
      </w:r>
    </w:p>
    <w:p w:rsidR="002D0F1C" w:rsidRPr="001E3E67" w:rsidRDefault="002D0F1C" w:rsidP="002D0F1C">
      <w:pPr>
        <w:spacing w:after="0" w:line="240" w:lineRule="auto"/>
        <w:jc w:val="both"/>
        <w:rPr>
          <w:rFonts w:ascii="Cambria" w:hAnsi="Cambria" w:cs="Times New Roman"/>
          <w:sz w:val="22"/>
          <w:lang w:val="en-US"/>
        </w:rPr>
      </w:pPr>
    </w:p>
    <w:p w:rsidR="000B27CB" w:rsidRPr="000B14B8" w:rsidRDefault="002D0F1C" w:rsidP="006528F4">
      <w:pPr>
        <w:spacing w:after="0" w:line="240" w:lineRule="auto"/>
        <w:jc w:val="both"/>
        <w:rPr>
          <w:rFonts w:ascii="Cambria" w:hAnsi="Cambria" w:cs="Times New Roman"/>
          <w:sz w:val="22"/>
          <w:lang w:val="en-US"/>
        </w:rPr>
      </w:pPr>
      <w:r w:rsidRPr="000B14B8">
        <w:rPr>
          <w:rFonts w:ascii="Cambria" w:hAnsi="Cambria" w:cs="Times New Roman"/>
          <w:sz w:val="22"/>
          <w:lang w:val="en-US"/>
        </w:rPr>
        <w:t>Considering the above-mentioned institutional impediments, there a</w:t>
      </w:r>
      <w:r w:rsidR="00325725" w:rsidRPr="000B14B8">
        <w:rPr>
          <w:rFonts w:ascii="Cambria" w:hAnsi="Cambria" w:cs="Times New Roman"/>
          <w:sz w:val="22"/>
          <w:lang w:val="en-US"/>
        </w:rPr>
        <w:t>re very limited possibilities</w:t>
      </w:r>
      <w:r w:rsidRPr="000B14B8">
        <w:rPr>
          <w:rFonts w:ascii="Cambria" w:hAnsi="Cambria" w:cs="Times New Roman"/>
          <w:sz w:val="22"/>
          <w:lang w:val="en-US"/>
        </w:rPr>
        <w:t xml:space="preserve"> to reconcile conflicting economic and social values through the process of harmonization.</w:t>
      </w:r>
      <w:r w:rsidR="00420980" w:rsidRPr="000B14B8">
        <w:rPr>
          <w:rFonts w:ascii="Cambria" w:hAnsi="Cambria" w:cs="Times New Roman"/>
          <w:sz w:val="22"/>
          <w:lang w:val="en-US"/>
        </w:rPr>
        <w:t xml:space="preserve"> Confronted with this </w:t>
      </w:r>
      <w:r w:rsidR="0058175B" w:rsidRPr="000B14B8">
        <w:rPr>
          <w:rFonts w:ascii="Cambria" w:hAnsi="Cambria" w:cs="Times New Roman"/>
          <w:sz w:val="22"/>
          <w:lang w:val="en-US"/>
        </w:rPr>
        <w:t xml:space="preserve">dilemma, </w:t>
      </w:r>
      <w:r w:rsidR="000B27CB" w:rsidRPr="000B14B8">
        <w:rPr>
          <w:rFonts w:ascii="Cambria" w:hAnsi="Cambria" w:cs="Times New Roman"/>
          <w:sz w:val="22"/>
          <w:lang w:val="en-US"/>
        </w:rPr>
        <w:t xml:space="preserve">the Union </w:t>
      </w:r>
      <w:r w:rsidR="0058175B" w:rsidRPr="000B14B8">
        <w:rPr>
          <w:rFonts w:ascii="Cambria" w:hAnsi="Cambria" w:cs="Times New Roman"/>
          <w:sz w:val="22"/>
          <w:lang w:val="en-US"/>
        </w:rPr>
        <w:t xml:space="preserve">opted </w:t>
      </w:r>
      <w:r w:rsidR="000B27CB" w:rsidRPr="000B14B8">
        <w:rPr>
          <w:rFonts w:ascii="Cambria" w:hAnsi="Cambria" w:cs="Times New Roman"/>
          <w:sz w:val="22"/>
          <w:lang w:val="en-US"/>
        </w:rPr>
        <w:t xml:space="preserve">at the outset </w:t>
      </w:r>
      <w:r w:rsidR="0058175B" w:rsidRPr="000B14B8">
        <w:rPr>
          <w:rFonts w:ascii="Cambria" w:hAnsi="Cambria" w:cs="Times New Roman"/>
          <w:sz w:val="22"/>
          <w:lang w:val="en-US"/>
        </w:rPr>
        <w:t>for new modes of governance</w:t>
      </w:r>
      <w:r w:rsidR="005B690F" w:rsidRPr="000B14B8">
        <w:rPr>
          <w:rFonts w:ascii="Cambria" w:hAnsi="Cambria" w:cs="Times New Roman"/>
          <w:sz w:val="22"/>
          <w:lang w:val="en-US"/>
        </w:rPr>
        <w:t xml:space="preserve">, such as the social dialogue and </w:t>
      </w:r>
      <w:r w:rsidR="00395043">
        <w:rPr>
          <w:rFonts w:ascii="Cambria" w:hAnsi="Cambria" w:cs="Times New Roman"/>
          <w:sz w:val="22"/>
          <w:lang w:val="en-US"/>
        </w:rPr>
        <w:t xml:space="preserve">the Open Method of Coordination (hereafter: </w:t>
      </w:r>
      <w:r w:rsidR="005B690F" w:rsidRPr="000B14B8">
        <w:rPr>
          <w:rFonts w:ascii="Cambria" w:hAnsi="Cambria" w:cs="Times New Roman"/>
          <w:sz w:val="22"/>
          <w:lang w:val="en-US"/>
        </w:rPr>
        <w:t>OMC</w:t>
      </w:r>
      <w:r w:rsidR="00395043">
        <w:rPr>
          <w:rFonts w:ascii="Cambria" w:hAnsi="Cambria" w:cs="Times New Roman"/>
          <w:sz w:val="22"/>
          <w:lang w:val="en-US"/>
        </w:rPr>
        <w:t>)</w:t>
      </w:r>
      <w:r w:rsidR="005B690F" w:rsidRPr="000B14B8">
        <w:rPr>
          <w:rFonts w:ascii="Cambria" w:hAnsi="Cambria" w:cs="Times New Roman"/>
          <w:sz w:val="22"/>
          <w:lang w:val="en-US"/>
        </w:rPr>
        <w:t xml:space="preserve">, </w:t>
      </w:r>
      <w:r w:rsidR="0058175B" w:rsidRPr="000B14B8">
        <w:rPr>
          <w:rFonts w:ascii="Cambria" w:hAnsi="Cambria" w:cs="Times New Roman"/>
          <w:sz w:val="22"/>
          <w:lang w:val="en-US"/>
        </w:rPr>
        <w:t xml:space="preserve">to promote social Europe. </w:t>
      </w:r>
    </w:p>
    <w:p w:rsidR="000B653B" w:rsidRPr="000B14B8" w:rsidRDefault="000B653B" w:rsidP="006528F4">
      <w:pPr>
        <w:autoSpaceDE w:val="0"/>
        <w:autoSpaceDN w:val="0"/>
        <w:adjustRightInd w:val="0"/>
        <w:spacing w:after="0" w:line="240" w:lineRule="auto"/>
        <w:jc w:val="both"/>
        <w:rPr>
          <w:rFonts w:ascii="Cambria" w:hAnsi="Cambria" w:cs="Times New Roman"/>
          <w:sz w:val="22"/>
          <w:lang w:val="en-US"/>
        </w:rPr>
      </w:pPr>
    </w:p>
    <w:p w:rsidR="005B690F" w:rsidRPr="008921EE" w:rsidRDefault="0058175B" w:rsidP="0082006A">
      <w:pPr>
        <w:autoSpaceDE w:val="0"/>
        <w:autoSpaceDN w:val="0"/>
        <w:adjustRightInd w:val="0"/>
        <w:spacing w:after="0" w:line="240" w:lineRule="auto"/>
        <w:jc w:val="both"/>
        <w:rPr>
          <w:rFonts w:ascii="Cambria" w:hAnsi="Cambria" w:cs="Times New Roman"/>
          <w:sz w:val="22"/>
          <w:lang w:val="en-US"/>
        </w:rPr>
      </w:pPr>
      <w:r w:rsidRPr="000B14B8">
        <w:rPr>
          <w:rFonts w:ascii="Cambria" w:hAnsi="Cambria" w:cs="Times New Roman"/>
          <w:sz w:val="22"/>
          <w:lang w:val="en-US"/>
        </w:rPr>
        <w:t xml:space="preserve">The social dialogue </w:t>
      </w:r>
      <w:r w:rsidR="00395043">
        <w:rPr>
          <w:rFonts w:ascii="Cambria" w:hAnsi="Cambria" w:cs="Times New Roman"/>
          <w:sz w:val="22"/>
          <w:lang w:val="en-US"/>
        </w:rPr>
        <w:t>according to a</w:t>
      </w:r>
      <w:r w:rsidRPr="000B14B8">
        <w:rPr>
          <w:rFonts w:ascii="Cambria" w:hAnsi="Cambria" w:cs="Times New Roman"/>
          <w:sz w:val="22"/>
          <w:lang w:val="en-US"/>
        </w:rPr>
        <w:t>rticles 154-155 TFEU was destined to transpose negotiated solutions between the European social partners into directives, precisely to overcome the political sta</w:t>
      </w:r>
      <w:r w:rsidR="00B94818" w:rsidRPr="000B14B8">
        <w:rPr>
          <w:rFonts w:ascii="Cambria" w:hAnsi="Cambria" w:cs="Times New Roman"/>
          <w:sz w:val="22"/>
          <w:lang w:val="en-US"/>
        </w:rPr>
        <w:t>lemate</w:t>
      </w:r>
      <w:r w:rsidR="000B653B" w:rsidRPr="000B14B8">
        <w:rPr>
          <w:rFonts w:ascii="Cambria" w:hAnsi="Cambria" w:cs="Times New Roman"/>
          <w:sz w:val="22"/>
          <w:lang w:val="en-US"/>
        </w:rPr>
        <w:t xml:space="preserve"> in European social policy</w:t>
      </w:r>
      <w:r w:rsidR="00B94818" w:rsidRPr="000B14B8">
        <w:rPr>
          <w:rFonts w:ascii="Cambria" w:hAnsi="Cambria" w:cs="Times New Roman"/>
          <w:sz w:val="22"/>
          <w:lang w:val="en-US"/>
        </w:rPr>
        <w:t xml:space="preserve">. But after some </w:t>
      </w:r>
      <w:r w:rsidR="002827DF" w:rsidRPr="000B14B8">
        <w:rPr>
          <w:rFonts w:ascii="Cambria" w:hAnsi="Cambria" w:cs="Times New Roman"/>
          <w:sz w:val="22"/>
          <w:lang w:val="en-US"/>
        </w:rPr>
        <w:t xml:space="preserve">early </w:t>
      </w:r>
      <w:r w:rsidR="00B94818" w:rsidRPr="000B14B8">
        <w:rPr>
          <w:rFonts w:ascii="Cambria" w:hAnsi="Cambria" w:cs="Times New Roman"/>
          <w:sz w:val="22"/>
          <w:lang w:val="en-US"/>
        </w:rPr>
        <w:t>success</w:t>
      </w:r>
      <w:r w:rsidR="002827DF" w:rsidRPr="000B14B8">
        <w:rPr>
          <w:rFonts w:ascii="Cambria" w:hAnsi="Cambria" w:cs="Times New Roman"/>
          <w:sz w:val="22"/>
          <w:lang w:val="en-US"/>
        </w:rPr>
        <w:t>es</w:t>
      </w:r>
      <w:r w:rsidRPr="000B14B8">
        <w:rPr>
          <w:rFonts w:ascii="Cambria" w:hAnsi="Cambria" w:cs="Times New Roman"/>
          <w:sz w:val="22"/>
          <w:lang w:val="en-US"/>
        </w:rPr>
        <w:t xml:space="preserve"> in respect of </w:t>
      </w:r>
      <w:r w:rsidR="009B4312">
        <w:rPr>
          <w:rFonts w:ascii="Cambria" w:hAnsi="Cambria" w:cs="Times New Roman"/>
          <w:sz w:val="22"/>
          <w:lang w:val="en-US"/>
        </w:rPr>
        <w:t xml:space="preserve">parental leave and </w:t>
      </w:r>
      <w:r w:rsidRPr="000B14B8">
        <w:rPr>
          <w:rFonts w:ascii="Cambria" w:hAnsi="Cambria" w:cs="Times New Roman"/>
          <w:sz w:val="22"/>
          <w:lang w:val="en-US"/>
        </w:rPr>
        <w:t>equal treatment of f</w:t>
      </w:r>
      <w:r w:rsidR="002827DF" w:rsidRPr="000B14B8">
        <w:rPr>
          <w:rFonts w:ascii="Cambria" w:hAnsi="Cambria" w:cs="Times New Roman"/>
          <w:sz w:val="22"/>
          <w:lang w:val="en-US"/>
        </w:rPr>
        <w:t>lexible workers</w:t>
      </w:r>
      <w:r w:rsidRPr="000B14B8">
        <w:rPr>
          <w:rFonts w:ascii="Cambria" w:hAnsi="Cambria" w:cs="Times New Roman"/>
          <w:sz w:val="22"/>
          <w:lang w:val="en-US"/>
        </w:rPr>
        <w:t xml:space="preserve">, the employers’ side </w:t>
      </w:r>
      <w:r w:rsidR="00E77201" w:rsidRPr="000B14B8">
        <w:rPr>
          <w:rFonts w:ascii="Cambria" w:hAnsi="Cambria" w:cs="Times New Roman"/>
          <w:sz w:val="22"/>
          <w:lang w:val="en-US"/>
        </w:rPr>
        <w:t xml:space="preserve">soon </w:t>
      </w:r>
      <w:r w:rsidRPr="000B14B8">
        <w:rPr>
          <w:rFonts w:ascii="Cambria" w:hAnsi="Cambria" w:cs="Times New Roman"/>
          <w:sz w:val="22"/>
          <w:lang w:val="en-US"/>
        </w:rPr>
        <w:t xml:space="preserve">realized </w:t>
      </w:r>
      <w:r w:rsidR="002827DF" w:rsidRPr="000B14B8">
        <w:rPr>
          <w:rFonts w:ascii="Cambria" w:hAnsi="Cambria" w:cs="Times New Roman"/>
          <w:sz w:val="22"/>
          <w:lang w:val="en-US"/>
        </w:rPr>
        <w:t>that t</w:t>
      </w:r>
      <w:r w:rsidR="00530C83" w:rsidRPr="000B14B8">
        <w:rPr>
          <w:rFonts w:ascii="Cambria" w:hAnsi="Cambria" w:cs="Times New Roman"/>
          <w:sz w:val="22"/>
          <w:lang w:val="en-US"/>
        </w:rPr>
        <w:t>h</w:t>
      </w:r>
      <w:r w:rsidR="0005034C" w:rsidRPr="000B14B8">
        <w:rPr>
          <w:rFonts w:ascii="Cambria" w:hAnsi="Cambria" w:cs="Times New Roman"/>
          <w:sz w:val="22"/>
          <w:lang w:val="en-US"/>
        </w:rPr>
        <w:t xml:space="preserve">e </w:t>
      </w:r>
      <w:r w:rsidR="000B6CC1">
        <w:rPr>
          <w:rFonts w:ascii="Cambria" w:hAnsi="Cambria" w:cs="Times New Roman"/>
          <w:sz w:val="22"/>
          <w:lang w:val="en-US"/>
        </w:rPr>
        <w:t xml:space="preserve">cross-sectoral </w:t>
      </w:r>
      <w:r w:rsidR="0005034C" w:rsidRPr="000B14B8">
        <w:rPr>
          <w:rFonts w:ascii="Cambria" w:hAnsi="Cambria" w:cs="Times New Roman"/>
          <w:sz w:val="22"/>
          <w:lang w:val="en-US"/>
        </w:rPr>
        <w:t xml:space="preserve">dialogue </w:t>
      </w:r>
      <w:r w:rsidR="002827DF" w:rsidRPr="000B14B8">
        <w:rPr>
          <w:rFonts w:ascii="Cambria" w:hAnsi="Cambria" w:cs="Times New Roman"/>
          <w:sz w:val="22"/>
          <w:lang w:val="en-US"/>
        </w:rPr>
        <w:t xml:space="preserve">was </w:t>
      </w:r>
      <w:r w:rsidR="00E77201" w:rsidRPr="000B14B8">
        <w:rPr>
          <w:rFonts w:ascii="Cambria" w:hAnsi="Cambria" w:cs="Times New Roman"/>
          <w:sz w:val="22"/>
          <w:lang w:val="en-US"/>
        </w:rPr>
        <w:t>not</w:t>
      </w:r>
      <w:r w:rsidR="002827DF" w:rsidRPr="000B14B8">
        <w:rPr>
          <w:rFonts w:ascii="Cambria" w:hAnsi="Cambria" w:cs="Times New Roman"/>
          <w:sz w:val="22"/>
          <w:lang w:val="en-US"/>
        </w:rPr>
        <w:t xml:space="preserve"> to</w:t>
      </w:r>
      <w:r w:rsidR="000B6CC1">
        <w:rPr>
          <w:rFonts w:ascii="Cambria" w:hAnsi="Cambria" w:cs="Times New Roman"/>
          <w:sz w:val="22"/>
          <w:lang w:val="en-US"/>
        </w:rPr>
        <w:t xml:space="preserve"> be disciplined</w:t>
      </w:r>
      <w:r w:rsidR="00E77201" w:rsidRPr="000B14B8">
        <w:rPr>
          <w:rFonts w:ascii="Cambria" w:hAnsi="Cambria" w:cs="Times New Roman"/>
          <w:sz w:val="22"/>
          <w:lang w:val="en-US"/>
        </w:rPr>
        <w:t xml:space="preserve"> by the risk of alternative</w:t>
      </w:r>
      <w:r w:rsidR="002827DF" w:rsidRPr="000B14B8">
        <w:rPr>
          <w:rFonts w:ascii="Cambria" w:hAnsi="Cambria" w:cs="Times New Roman"/>
          <w:sz w:val="22"/>
          <w:lang w:val="en-US"/>
        </w:rPr>
        <w:t>,</w:t>
      </w:r>
      <w:r w:rsidR="00E77201" w:rsidRPr="000B14B8">
        <w:rPr>
          <w:rFonts w:ascii="Cambria" w:hAnsi="Cambria" w:cs="Times New Roman"/>
          <w:sz w:val="22"/>
          <w:lang w:val="en-US"/>
        </w:rPr>
        <w:t xml:space="preserve"> legislative solut</w:t>
      </w:r>
      <w:r w:rsidR="0005034C" w:rsidRPr="000B14B8">
        <w:rPr>
          <w:rFonts w:ascii="Cambria" w:hAnsi="Cambria" w:cs="Times New Roman"/>
          <w:sz w:val="22"/>
          <w:lang w:val="en-US"/>
        </w:rPr>
        <w:t>ions by the EU institutions and, hence, pulled out</w:t>
      </w:r>
      <w:r w:rsidR="00E77201" w:rsidRPr="000B14B8">
        <w:rPr>
          <w:rFonts w:ascii="Cambria" w:hAnsi="Cambria" w:cs="Times New Roman"/>
          <w:sz w:val="22"/>
          <w:lang w:val="en-US"/>
        </w:rPr>
        <w:t>.</w:t>
      </w:r>
      <w:r w:rsidR="0005034C" w:rsidRPr="000B14B8">
        <w:rPr>
          <w:rStyle w:val="Voetnootmarkering"/>
          <w:rFonts w:ascii="Cambria" w:hAnsi="Cambria" w:cs="Times New Roman"/>
          <w:sz w:val="22"/>
          <w:lang w:val="en-US"/>
        </w:rPr>
        <w:footnoteReference w:id="49"/>
      </w:r>
      <w:r w:rsidR="00E77201" w:rsidRPr="000B14B8">
        <w:rPr>
          <w:rFonts w:ascii="Cambria" w:hAnsi="Cambria" w:cs="Times New Roman"/>
          <w:sz w:val="22"/>
          <w:lang w:val="en-US"/>
        </w:rPr>
        <w:t xml:space="preserve"> </w:t>
      </w:r>
    </w:p>
    <w:p w:rsidR="000B653B" w:rsidRPr="000B14B8" w:rsidRDefault="000B653B" w:rsidP="0082006A">
      <w:pPr>
        <w:autoSpaceDE w:val="0"/>
        <w:autoSpaceDN w:val="0"/>
        <w:adjustRightInd w:val="0"/>
        <w:spacing w:after="0" w:line="240" w:lineRule="auto"/>
        <w:jc w:val="both"/>
        <w:rPr>
          <w:rFonts w:ascii="Cambria" w:hAnsi="Cambria" w:cs="Times New Roman"/>
          <w:sz w:val="22"/>
        </w:rPr>
      </w:pPr>
      <w:r w:rsidRPr="001E3E67">
        <w:rPr>
          <w:rFonts w:ascii="Cambria" w:hAnsi="Cambria" w:cs="Times New Roman"/>
          <w:sz w:val="22"/>
          <w:lang w:val="en-US"/>
        </w:rPr>
        <w:t>T</w:t>
      </w:r>
      <w:r w:rsidR="00B94818" w:rsidRPr="001E3E67">
        <w:rPr>
          <w:rFonts w:ascii="Cambria" w:hAnsi="Cambria" w:cs="Times New Roman"/>
          <w:sz w:val="22"/>
          <w:lang w:val="en-US"/>
        </w:rPr>
        <w:t xml:space="preserve">he mode of OMC </w:t>
      </w:r>
      <w:r w:rsidR="00D17C7B" w:rsidRPr="001E3E67">
        <w:rPr>
          <w:rFonts w:ascii="Cambria" w:hAnsi="Cambria" w:cs="Times New Roman"/>
          <w:sz w:val="22"/>
          <w:lang w:val="en-US"/>
        </w:rPr>
        <w:t>still lasts</w:t>
      </w:r>
      <w:r w:rsidR="002827DF" w:rsidRPr="001E3E67">
        <w:rPr>
          <w:rFonts w:ascii="Cambria" w:hAnsi="Cambria" w:cs="Times New Roman"/>
          <w:sz w:val="22"/>
          <w:lang w:val="en-US"/>
        </w:rPr>
        <w:t xml:space="preserve"> and</w:t>
      </w:r>
      <w:r w:rsidR="00C55D37" w:rsidRPr="001E3E67">
        <w:rPr>
          <w:rFonts w:ascii="Cambria" w:hAnsi="Cambria" w:cs="Times New Roman"/>
          <w:sz w:val="22"/>
          <w:lang w:val="en-US"/>
        </w:rPr>
        <w:t xml:space="preserve"> even</w:t>
      </w:r>
      <w:r w:rsidRPr="001E3E67">
        <w:rPr>
          <w:rFonts w:ascii="Cambria" w:hAnsi="Cambria" w:cs="Times New Roman"/>
          <w:sz w:val="22"/>
          <w:lang w:val="en-US"/>
        </w:rPr>
        <w:t xml:space="preserve"> expands</w:t>
      </w:r>
      <w:r w:rsidR="00C55D37" w:rsidRPr="001E3E67">
        <w:rPr>
          <w:rFonts w:ascii="Cambria" w:hAnsi="Cambria" w:cs="Times New Roman"/>
          <w:sz w:val="22"/>
          <w:lang w:val="en-US"/>
        </w:rPr>
        <w:t>. It applies</w:t>
      </w:r>
      <w:r w:rsidR="00F72A69">
        <w:rPr>
          <w:rFonts w:ascii="Cambria" w:hAnsi="Cambria" w:cs="Times New Roman"/>
          <w:sz w:val="22"/>
          <w:lang w:val="en-US"/>
        </w:rPr>
        <w:t>,</w:t>
      </w:r>
      <w:r w:rsidR="00C55D37" w:rsidRPr="001E3E67">
        <w:rPr>
          <w:rFonts w:ascii="Cambria" w:hAnsi="Cambria" w:cs="Times New Roman"/>
          <w:sz w:val="22"/>
          <w:lang w:val="en-US"/>
        </w:rPr>
        <w:t xml:space="preserve"> </w:t>
      </w:r>
      <w:r w:rsidR="00580079" w:rsidRPr="001E3E67">
        <w:rPr>
          <w:rFonts w:ascii="Cambria" w:hAnsi="Cambria" w:cs="Times New Roman"/>
          <w:sz w:val="22"/>
          <w:lang w:val="en-US"/>
        </w:rPr>
        <w:t xml:space="preserve">by </w:t>
      </w:r>
      <w:r w:rsidR="00F72A69">
        <w:rPr>
          <w:rFonts w:ascii="Cambria" w:hAnsi="Cambria" w:cs="Times New Roman"/>
          <w:sz w:val="22"/>
          <w:lang w:val="en-US"/>
        </w:rPr>
        <w:t xml:space="preserve">an </w:t>
      </w:r>
      <w:r w:rsidR="00D17C7B" w:rsidRPr="001E3E67">
        <w:rPr>
          <w:rFonts w:ascii="Cambria" w:hAnsi="Cambria" w:cs="Times New Roman"/>
          <w:sz w:val="22"/>
          <w:lang w:val="en-US"/>
        </w:rPr>
        <w:t>institutional way</w:t>
      </w:r>
      <w:r w:rsidR="00F72A69">
        <w:rPr>
          <w:rFonts w:ascii="Cambria" w:hAnsi="Cambria" w:cs="Times New Roman"/>
          <w:sz w:val="22"/>
          <w:lang w:val="en-US"/>
        </w:rPr>
        <w:t>,</w:t>
      </w:r>
      <w:r w:rsidR="00D17C7B" w:rsidRPr="001E3E67">
        <w:rPr>
          <w:rFonts w:ascii="Cambria" w:hAnsi="Cambria" w:cs="Times New Roman"/>
          <w:sz w:val="22"/>
          <w:lang w:val="en-US"/>
        </w:rPr>
        <w:t xml:space="preserve"> </w:t>
      </w:r>
      <w:r w:rsidR="00D17C7B" w:rsidRPr="000B14B8">
        <w:rPr>
          <w:rFonts w:ascii="Cambria" w:hAnsi="Cambria" w:cs="Times New Roman"/>
          <w:sz w:val="22"/>
          <w:lang w:val="en-US"/>
        </w:rPr>
        <w:t>t</w:t>
      </w:r>
      <w:r w:rsidR="000B27CB" w:rsidRPr="000B14B8">
        <w:rPr>
          <w:rFonts w:ascii="Cambria" w:hAnsi="Cambria" w:cs="Times New Roman"/>
          <w:sz w:val="22"/>
          <w:lang w:val="en-US"/>
        </w:rPr>
        <w:t>o the coordination of national employment polic</w:t>
      </w:r>
      <w:r w:rsidR="00F72A69">
        <w:rPr>
          <w:rFonts w:ascii="Cambria" w:hAnsi="Cambria" w:cs="Times New Roman"/>
          <w:sz w:val="22"/>
          <w:lang w:val="en-US"/>
        </w:rPr>
        <w:t>ies</w:t>
      </w:r>
      <w:r w:rsidR="00D17C7B" w:rsidRPr="000B14B8">
        <w:rPr>
          <w:rFonts w:ascii="Cambria" w:hAnsi="Cambria" w:cs="Times New Roman"/>
          <w:sz w:val="22"/>
          <w:lang w:val="en-US"/>
        </w:rPr>
        <w:t xml:space="preserve"> (article 2(3) TFEU) </w:t>
      </w:r>
      <w:r w:rsidR="000B27CB" w:rsidRPr="000B14B8">
        <w:rPr>
          <w:rFonts w:ascii="Cambria" w:hAnsi="Cambria" w:cs="Times New Roman"/>
          <w:sz w:val="22"/>
          <w:lang w:val="en-US"/>
        </w:rPr>
        <w:t>and</w:t>
      </w:r>
      <w:r w:rsidR="00F72A69">
        <w:rPr>
          <w:rFonts w:ascii="Cambria" w:hAnsi="Cambria" w:cs="Times New Roman"/>
          <w:sz w:val="22"/>
          <w:lang w:val="en-US"/>
        </w:rPr>
        <w:t>,</w:t>
      </w:r>
      <w:r w:rsidR="000B27CB" w:rsidRPr="000B14B8">
        <w:rPr>
          <w:rFonts w:ascii="Cambria" w:hAnsi="Cambria" w:cs="Times New Roman"/>
          <w:sz w:val="22"/>
          <w:lang w:val="en-US"/>
        </w:rPr>
        <w:t xml:space="preserve"> </w:t>
      </w:r>
      <w:r w:rsidR="00580079" w:rsidRPr="000B14B8">
        <w:rPr>
          <w:rFonts w:ascii="Cambria" w:hAnsi="Cambria" w:cs="Times New Roman"/>
          <w:sz w:val="22"/>
          <w:lang w:val="en-US"/>
        </w:rPr>
        <w:t xml:space="preserve">by </w:t>
      </w:r>
      <w:r w:rsidR="00C55D37" w:rsidRPr="000B14B8">
        <w:rPr>
          <w:rFonts w:ascii="Cambria" w:hAnsi="Cambria" w:cs="Times New Roman"/>
          <w:sz w:val="22"/>
          <w:lang w:val="en-US"/>
        </w:rPr>
        <w:t>a more informal way</w:t>
      </w:r>
      <w:r w:rsidR="00F72A69">
        <w:rPr>
          <w:rFonts w:ascii="Cambria" w:hAnsi="Cambria" w:cs="Times New Roman"/>
          <w:sz w:val="22"/>
          <w:lang w:val="en-US"/>
        </w:rPr>
        <w:t>,</w:t>
      </w:r>
      <w:r w:rsidR="00C55D37" w:rsidRPr="000B14B8">
        <w:rPr>
          <w:rFonts w:ascii="Cambria" w:hAnsi="Cambria" w:cs="Times New Roman"/>
          <w:sz w:val="22"/>
          <w:lang w:val="en-US"/>
        </w:rPr>
        <w:t xml:space="preserve"> to, inter alia, national policies on </w:t>
      </w:r>
      <w:r w:rsidR="000B27CB" w:rsidRPr="000B14B8">
        <w:rPr>
          <w:rFonts w:ascii="Cambria" w:hAnsi="Cambria" w:cs="Times New Roman"/>
          <w:sz w:val="22"/>
          <w:lang w:val="en-US"/>
        </w:rPr>
        <w:t>social inclusion.</w:t>
      </w:r>
      <w:r w:rsidR="00580079" w:rsidRPr="000B14B8">
        <w:rPr>
          <w:rFonts w:ascii="Cambria" w:hAnsi="Cambria" w:cs="Times New Roman"/>
          <w:sz w:val="22"/>
          <w:lang w:val="en-US"/>
        </w:rPr>
        <w:t xml:space="preserve"> </w:t>
      </w:r>
      <w:r w:rsidR="00D17C7B" w:rsidRPr="000B14B8">
        <w:rPr>
          <w:rFonts w:ascii="Cambria" w:hAnsi="Cambria" w:cs="Times New Roman"/>
          <w:sz w:val="22"/>
          <w:lang w:val="en-US"/>
        </w:rPr>
        <w:t>However, n</w:t>
      </w:r>
      <w:r w:rsidR="00580079" w:rsidRPr="000B14B8">
        <w:rPr>
          <w:rFonts w:ascii="Cambria" w:hAnsi="Cambria" w:cs="Times New Roman"/>
          <w:sz w:val="22"/>
          <w:lang w:val="en-US"/>
        </w:rPr>
        <w:t>otwith</w:t>
      </w:r>
      <w:r w:rsidR="00C55D37" w:rsidRPr="000B14B8">
        <w:rPr>
          <w:rFonts w:ascii="Cambria" w:hAnsi="Cambria" w:cs="Times New Roman"/>
          <w:sz w:val="22"/>
          <w:lang w:val="en-US"/>
        </w:rPr>
        <w:softHyphen/>
      </w:r>
      <w:r w:rsidR="00580079" w:rsidRPr="000B14B8">
        <w:rPr>
          <w:rFonts w:ascii="Cambria" w:hAnsi="Cambria" w:cs="Times New Roman"/>
          <w:sz w:val="22"/>
          <w:lang w:val="en-US"/>
        </w:rPr>
        <w:t>standi</w:t>
      </w:r>
      <w:r w:rsidR="00EC63AE" w:rsidRPr="000B14B8">
        <w:rPr>
          <w:rFonts w:ascii="Cambria" w:hAnsi="Cambria" w:cs="Times New Roman"/>
          <w:sz w:val="22"/>
          <w:lang w:val="en-US"/>
        </w:rPr>
        <w:t>ng its</w:t>
      </w:r>
      <w:r w:rsidR="001A7012" w:rsidRPr="000B14B8">
        <w:rPr>
          <w:rFonts w:ascii="Cambria" w:hAnsi="Cambria" w:cs="Times New Roman"/>
          <w:sz w:val="22"/>
          <w:lang w:val="en-US"/>
        </w:rPr>
        <w:t xml:space="preserve"> </w:t>
      </w:r>
      <w:r w:rsidR="00EC63AE" w:rsidRPr="000B14B8">
        <w:rPr>
          <w:rFonts w:ascii="Cambria" w:hAnsi="Cambria" w:cs="Times New Roman"/>
          <w:sz w:val="22"/>
          <w:lang w:val="en-US"/>
        </w:rPr>
        <w:t>benefi</w:t>
      </w:r>
      <w:r w:rsidR="00D17C7B" w:rsidRPr="000B14B8">
        <w:rPr>
          <w:rFonts w:ascii="Cambria" w:hAnsi="Cambria" w:cs="Times New Roman"/>
          <w:sz w:val="22"/>
          <w:lang w:val="en-US"/>
        </w:rPr>
        <w:softHyphen/>
      </w:r>
      <w:r w:rsidR="00EC63AE" w:rsidRPr="000B14B8">
        <w:rPr>
          <w:rFonts w:ascii="Cambria" w:hAnsi="Cambria" w:cs="Times New Roman"/>
          <w:sz w:val="22"/>
          <w:lang w:val="en-US"/>
        </w:rPr>
        <w:t>ciaries</w:t>
      </w:r>
      <w:r w:rsidR="001A7012" w:rsidRPr="000B14B8">
        <w:rPr>
          <w:rFonts w:ascii="Cambria" w:hAnsi="Cambria" w:cs="Times New Roman"/>
          <w:sz w:val="22"/>
          <w:lang w:val="en-US"/>
        </w:rPr>
        <w:t>’</w:t>
      </w:r>
      <w:r w:rsidR="00EC63AE" w:rsidRPr="000B14B8">
        <w:rPr>
          <w:rFonts w:ascii="Cambria" w:hAnsi="Cambria" w:cs="Times New Roman"/>
          <w:sz w:val="22"/>
          <w:lang w:val="en-US"/>
        </w:rPr>
        <w:t xml:space="preserve"> effects</w:t>
      </w:r>
      <w:r w:rsidR="00580079" w:rsidRPr="000B14B8">
        <w:rPr>
          <w:rFonts w:ascii="Cambria" w:hAnsi="Cambria" w:cs="Times New Roman"/>
          <w:sz w:val="22"/>
        </w:rPr>
        <w:t xml:space="preserve">, </w:t>
      </w:r>
      <w:r w:rsidR="00EC63AE" w:rsidRPr="000B14B8">
        <w:rPr>
          <w:rFonts w:ascii="Cambria" w:hAnsi="Cambria" w:cs="Times New Roman"/>
          <w:sz w:val="22"/>
        </w:rPr>
        <w:t>the OMC</w:t>
      </w:r>
      <w:r w:rsidR="00D17C7B" w:rsidRPr="000B14B8">
        <w:rPr>
          <w:rFonts w:ascii="Cambria" w:hAnsi="Cambria" w:cs="Times New Roman"/>
          <w:sz w:val="22"/>
        </w:rPr>
        <w:t xml:space="preserve"> </w:t>
      </w:r>
      <w:r w:rsidR="00FA51D1" w:rsidRPr="000B14B8">
        <w:rPr>
          <w:rFonts w:ascii="Cambria" w:hAnsi="Cambria" w:cs="Times New Roman"/>
          <w:sz w:val="22"/>
        </w:rPr>
        <w:t xml:space="preserve">still </w:t>
      </w:r>
      <w:r w:rsidR="0082006A" w:rsidRPr="000B14B8">
        <w:rPr>
          <w:rFonts w:ascii="Cambria" w:hAnsi="Cambria" w:cs="Times New Roman"/>
          <w:sz w:val="22"/>
        </w:rPr>
        <w:t>has to operate in the shadow of ‘constitu</w:t>
      </w:r>
      <w:r w:rsidR="005B690F" w:rsidRPr="000B14B8">
        <w:rPr>
          <w:rFonts w:ascii="Cambria" w:hAnsi="Cambria" w:cs="Times New Roman"/>
          <w:sz w:val="22"/>
        </w:rPr>
        <w:softHyphen/>
      </w:r>
      <w:r w:rsidR="0082006A" w:rsidRPr="000B14B8">
        <w:rPr>
          <w:rFonts w:ascii="Cambria" w:hAnsi="Cambria" w:cs="Times New Roman"/>
          <w:sz w:val="22"/>
        </w:rPr>
        <w:t xml:space="preserve">tionalized’ European law </w:t>
      </w:r>
      <w:r w:rsidR="004A7950" w:rsidRPr="000B14B8">
        <w:rPr>
          <w:rFonts w:ascii="Cambria" w:hAnsi="Cambria" w:cs="Times New Roman"/>
          <w:sz w:val="22"/>
        </w:rPr>
        <w:t>on the internal market and monetary union.</w:t>
      </w:r>
      <w:r w:rsidR="00EC63AE" w:rsidRPr="000B14B8">
        <w:rPr>
          <w:rFonts w:ascii="Cambria" w:hAnsi="Cambria" w:cs="Times New Roman"/>
          <w:sz w:val="22"/>
        </w:rPr>
        <w:t xml:space="preserve"> </w:t>
      </w:r>
      <w:r w:rsidR="00D17C7B" w:rsidRPr="008921EE">
        <w:rPr>
          <w:rFonts w:ascii="Cambria" w:hAnsi="Cambria" w:cs="Times New Roman"/>
          <w:sz w:val="22"/>
        </w:rPr>
        <w:t xml:space="preserve">In case of </w:t>
      </w:r>
      <w:r w:rsidR="00E1452D" w:rsidRPr="001E3E67">
        <w:rPr>
          <w:rFonts w:ascii="Cambria" w:hAnsi="Cambria" w:cs="Times New Roman"/>
          <w:sz w:val="22"/>
        </w:rPr>
        <w:t xml:space="preserve">European </w:t>
      </w:r>
      <w:r w:rsidR="00D17C7B" w:rsidRPr="001E3E67">
        <w:rPr>
          <w:rFonts w:ascii="Cambria" w:hAnsi="Cambria" w:cs="Times New Roman"/>
          <w:sz w:val="22"/>
        </w:rPr>
        <w:t xml:space="preserve">employment policy, </w:t>
      </w:r>
      <w:r w:rsidR="006528F4" w:rsidRPr="001E3E67">
        <w:rPr>
          <w:rFonts w:ascii="Cambria" w:hAnsi="Cambria" w:cs="Times New Roman"/>
          <w:sz w:val="22"/>
        </w:rPr>
        <w:t xml:space="preserve">for example, </w:t>
      </w:r>
      <w:r w:rsidR="004A7950" w:rsidRPr="001E3E67">
        <w:rPr>
          <w:rFonts w:ascii="Cambria" w:hAnsi="Cambria" w:cs="Times New Roman"/>
          <w:sz w:val="22"/>
        </w:rPr>
        <w:t xml:space="preserve">this </w:t>
      </w:r>
      <w:r w:rsidR="006528F4" w:rsidRPr="001E3E67">
        <w:rPr>
          <w:rFonts w:ascii="Cambria" w:hAnsi="Cambria" w:cs="Times New Roman"/>
          <w:sz w:val="22"/>
        </w:rPr>
        <w:t xml:space="preserve">seems to leave </w:t>
      </w:r>
      <w:r w:rsidR="004A7950" w:rsidRPr="000B14B8">
        <w:rPr>
          <w:rFonts w:ascii="Cambria" w:hAnsi="Cambria" w:cs="Times New Roman"/>
          <w:sz w:val="22"/>
        </w:rPr>
        <w:t xml:space="preserve">just the </w:t>
      </w:r>
      <w:r w:rsidR="00580079" w:rsidRPr="000B14B8">
        <w:rPr>
          <w:rFonts w:ascii="Cambria" w:hAnsi="Cambria" w:cs="Times New Roman"/>
          <w:sz w:val="22"/>
        </w:rPr>
        <w:t>supply</w:t>
      </w:r>
      <w:r w:rsidR="00F72A69">
        <w:rPr>
          <w:rFonts w:ascii="Cambria" w:hAnsi="Cambria" w:cs="Times New Roman"/>
          <w:sz w:val="22"/>
        </w:rPr>
        <w:t xml:space="preserve"> </w:t>
      </w:r>
      <w:r w:rsidR="00580079" w:rsidRPr="000B14B8">
        <w:rPr>
          <w:rFonts w:ascii="Cambria" w:hAnsi="Cambria" w:cs="Times New Roman"/>
          <w:sz w:val="22"/>
        </w:rPr>
        <w:t>side</w:t>
      </w:r>
      <w:r w:rsidR="00E1452D" w:rsidRPr="000B14B8">
        <w:rPr>
          <w:rFonts w:ascii="Cambria" w:hAnsi="Cambria" w:cs="Times New Roman"/>
          <w:sz w:val="22"/>
        </w:rPr>
        <w:t xml:space="preserve"> of the labour market</w:t>
      </w:r>
      <w:r w:rsidR="004A7950" w:rsidRPr="000B14B8">
        <w:rPr>
          <w:rFonts w:ascii="Cambria" w:hAnsi="Cambria" w:cs="Times New Roman"/>
          <w:sz w:val="22"/>
        </w:rPr>
        <w:t xml:space="preserve">. Thus, </w:t>
      </w:r>
      <w:r w:rsidR="00DB294C" w:rsidRPr="000B14B8">
        <w:rPr>
          <w:rFonts w:ascii="Cambria" w:hAnsi="Cambria" w:cs="Times New Roman"/>
          <w:sz w:val="22"/>
        </w:rPr>
        <w:t>European employ</w:t>
      </w:r>
      <w:r w:rsidR="00EC63AE" w:rsidRPr="000B14B8">
        <w:rPr>
          <w:rFonts w:ascii="Cambria" w:hAnsi="Cambria" w:cs="Times New Roman"/>
          <w:sz w:val="22"/>
        </w:rPr>
        <w:softHyphen/>
      </w:r>
      <w:r w:rsidR="00DB294C" w:rsidRPr="000B14B8">
        <w:rPr>
          <w:rFonts w:ascii="Cambria" w:hAnsi="Cambria" w:cs="Times New Roman"/>
          <w:sz w:val="22"/>
        </w:rPr>
        <w:t xml:space="preserve">ment </w:t>
      </w:r>
      <w:r w:rsidR="00DB294C" w:rsidRPr="000B14B8">
        <w:rPr>
          <w:rFonts w:ascii="Cambria" w:hAnsi="Cambria" w:cs="Times New Roman"/>
          <w:sz w:val="22"/>
        </w:rPr>
        <w:lastRenderedPageBreak/>
        <w:t xml:space="preserve">guidelines </w:t>
      </w:r>
      <w:r w:rsidR="00D77D7D" w:rsidRPr="000B14B8">
        <w:rPr>
          <w:rFonts w:ascii="Cambria" w:hAnsi="Cambria" w:cs="Times New Roman"/>
          <w:sz w:val="22"/>
        </w:rPr>
        <w:t>focus on</w:t>
      </w:r>
      <w:r w:rsidR="00F72A69">
        <w:rPr>
          <w:rFonts w:ascii="Cambria" w:hAnsi="Cambria" w:cs="Times New Roman"/>
          <w:sz w:val="22"/>
        </w:rPr>
        <w:t>,</w:t>
      </w:r>
      <w:r w:rsidR="00D77D7D" w:rsidRPr="000B14B8">
        <w:rPr>
          <w:rFonts w:ascii="Cambria" w:hAnsi="Cambria" w:cs="Times New Roman"/>
          <w:sz w:val="22"/>
        </w:rPr>
        <w:t xml:space="preserve"> for instance</w:t>
      </w:r>
      <w:r w:rsidR="00F72A69">
        <w:rPr>
          <w:rFonts w:ascii="Cambria" w:hAnsi="Cambria" w:cs="Times New Roman"/>
          <w:sz w:val="22"/>
        </w:rPr>
        <w:t>,</w:t>
      </w:r>
      <w:r w:rsidR="00D77D7D" w:rsidRPr="000B14B8">
        <w:rPr>
          <w:rFonts w:ascii="Cambria" w:hAnsi="Cambria" w:cs="Times New Roman"/>
          <w:sz w:val="22"/>
        </w:rPr>
        <w:t xml:space="preserve"> ‘employability’ (</w:t>
      </w:r>
      <w:r w:rsidR="00580079" w:rsidRPr="000B14B8">
        <w:rPr>
          <w:rFonts w:ascii="Cambria" w:hAnsi="Cambria" w:cs="Times New Roman"/>
          <w:sz w:val="22"/>
        </w:rPr>
        <w:t>improving</w:t>
      </w:r>
      <w:r w:rsidR="00D77D7D" w:rsidRPr="000B14B8">
        <w:rPr>
          <w:rFonts w:ascii="Cambria" w:hAnsi="Cambria" w:cs="Times New Roman"/>
          <w:sz w:val="22"/>
        </w:rPr>
        <w:t xml:space="preserve"> a skil</w:t>
      </w:r>
      <w:r w:rsidR="006528F4" w:rsidRPr="000B14B8">
        <w:rPr>
          <w:rFonts w:ascii="Cambria" w:hAnsi="Cambria" w:cs="Times New Roman"/>
          <w:sz w:val="22"/>
        </w:rPr>
        <w:softHyphen/>
      </w:r>
      <w:r w:rsidR="00D77D7D" w:rsidRPr="000B14B8">
        <w:rPr>
          <w:rFonts w:ascii="Cambria" w:hAnsi="Cambria" w:cs="Times New Roman"/>
          <w:sz w:val="22"/>
        </w:rPr>
        <w:t>led workforce and</w:t>
      </w:r>
      <w:r w:rsidR="00580079" w:rsidRPr="000B14B8">
        <w:rPr>
          <w:rFonts w:ascii="Cambria" w:hAnsi="Cambria" w:cs="Times New Roman"/>
          <w:sz w:val="22"/>
        </w:rPr>
        <w:t xml:space="preserve"> increasing the work incentives of the unemployed</w:t>
      </w:r>
      <w:r w:rsidR="00D77D7D" w:rsidRPr="000B14B8">
        <w:rPr>
          <w:rFonts w:ascii="Cambria" w:hAnsi="Cambria" w:cs="Times New Roman"/>
          <w:sz w:val="22"/>
        </w:rPr>
        <w:t xml:space="preserve">) or </w:t>
      </w:r>
      <w:r w:rsidR="003A7546">
        <w:rPr>
          <w:rFonts w:ascii="Cambria" w:hAnsi="Cambria" w:cs="Times New Roman"/>
          <w:sz w:val="22"/>
        </w:rPr>
        <w:t xml:space="preserve">the </w:t>
      </w:r>
      <w:r w:rsidR="00580079" w:rsidRPr="000B14B8">
        <w:rPr>
          <w:rFonts w:ascii="Cambria" w:hAnsi="Cambria" w:cs="Times New Roman"/>
          <w:sz w:val="22"/>
        </w:rPr>
        <w:t xml:space="preserve">‘adaptability’ </w:t>
      </w:r>
      <w:r w:rsidR="00D77D7D" w:rsidRPr="000B14B8">
        <w:rPr>
          <w:rFonts w:ascii="Cambria" w:hAnsi="Cambria" w:cs="Times New Roman"/>
          <w:sz w:val="22"/>
        </w:rPr>
        <w:t>of labour markets (</w:t>
      </w:r>
      <w:r w:rsidR="00D937BE" w:rsidRPr="000B14B8">
        <w:rPr>
          <w:rFonts w:ascii="Cambria" w:hAnsi="Cambria" w:cs="Times New Roman"/>
          <w:sz w:val="22"/>
        </w:rPr>
        <w:t xml:space="preserve">flexibilisation </w:t>
      </w:r>
      <w:r w:rsidR="00580079" w:rsidRPr="000B14B8">
        <w:rPr>
          <w:rFonts w:ascii="Cambria" w:hAnsi="Cambria" w:cs="Times New Roman"/>
          <w:sz w:val="22"/>
        </w:rPr>
        <w:t xml:space="preserve">of </w:t>
      </w:r>
      <w:r w:rsidR="00EC63AE" w:rsidRPr="000B14B8">
        <w:rPr>
          <w:rFonts w:ascii="Cambria" w:hAnsi="Cambria" w:cs="Times New Roman"/>
          <w:sz w:val="22"/>
        </w:rPr>
        <w:t xml:space="preserve">regular </w:t>
      </w:r>
      <w:r w:rsidR="00580079" w:rsidRPr="000B14B8">
        <w:rPr>
          <w:rFonts w:ascii="Cambria" w:hAnsi="Cambria" w:cs="Times New Roman"/>
          <w:sz w:val="22"/>
        </w:rPr>
        <w:t>employment</w:t>
      </w:r>
      <w:r w:rsidR="004A7950" w:rsidRPr="000B14B8">
        <w:rPr>
          <w:rFonts w:ascii="Cambria" w:hAnsi="Cambria" w:cs="Times New Roman"/>
          <w:sz w:val="22"/>
        </w:rPr>
        <w:t xml:space="preserve"> </w:t>
      </w:r>
      <w:r w:rsidR="00D77D7D" w:rsidRPr="000B14B8">
        <w:rPr>
          <w:rFonts w:ascii="Cambria" w:hAnsi="Cambria" w:cs="Times New Roman"/>
          <w:sz w:val="22"/>
        </w:rPr>
        <w:t>protection).</w:t>
      </w:r>
      <w:r w:rsidR="003F1CD6" w:rsidRPr="000B14B8">
        <w:rPr>
          <w:rStyle w:val="Voetnootmarkering"/>
          <w:rFonts w:ascii="Cambria" w:hAnsi="Cambria" w:cs="Times New Roman"/>
          <w:sz w:val="22"/>
        </w:rPr>
        <w:footnoteReference w:id="50"/>
      </w:r>
      <w:r w:rsidR="006528F4" w:rsidRPr="000B14B8">
        <w:rPr>
          <w:rFonts w:ascii="Cambria" w:hAnsi="Cambria" w:cs="Times New Roman"/>
          <w:sz w:val="22"/>
        </w:rPr>
        <w:t xml:space="preserve"> </w:t>
      </w:r>
      <w:r w:rsidRPr="008921EE">
        <w:rPr>
          <w:rFonts w:ascii="Cambria" w:hAnsi="Cambria" w:cs="Times New Roman"/>
          <w:sz w:val="22"/>
        </w:rPr>
        <w:t xml:space="preserve">The OMC therefore </w:t>
      </w:r>
      <w:r w:rsidR="003A7546">
        <w:rPr>
          <w:rFonts w:ascii="Cambria" w:hAnsi="Cambria" w:cs="Times New Roman"/>
          <w:sz w:val="22"/>
        </w:rPr>
        <w:t>allows</w:t>
      </w:r>
      <w:r w:rsidRPr="008921EE">
        <w:rPr>
          <w:rFonts w:ascii="Cambria" w:hAnsi="Cambria" w:cs="Times New Roman"/>
          <w:sz w:val="22"/>
        </w:rPr>
        <w:t xml:space="preserve"> national welfare systems</w:t>
      </w:r>
      <w:r w:rsidR="00F12262" w:rsidRPr="001E3E67">
        <w:rPr>
          <w:rFonts w:ascii="Cambria" w:hAnsi="Cambria" w:cs="Times New Roman"/>
          <w:sz w:val="22"/>
        </w:rPr>
        <w:t xml:space="preserve">, at most, </w:t>
      </w:r>
      <w:r w:rsidR="003A7546">
        <w:rPr>
          <w:rFonts w:ascii="Cambria" w:hAnsi="Cambria" w:cs="Times New Roman"/>
          <w:sz w:val="22"/>
        </w:rPr>
        <w:t xml:space="preserve">to </w:t>
      </w:r>
      <w:r w:rsidR="00FA51D1" w:rsidRPr="001E3E67">
        <w:rPr>
          <w:rFonts w:ascii="Cambria" w:hAnsi="Cambria" w:cs="Times New Roman"/>
          <w:sz w:val="22"/>
        </w:rPr>
        <w:t>adjust in an optimal way to economic integration</w:t>
      </w:r>
      <w:r w:rsidR="005523D8" w:rsidRPr="001E3E67">
        <w:rPr>
          <w:rFonts w:ascii="Cambria" w:hAnsi="Cambria" w:cs="Times New Roman"/>
          <w:sz w:val="22"/>
        </w:rPr>
        <w:t>, but cannot properly reconcile</w:t>
      </w:r>
      <w:r w:rsidRPr="001E3E67">
        <w:rPr>
          <w:rFonts w:ascii="Cambria" w:hAnsi="Cambria" w:cs="Times New Roman"/>
          <w:sz w:val="22"/>
        </w:rPr>
        <w:t xml:space="preserve"> </w:t>
      </w:r>
      <w:r w:rsidR="005523D8" w:rsidRPr="001E3E67">
        <w:rPr>
          <w:rFonts w:ascii="Cambria" w:hAnsi="Cambria" w:cs="Times New Roman"/>
          <w:sz w:val="22"/>
        </w:rPr>
        <w:t>or balance conflicting (</w:t>
      </w:r>
      <w:r w:rsidR="00895C5C" w:rsidRPr="000B14B8">
        <w:rPr>
          <w:rFonts w:ascii="Cambria" w:hAnsi="Cambria" w:cs="Times New Roman"/>
          <w:sz w:val="22"/>
        </w:rPr>
        <w:t>European</w:t>
      </w:r>
      <w:r w:rsidR="005523D8" w:rsidRPr="000B14B8">
        <w:rPr>
          <w:rFonts w:ascii="Cambria" w:hAnsi="Cambria" w:cs="Times New Roman"/>
          <w:sz w:val="22"/>
        </w:rPr>
        <w:t>)</w:t>
      </w:r>
      <w:r w:rsidR="00895C5C" w:rsidRPr="000B14B8">
        <w:rPr>
          <w:rFonts w:ascii="Cambria" w:hAnsi="Cambria" w:cs="Times New Roman"/>
          <w:sz w:val="22"/>
        </w:rPr>
        <w:t xml:space="preserve"> </w:t>
      </w:r>
      <w:r w:rsidRPr="000B14B8">
        <w:rPr>
          <w:rFonts w:ascii="Cambria" w:hAnsi="Cambria" w:cs="Times New Roman"/>
          <w:sz w:val="22"/>
        </w:rPr>
        <w:t xml:space="preserve">economic </w:t>
      </w:r>
      <w:r w:rsidR="005523D8" w:rsidRPr="000B14B8">
        <w:rPr>
          <w:rFonts w:ascii="Cambria" w:hAnsi="Cambria" w:cs="Times New Roman"/>
          <w:sz w:val="22"/>
        </w:rPr>
        <w:t xml:space="preserve">policy </w:t>
      </w:r>
      <w:r w:rsidR="00895C5C" w:rsidRPr="000B14B8">
        <w:rPr>
          <w:rFonts w:ascii="Cambria" w:hAnsi="Cambria" w:cs="Times New Roman"/>
          <w:sz w:val="22"/>
        </w:rPr>
        <w:t xml:space="preserve">values </w:t>
      </w:r>
      <w:r w:rsidRPr="000B14B8">
        <w:rPr>
          <w:rFonts w:ascii="Cambria" w:hAnsi="Cambria" w:cs="Times New Roman"/>
          <w:sz w:val="22"/>
        </w:rPr>
        <w:t xml:space="preserve">and </w:t>
      </w:r>
      <w:r w:rsidR="005523D8" w:rsidRPr="000B14B8">
        <w:rPr>
          <w:rFonts w:ascii="Cambria" w:hAnsi="Cambria" w:cs="Times New Roman"/>
          <w:sz w:val="22"/>
        </w:rPr>
        <w:t>(</w:t>
      </w:r>
      <w:r w:rsidR="00895C5C" w:rsidRPr="000B14B8">
        <w:rPr>
          <w:rFonts w:ascii="Cambria" w:hAnsi="Cambria" w:cs="Times New Roman"/>
          <w:sz w:val="22"/>
        </w:rPr>
        <w:t>national</w:t>
      </w:r>
      <w:r w:rsidR="005523D8" w:rsidRPr="000B14B8">
        <w:rPr>
          <w:rFonts w:ascii="Cambria" w:hAnsi="Cambria" w:cs="Times New Roman"/>
          <w:sz w:val="22"/>
        </w:rPr>
        <w:t>)</w:t>
      </w:r>
      <w:r w:rsidR="00895C5C" w:rsidRPr="000B14B8">
        <w:rPr>
          <w:rFonts w:ascii="Cambria" w:hAnsi="Cambria" w:cs="Times New Roman"/>
          <w:sz w:val="22"/>
        </w:rPr>
        <w:t xml:space="preserve"> </w:t>
      </w:r>
      <w:r w:rsidR="005523D8" w:rsidRPr="000B14B8">
        <w:rPr>
          <w:rFonts w:ascii="Cambria" w:hAnsi="Cambria" w:cs="Times New Roman"/>
          <w:sz w:val="22"/>
        </w:rPr>
        <w:t>social policy values</w:t>
      </w:r>
      <w:r w:rsidRPr="000B14B8">
        <w:rPr>
          <w:rFonts w:ascii="Cambria" w:hAnsi="Cambria" w:cs="Times New Roman"/>
          <w:sz w:val="22"/>
        </w:rPr>
        <w:t xml:space="preserve">. </w:t>
      </w:r>
      <w:r w:rsidR="00A63775" w:rsidRPr="00A63775">
        <w:rPr>
          <w:rFonts w:ascii="Cambria" w:hAnsi="Cambria" w:cs="Times New Roman"/>
          <w:sz w:val="22"/>
          <w:vertAlign w:val="superscript"/>
        </w:rPr>
        <w:footnoteReference w:id="51"/>
      </w:r>
    </w:p>
    <w:p w:rsidR="0058175B" w:rsidRPr="000B14B8" w:rsidRDefault="0058175B" w:rsidP="00895C5C">
      <w:pPr>
        <w:autoSpaceDE w:val="0"/>
        <w:autoSpaceDN w:val="0"/>
        <w:adjustRightInd w:val="0"/>
        <w:spacing w:after="0" w:line="240" w:lineRule="auto"/>
        <w:jc w:val="both"/>
        <w:rPr>
          <w:rFonts w:ascii="Cambria" w:hAnsi="Cambria" w:cs="Times New Roman"/>
          <w:sz w:val="22"/>
        </w:rPr>
      </w:pPr>
    </w:p>
    <w:p w:rsidR="000B27CB" w:rsidRPr="00030460" w:rsidRDefault="000B27CB" w:rsidP="00065F9B">
      <w:pPr>
        <w:spacing w:after="0" w:line="240" w:lineRule="auto"/>
        <w:ind w:firstLine="708"/>
        <w:jc w:val="both"/>
        <w:outlineLvl w:val="0"/>
        <w:rPr>
          <w:rFonts w:ascii="Cambria" w:hAnsi="Cambria" w:cs="Times New Roman"/>
          <w:sz w:val="22"/>
          <w:lang w:val="en-US"/>
        </w:rPr>
      </w:pPr>
      <w:r w:rsidRPr="00030460">
        <w:rPr>
          <w:rFonts w:ascii="Cambria" w:hAnsi="Cambria" w:cs="Times New Roman"/>
          <w:sz w:val="22"/>
          <w:lang w:val="en-US"/>
        </w:rPr>
        <w:t xml:space="preserve">4.2 Integration through law: </w:t>
      </w:r>
      <w:r w:rsidR="003A7546">
        <w:rPr>
          <w:rFonts w:ascii="Cambria" w:hAnsi="Cambria" w:cs="Times New Roman"/>
          <w:sz w:val="22"/>
          <w:lang w:val="en-US"/>
        </w:rPr>
        <w:t xml:space="preserve">a </w:t>
      </w:r>
      <w:r w:rsidRPr="00030460">
        <w:rPr>
          <w:rFonts w:ascii="Cambria" w:hAnsi="Cambria" w:cs="Times New Roman"/>
          <w:sz w:val="22"/>
          <w:lang w:val="en-US"/>
        </w:rPr>
        <w:t xml:space="preserve">pivotal role for the </w:t>
      </w:r>
      <w:r w:rsidR="00395043" w:rsidRPr="00030460">
        <w:rPr>
          <w:rFonts w:ascii="Cambria" w:hAnsi="Cambria" w:cs="Times New Roman"/>
          <w:sz w:val="22"/>
          <w:lang w:val="en-US"/>
        </w:rPr>
        <w:t>CJEU</w:t>
      </w:r>
    </w:p>
    <w:p w:rsidR="00D17C7B" w:rsidRPr="00341652" w:rsidRDefault="00D17C7B" w:rsidP="00DB294C">
      <w:pPr>
        <w:autoSpaceDE w:val="0"/>
        <w:autoSpaceDN w:val="0"/>
        <w:adjustRightInd w:val="0"/>
        <w:spacing w:after="0" w:line="240" w:lineRule="auto"/>
        <w:rPr>
          <w:rFonts w:ascii="Cambria" w:hAnsi="Cambria" w:cs="Times New Roman"/>
          <w:sz w:val="22"/>
          <w:lang w:val="en-US"/>
        </w:rPr>
      </w:pPr>
    </w:p>
    <w:p w:rsidR="002332AB" w:rsidRPr="000B14B8" w:rsidRDefault="00895C5C" w:rsidP="002D0F1C">
      <w:pPr>
        <w:spacing w:after="0" w:line="240" w:lineRule="auto"/>
        <w:jc w:val="both"/>
        <w:rPr>
          <w:rFonts w:ascii="Cambria" w:hAnsi="Cambria" w:cs="Times New Roman"/>
          <w:sz w:val="22"/>
          <w:lang w:val="en-US"/>
        </w:rPr>
      </w:pPr>
      <w:r w:rsidRPr="000B14B8">
        <w:rPr>
          <w:rFonts w:ascii="Cambria" w:hAnsi="Cambria" w:cs="Times New Roman"/>
          <w:sz w:val="22"/>
          <w:lang w:val="en-US"/>
        </w:rPr>
        <w:t xml:space="preserve">As </w:t>
      </w:r>
      <w:r w:rsidR="003A7546">
        <w:rPr>
          <w:rFonts w:ascii="Cambria" w:hAnsi="Cambria" w:cs="Times New Roman"/>
          <w:sz w:val="22"/>
          <w:lang w:val="en-US"/>
        </w:rPr>
        <w:t xml:space="preserve">a </w:t>
      </w:r>
      <w:r w:rsidRPr="000B14B8">
        <w:rPr>
          <w:rFonts w:ascii="Cambria" w:hAnsi="Cambria" w:cs="Times New Roman"/>
          <w:sz w:val="22"/>
          <w:lang w:val="en-US"/>
        </w:rPr>
        <w:t>result of the foregoing, conflicts between economic</w:t>
      </w:r>
      <w:r w:rsidR="00D254E3" w:rsidRPr="008921EE">
        <w:rPr>
          <w:rFonts w:ascii="Cambria" w:hAnsi="Cambria" w:cs="Times New Roman"/>
          <w:sz w:val="22"/>
          <w:lang w:val="en-US"/>
        </w:rPr>
        <w:t xml:space="preserve"> values </w:t>
      </w:r>
      <w:r w:rsidRPr="001E3E67">
        <w:rPr>
          <w:rFonts w:ascii="Cambria" w:hAnsi="Cambria" w:cs="Times New Roman"/>
          <w:sz w:val="22"/>
          <w:lang w:val="en-US"/>
        </w:rPr>
        <w:t xml:space="preserve">vested in the European fundamental </w:t>
      </w:r>
      <w:r w:rsidR="00D254E3" w:rsidRPr="001E3E67">
        <w:rPr>
          <w:rFonts w:ascii="Cambria" w:hAnsi="Cambria" w:cs="Times New Roman"/>
          <w:sz w:val="22"/>
          <w:lang w:val="en-US"/>
        </w:rPr>
        <w:t xml:space="preserve">freedoms </w:t>
      </w:r>
      <w:r w:rsidRPr="001E3E67">
        <w:rPr>
          <w:rFonts w:ascii="Cambria" w:hAnsi="Cambria" w:cs="Times New Roman"/>
          <w:sz w:val="22"/>
          <w:lang w:val="en-US"/>
        </w:rPr>
        <w:t xml:space="preserve">and </w:t>
      </w:r>
      <w:r w:rsidR="00514FDC">
        <w:rPr>
          <w:rFonts w:ascii="Cambria" w:hAnsi="Cambria" w:cs="Times New Roman"/>
          <w:sz w:val="22"/>
          <w:lang w:val="en-US"/>
        </w:rPr>
        <w:t xml:space="preserve">the </w:t>
      </w:r>
      <w:r w:rsidRPr="001E3E67">
        <w:rPr>
          <w:rFonts w:ascii="Cambria" w:hAnsi="Cambria" w:cs="Times New Roman"/>
          <w:sz w:val="22"/>
          <w:lang w:val="en-US"/>
        </w:rPr>
        <w:t>system of undistorted competition</w:t>
      </w:r>
      <w:r w:rsidR="00D254E3" w:rsidRPr="000B14B8">
        <w:rPr>
          <w:rFonts w:ascii="Cambria" w:hAnsi="Cambria" w:cs="Times New Roman"/>
          <w:sz w:val="22"/>
          <w:lang w:val="en-US"/>
        </w:rPr>
        <w:t xml:space="preserve">, and social values vested in self-determined national policies, are </w:t>
      </w:r>
      <w:r w:rsidRPr="000B14B8">
        <w:rPr>
          <w:rFonts w:ascii="Cambria" w:hAnsi="Cambria" w:cs="Times New Roman"/>
          <w:sz w:val="22"/>
          <w:lang w:val="en-US"/>
        </w:rPr>
        <w:t xml:space="preserve">necessarily left </w:t>
      </w:r>
      <w:r w:rsidR="005523D8" w:rsidRPr="000B14B8">
        <w:rPr>
          <w:rFonts w:ascii="Cambria" w:hAnsi="Cambria" w:cs="Times New Roman"/>
          <w:sz w:val="22"/>
          <w:lang w:val="en-US"/>
        </w:rPr>
        <w:t xml:space="preserve">to </w:t>
      </w:r>
      <w:r w:rsidRPr="000B14B8">
        <w:rPr>
          <w:rFonts w:ascii="Cambria" w:hAnsi="Cambria" w:cs="Times New Roman"/>
          <w:sz w:val="22"/>
          <w:lang w:val="en-US"/>
        </w:rPr>
        <w:t>the European Court of Justice to decide.</w:t>
      </w:r>
      <w:r w:rsidR="005523D8" w:rsidRPr="000B14B8">
        <w:rPr>
          <w:rFonts w:ascii="Cambria" w:hAnsi="Cambria" w:cs="Times New Roman"/>
          <w:sz w:val="22"/>
          <w:lang w:val="en-US"/>
        </w:rPr>
        <w:t xml:space="preserve"> </w:t>
      </w:r>
    </w:p>
    <w:p w:rsidR="002332AB" w:rsidRDefault="002332AB" w:rsidP="002D0F1C">
      <w:pPr>
        <w:spacing w:after="0" w:line="240" w:lineRule="auto"/>
        <w:jc w:val="both"/>
        <w:rPr>
          <w:rFonts w:ascii="Cambria" w:hAnsi="Cambria" w:cs="Times New Roman"/>
          <w:sz w:val="22"/>
          <w:lang w:val="en-US"/>
        </w:rPr>
      </w:pPr>
    </w:p>
    <w:p w:rsidR="00395043" w:rsidRPr="00395043" w:rsidRDefault="00395043" w:rsidP="00065F9B">
      <w:pPr>
        <w:spacing w:after="0" w:line="240" w:lineRule="auto"/>
        <w:jc w:val="both"/>
        <w:outlineLvl w:val="0"/>
        <w:rPr>
          <w:rFonts w:ascii="Cambria" w:hAnsi="Cambria" w:cs="Times New Roman"/>
          <w:i/>
          <w:sz w:val="22"/>
          <w:lang w:val="en-US"/>
        </w:rPr>
      </w:pPr>
      <w:r>
        <w:rPr>
          <w:rFonts w:ascii="Cambria" w:hAnsi="Cambria" w:cs="Times New Roman"/>
          <w:i/>
          <w:sz w:val="22"/>
          <w:lang w:val="en-US"/>
        </w:rPr>
        <w:t>Balancing public interests with the Treaty freedoms</w:t>
      </w:r>
    </w:p>
    <w:p w:rsidR="00D16C50" w:rsidRDefault="002332AB" w:rsidP="00D16C50">
      <w:pPr>
        <w:spacing w:after="0" w:line="240" w:lineRule="auto"/>
        <w:jc w:val="both"/>
        <w:rPr>
          <w:rFonts w:ascii="Cambria" w:hAnsi="Cambria"/>
          <w:sz w:val="22"/>
        </w:rPr>
      </w:pPr>
      <w:r w:rsidRPr="000B14B8">
        <w:rPr>
          <w:rFonts w:ascii="Cambria" w:hAnsi="Cambria" w:cs="Times New Roman"/>
          <w:sz w:val="22"/>
          <w:lang w:val="en-US"/>
        </w:rPr>
        <w:t xml:space="preserve">Although </w:t>
      </w:r>
      <w:r w:rsidR="0076161C" w:rsidRPr="000B14B8">
        <w:rPr>
          <w:rFonts w:ascii="Cambria" w:hAnsi="Cambria" w:cs="Times New Roman"/>
          <w:sz w:val="22"/>
          <w:lang w:val="en-US"/>
        </w:rPr>
        <w:t>the ‘economic constitution’ in princip</w:t>
      </w:r>
      <w:r w:rsidR="003A7546">
        <w:rPr>
          <w:rFonts w:ascii="Cambria" w:hAnsi="Cambria" w:cs="Times New Roman"/>
          <w:sz w:val="22"/>
          <w:lang w:val="en-US"/>
        </w:rPr>
        <w:t>le</w:t>
      </w:r>
      <w:r w:rsidR="0076161C" w:rsidRPr="000B14B8">
        <w:rPr>
          <w:rFonts w:ascii="Cambria" w:hAnsi="Cambria" w:cs="Times New Roman"/>
          <w:sz w:val="22"/>
          <w:lang w:val="en-US"/>
        </w:rPr>
        <w:t xml:space="preserve"> </w:t>
      </w:r>
      <w:r w:rsidR="004C2CB0" w:rsidRPr="000B14B8">
        <w:rPr>
          <w:rFonts w:ascii="Cambria" w:hAnsi="Cambria" w:cs="Times New Roman"/>
          <w:sz w:val="22"/>
          <w:lang w:val="en-US"/>
        </w:rPr>
        <w:t>subject</w:t>
      </w:r>
      <w:r w:rsidR="0076161C" w:rsidRPr="000B14B8">
        <w:rPr>
          <w:rFonts w:ascii="Cambria" w:hAnsi="Cambria" w:cs="Times New Roman"/>
          <w:sz w:val="22"/>
          <w:lang w:val="en-US"/>
        </w:rPr>
        <w:t>s</w:t>
      </w:r>
      <w:r w:rsidR="004C2CB0" w:rsidRPr="000B14B8">
        <w:rPr>
          <w:rFonts w:ascii="Cambria" w:hAnsi="Cambria" w:cs="Times New Roman"/>
          <w:sz w:val="22"/>
          <w:lang w:val="en-US"/>
        </w:rPr>
        <w:t xml:space="preserve"> any national social policy to the legal and economic constraints of market freedoms a</w:t>
      </w:r>
      <w:r w:rsidR="0076161C" w:rsidRPr="000B14B8">
        <w:rPr>
          <w:rFonts w:ascii="Cambria" w:hAnsi="Cambria" w:cs="Times New Roman"/>
          <w:sz w:val="22"/>
          <w:lang w:val="en-US"/>
        </w:rPr>
        <w:t xml:space="preserve">nd undistorted competition - leading to the </w:t>
      </w:r>
      <w:r w:rsidR="004C2CB0" w:rsidRPr="000B14B8">
        <w:rPr>
          <w:rFonts w:ascii="Cambria" w:hAnsi="Cambria" w:cs="Times New Roman"/>
          <w:sz w:val="22"/>
          <w:lang w:val="en-US"/>
        </w:rPr>
        <w:t>‘constitutional asymmetry’ between economic and</w:t>
      </w:r>
      <w:r w:rsidR="00C27E21" w:rsidRPr="000B14B8">
        <w:rPr>
          <w:rFonts w:ascii="Cambria" w:hAnsi="Cambria" w:cs="Times New Roman"/>
          <w:sz w:val="22"/>
          <w:lang w:val="en-US"/>
        </w:rPr>
        <w:t xml:space="preserve"> social values (supra, section 3</w:t>
      </w:r>
      <w:r w:rsidR="0076161C" w:rsidRPr="000B14B8">
        <w:rPr>
          <w:rFonts w:ascii="Cambria" w:hAnsi="Cambria" w:cs="Times New Roman"/>
          <w:sz w:val="22"/>
          <w:lang w:val="en-US"/>
        </w:rPr>
        <w:t>) -</w:t>
      </w:r>
      <w:r w:rsidR="004C2CB0" w:rsidRPr="000B14B8">
        <w:rPr>
          <w:rFonts w:ascii="Cambria" w:hAnsi="Cambria" w:cs="Times New Roman"/>
          <w:sz w:val="22"/>
          <w:lang w:val="en-US"/>
        </w:rPr>
        <w:t xml:space="preserve"> that is not to say </w:t>
      </w:r>
      <w:r w:rsidR="008759F1" w:rsidRPr="000B14B8">
        <w:rPr>
          <w:rFonts w:ascii="Cambria" w:hAnsi="Cambria" w:cs="Times New Roman"/>
          <w:sz w:val="22"/>
          <w:lang w:val="en-US"/>
        </w:rPr>
        <w:t xml:space="preserve">that the Court is not at </w:t>
      </w:r>
      <w:r w:rsidR="00E1452D" w:rsidRPr="000B14B8">
        <w:rPr>
          <w:rFonts w:ascii="Cambria" w:hAnsi="Cambria" w:cs="Times New Roman"/>
          <w:sz w:val="22"/>
          <w:lang w:val="en-US"/>
        </w:rPr>
        <w:t xml:space="preserve">liberty </w:t>
      </w:r>
      <w:r w:rsidR="00D16C50">
        <w:rPr>
          <w:rFonts w:ascii="Cambria" w:hAnsi="Cambria" w:cs="Times New Roman"/>
          <w:sz w:val="22"/>
          <w:lang w:val="en-US"/>
        </w:rPr>
        <w:t xml:space="preserve">- </w:t>
      </w:r>
      <w:r w:rsidR="001A7012" w:rsidRPr="000B14B8">
        <w:rPr>
          <w:rFonts w:ascii="Cambria" w:hAnsi="Cambria" w:cs="Times New Roman"/>
          <w:sz w:val="22"/>
          <w:lang w:val="en-US"/>
        </w:rPr>
        <w:t xml:space="preserve">or </w:t>
      </w:r>
      <w:r w:rsidR="003A7546">
        <w:rPr>
          <w:rFonts w:ascii="Cambria" w:hAnsi="Cambria" w:cs="Times New Roman"/>
          <w:sz w:val="22"/>
          <w:lang w:val="en-US"/>
        </w:rPr>
        <w:t xml:space="preserve">is </w:t>
      </w:r>
      <w:r w:rsidR="001A7012" w:rsidRPr="000B14B8">
        <w:rPr>
          <w:rFonts w:ascii="Cambria" w:hAnsi="Cambria" w:cs="Times New Roman"/>
          <w:sz w:val="22"/>
          <w:lang w:val="en-US"/>
        </w:rPr>
        <w:t>even required</w:t>
      </w:r>
      <w:r w:rsidR="00D16C50">
        <w:rPr>
          <w:rFonts w:ascii="Cambria" w:hAnsi="Cambria" w:cs="Times New Roman"/>
          <w:sz w:val="22"/>
          <w:lang w:val="en-US"/>
        </w:rPr>
        <w:t xml:space="preserve"> -</w:t>
      </w:r>
      <w:r w:rsidR="001A7012" w:rsidRPr="000B14B8">
        <w:rPr>
          <w:rFonts w:ascii="Cambria" w:hAnsi="Cambria" w:cs="Times New Roman"/>
          <w:sz w:val="22"/>
          <w:lang w:val="en-US"/>
        </w:rPr>
        <w:t xml:space="preserve"> </w:t>
      </w:r>
      <w:r w:rsidR="00C27E21" w:rsidRPr="000B14B8">
        <w:rPr>
          <w:rFonts w:ascii="Cambria" w:hAnsi="Cambria" w:cs="Times New Roman"/>
          <w:sz w:val="22"/>
          <w:lang w:val="en-US"/>
        </w:rPr>
        <w:t>to balance these values.</w:t>
      </w:r>
      <w:r w:rsidR="00033226" w:rsidRPr="000B14B8">
        <w:rPr>
          <w:rFonts w:ascii="Cambria" w:hAnsi="Cambria" w:cs="Times New Roman"/>
          <w:sz w:val="22"/>
          <w:lang w:val="en-US"/>
        </w:rPr>
        <w:t xml:space="preserve"> </w:t>
      </w:r>
      <w:r w:rsidR="00845290" w:rsidRPr="00845290">
        <w:rPr>
          <w:rFonts w:ascii="Cambria" w:hAnsi="Cambria"/>
          <w:sz w:val="22"/>
        </w:rPr>
        <w:t>Whereas the internal market originally seemed to be mainly concerned with the abolition of trade barriers, later a broader conception of the internal market can be found, conceptualised in more holistic terms, including public interests like consumer safety and environmental protection. For that matter, the realisation of an internal market and the liberalisation of trade are not ends in themselves, but important tools to increase welfare and promote sustainable development.</w:t>
      </w:r>
      <w:r w:rsidR="00845290" w:rsidRPr="00845290">
        <w:rPr>
          <w:rStyle w:val="Voetnootmarkering"/>
          <w:rFonts w:ascii="Cambria" w:hAnsi="Cambria"/>
          <w:sz w:val="22"/>
        </w:rPr>
        <w:footnoteReference w:id="52"/>
      </w:r>
      <w:r w:rsidR="00845290" w:rsidRPr="00845290">
        <w:rPr>
          <w:rFonts w:ascii="Cambria" w:hAnsi="Cambria"/>
          <w:sz w:val="22"/>
        </w:rPr>
        <w:t xml:space="preserve"> The fact that market integration is not pursued in isolation but must be counterbalanced by social considerations and public interests is ‘confirmed’ by the concept of social market economy introduced by the Lisbon Treaty.</w:t>
      </w:r>
    </w:p>
    <w:p w:rsidR="002A7161" w:rsidRDefault="00845290" w:rsidP="002A7161">
      <w:pPr>
        <w:spacing w:after="0" w:line="240" w:lineRule="auto"/>
        <w:jc w:val="both"/>
        <w:rPr>
          <w:rFonts w:ascii="Cambria" w:hAnsi="Cambria" w:cs="Times New Roman"/>
          <w:sz w:val="22"/>
          <w:lang w:val="en-US"/>
        </w:rPr>
      </w:pPr>
      <w:r w:rsidRPr="00845290">
        <w:rPr>
          <w:rFonts w:ascii="Cambria" w:hAnsi="Cambria"/>
          <w:sz w:val="22"/>
        </w:rPr>
        <w:t xml:space="preserve">In the case law of the </w:t>
      </w:r>
      <w:r w:rsidR="00395043">
        <w:rPr>
          <w:rFonts w:ascii="Cambria" w:hAnsi="Cambria"/>
          <w:sz w:val="22"/>
        </w:rPr>
        <w:t>CJEU</w:t>
      </w:r>
      <w:r w:rsidRPr="00845290">
        <w:rPr>
          <w:rFonts w:ascii="Cambria" w:hAnsi="Cambria"/>
          <w:sz w:val="22"/>
        </w:rPr>
        <w:t xml:space="preserve"> we see that EU free movement and competition law is indeed receptive to considerations of a non-economic </w:t>
      </w:r>
      <w:r w:rsidR="00037FB4">
        <w:rPr>
          <w:rFonts w:ascii="Cambria" w:hAnsi="Cambria"/>
          <w:sz w:val="22"/>
        </w:rPr>
        <w:t>nature</w:t>
      </w:r>
      <w:r w:rsidRPr="00845290">
        <w:rPr>
          <w:rFonts w:ascii="Cambria" w:hAnsi="Cambria"/>
          <w:sz w:val="22"/>
        </w:rPr>
        <w:t>.</w:t>
      </w:r>
      <w:bookmarkStart w:id="9" w:name="_Ref420508960"/>
      <w:r w:rsidRPr="00845290">
        <w:rPr>
          <w:rStyle w:val="Voetnootmarkering"/>
          <w:rFonts w:ascii="Cambria" w:hAnsi="Cambria"/>
          <w:sz w:val="22"/>
        </w:rPr>
        <w:footnoteReference w:id="53"/>
      </w:r>
      <w:bookmarkEnd w:id="9"/>
      <w:r w:rsidRPr="00845290">
        <w:rPr>
          <w:rFonts w:ascii="Cambria" w:hAnsi="Cambria"/>
          <w:sz w:val="22"/>
        </w:rPr>
        <w:t xml:space="preserve"> First, in some rather exceptional cases the Court of Justice has classified certain activities as non-economic, thereby excluding the applicability of the Treaty rules on free movement and competition. The sale of soft drugs in coffee shops in the Netherlands, for instance, fell</w:t>
      </w:r>
      <w:r w:rsidR="003A7546">
        <w:rPr>
          <w:rFonts w:ascii="Cambria" w:hAnsi="Cambria"/>
          <w:sz w:val="22"/>
        </w:rPr>
        <w:t>,</w:t>
      </w:r>
      <w:r w:rsidRPr="00845290">
        <w:rPr>
          <w:rFonts w:ascii="Cambria" w:hAnsi="Cambria"/>
          <w:sz w:val="22"/>
        </w:rPr>
        <w:t xml:space="preserve"> according to the </w:t>
      </w:r>
      <w:r w:rsidR="00065F9B">
        <w:rPr>
          <w:rFonts w:ascii="Cambria" w:hAnsi="Cambria"/>
          <w:sz w:val="22"/>
        </w:rPr>
        <w:t>CJEU</w:t>
      </w:r>
      <w:r w:rsidR="003A7546">
        <w:rPr>
          <w:rFonts w:ascii="Cambria" w:hAnsi="Cambria"/>
          <w:sz w:val="22"/>
        </w:rPr>
        <w:t>,</w:t>
      </w:r>
      <w:r w:rsidRPr="00845290">
        <w:rPr>
          <w:rFonts w:ascii="Cambria" w:hAnsi="Cambria"/>
          <w:sz w:val="22"/>
        </w:rPr>
        <w:t xml:space="preserve"> outside the scope of the Treaty rules on services, since </w:t>
      </w:r>
      <w:r w:rsidR="003A7546">
        <w:rPr>
          <w:rFonts w:ascii="Cambria" w:hAnsi="Cambria"/>
          <w:sz w:val="22"/>
        </w:rPr>
        <w:t xml:space="preserve">the </w:t>
      </w:r>
      <w:r w:rsidRPr="00845290">
        <w:rPr>
          <w:rFonts w:ascii="Cambria" w:hAnsi="Cambria"/>
          <w:sz w:val="22"/>
        </w:rPr>
        <w:t>trade in soft drugs is prohibited in all Member States.</w:t>
      </w:r>
      <w:r w:rsidRPr="00845290">
        <w:rPr>
          <w:rStyle w:val="Voetnootmarkering"/>
          <w:rFonts w:ascii="Cambria" w:hAnsi="Cambria"/>
          <w:sz w:val="22"/>
        </w:rPr>
        <w:footnoteReference w:id="54"/>
      </w:r>
      <w:r w:rsidRPr="00845290">
        <w:rPr>
          <w:rFonts w:ascii="Cambria" w:hAnsi="Cambria"/>
          <w:sz w:val="22"/>
        </w:rPr>
        <w:t xml:space="preserve"> Second, as from the </w:t>
      </w:r>
      <w:r w:rsidRPr="00845290">
        <w:rPr>
          <w:rFonts w:ascii="Cambria" w:hAnsi="Cambria"/>
          <w:i/>
          <w:sz w:val="22"/>
        </w:rPr>
        <w:t>Dassonville</w:t>
      </w:r>
      <w:r w:rsidRPr="00845290">
        <w:rPr>
          <w:rFonts w:ascii="Cambria" w:hAnsi="Cambria"/>
          <w:sz w:val="22"/>
        </w:rPr>
        <w:t xml:space="preserve"> and </w:t>
      </w:r>
      <w:r w:rsidRPr="00845290">
        <w:rPr>
          <w:rFonts w:ascii="Cambria" w:hAnsi="Cambria"/>
          <w:i/>
          <w:sz w:val="22"/>
        </w:rPr>
        <w:t>Cassis de Dijon</w:t>
      </w:r>
      <w:r w:rsidRPr="00845290">
        <w:rPr>
          <w:rFonts w:ascii="Cambria" w:hAnsi="Cambria"/>
          <w:sz w:val="22"/>
        </w:rPr>
        <w:t xml:space="preserve"> judgments, the Court has accepted that Member States may rely on mandatory requirements – next to the Treaty exceptions – to justify national measures that restrict trade and free movement.</w:t>
      </w:r>
      <w:r w:rsidRPr="00845290">
        <w:rPr>
          <w:rStyle w:val="Voetnootmarkering"/>
          <w:rFonts w:ascii="Cambria" w:hAnsi="Cambria"/>
          <w:sz w:val="22"/>
        </w:rPr>
        <w:footnoteReference w:id="55"/>
      </w:r>
      <w:r w:rsidRPr="00845290">
        <w:rPr>
          <w:rFonts w:ascii="Cambria" w:hAnsi="Cambria"/>
          <w:sz w:val="22"/>
        </w:rPr>
        <w:t xml:space="preserve"> The four freedoms are not absolute, which is essential as this underlines their relative importance in the Treaty.</w:t>
      </w:r>
      <w:r w:rsidRPr="00845290">
        <w:rPr>
          <w:rStyle w:val="Voetnootmarkering"/>
          <w:rFonts w:ascii="Cambria" w:hAnsi="Cambria"/>
          <w:sz w:val="22"/>
        </w:rPr>
        <w:footnoteReference w:id="56"/>
      </w:r>
      <w:r w:rsidRPr="00845290">
        <w:rPr>
          <w:rFonts w:ascii="Cambria" w:hAnsi="Cambria"/>
          <w:sz w:val="22"/>
        </w:rPr>
        <w:t xml:space="preserve"> In balancing public, non-economic, interests as well as fundamental rights with the economic freedoms</w:t>
      </w:r>
      <w:r w:rsidR="00D16C50">
        <w:rPr>
          <w:rFonts w:ascii="Cambria" w:hAnsi="Cambria"/>
          <w:sz w:val="22"/>
        </w:rPr>
        <w:t>,</w:t>
      </w:r>
      <w:r w:rsidRPr="00845290">
        <w:rPr>
          <w:rFonts w:ascii="Cambria" w:hAnsi="Cambria"/>
          <w:sz w:val="22"/>
        </w:rPr>
        <w:t xml:space="preserve"> the proportionality principle plays a key role. The Court particularly focuses on the existence of a causal connection between </w:t>
      </w:r>
      <w:r w:rsidR="0046139B">
        <w:rPr>
          <w:rFonts w:ascii="Cambria" w:hAnsi="Cambria"/>
          <w:sz w:val="22"/>
        </w:rPr>
        <w:t xml:space="preserve">the restriction and </w:t>
      </w:r>
      <w:r w:rsidRPr="00845290">
        <w:rPr>
          <w:rFonts w:ascii="Cambria" w:hAnsi="Cambria"/>
          <w:sz w:val="22"/>
        </w:rPr>
        <w:t>the aim pursued and the fact that there is no alternative to it that is less restrictive to trade. In some cases the Court adopts a third element of the proportionality test, a ‘true balancing approach’ or proportionality stricto sensu, which requires an assessment of whether the restriction is not out of proportion to the aim sought or the result brought about.</w:t>
      </w:r>
      <w:r w:rsidRPr="00845290">
        <w:rPr>
          <w:rStyle w:val="Voetnootmarkering"/>
          <w:rFonts w:ascii="Cambria" w:hAnsi="Cambria"/>
          <w:sz w:val="22"/>
        </w:rPr>
        <w:footnoteReference w:id="57"/>
      </w:r>
      <w:r w:rsidRPr="00845290">
        <w:rPr>
          <w:rFonts w:ascii="Cambria" w:hAnsi="Cambria"/>
          <w:sz w:val="22"/>
        </w:rPr>
        <w:t xml:space="preserve"> In addition, the Court may opt for a rather procedural approach to proportionality, which entails </w:t>
      </w:r>
      <w:r w:rsidR="003A7546">
        <w:rPr>
          <w:rFonts w:ascii="Cambria" w:hAnsi="Cambria"/>
          <w:sz w:val="22"/>
        </w:rPr>
        <w:t>an</w:t>
      </w:r>
      <w:r w:rsidRPr="00845290">
        <w:rPr>
          <w:rFonts w:ascii="Cambria" w:hAnsi="Cambria"/>
          <w:sz w:val="22"/>
        </w:rPr>
        <w:t xml:space="preserve"> examination </w:t>
      </w:r>
      <w:r w:rsidR="003A7546">
        <w:rPr>
          <w:rFonts w:ascii="Cambria" w:hAnsi="Cambria"/>
          <w:sz w:val="22"/>
        </w:rPr>
        <w:t>of</w:t>
      </w:r>
      <w:r w:rsidRPr="00845290">
        <w:rPr>
          <w:rFonts w:ascii="Cambria" w:hAnsi="Cambria"/>
          <w:sz w:val="22"/>
        </w:rPr>
        <w:t xml:space="preserve"> the thoroughness of the decision-making procedure and whether procedural guarantees have been taken into account – principles of </w:t>
      </w:r>
      <w:r w:rsidRPr="00845290">
        <w:rPr>
          <w:rFonts w:ascii="Cambria" w:hAnsi="Cambria"/>
          <w:sz w:val="22"/>
        </w:rPr>
        <w:lastRenderedPageBreak/>
        <w:t>good governance – by the regulating state.</w:t>
      </w:r>
      <w:r w:rsidRPr="00845290">
        <w:rPr>
          <w:rStyle w:val="Voetnootmarkering"/>
          <w:rFonts w:ascii="Cambria" w:hAnsi="Cambria" w:cs="Garamond"/>
          <w:sz w:val="22"/>
        </w:rPr>
        <w:footnoteReference w:id="58"/>
      </w:r>
      <w:r w:rsidRPr="00845290">
        <w:rPr>
          <w:rFonts w:ascii="Cambria" w:hAnsi="Cambria"/>
          <w:sz w:val="22"/>
        </w:rPr>
        <w:t xml:space="preserve"> An example </w:t>
      </w:r>
      <w:r w:rsidR="003A7546">
        <w:rPr>
          <w:rFonts w:ascii="Cambria" w:hAnsi="Cambria"/>
          <w:sz w:val="22"/>
        </w:rPr>
        <w:t xml:space="preserve">is </w:t>
      </w:r>
      <w:r w:rsidRPr="00845290">
        <w:rPr>
          <w:rFonts w:ascii="Cambria" w:hAnsi="Cambria"/>
          <w:sz w:val="22"/>
        </w:rPr>
        <w:t>offer</w:t>
      </w:r>
      <w:r w:rsidR="003A7546">
        <w:rPr>
          <w:rFonts w:ascii="Cambria" w:hAnsi="Cambria"/>
          <w:sz w:val="22"/>
        </w:rPr>
        <w:t>ed by</w:t>
      </w:r>
      <w:r w:rsidRPr="00845290">
        <w:rPr>
          <w:rFonts w:ascii="Cambria" w:hAnsi="Cambria"/>
          <w:sz w:val="22"/>
        </w:rPr>
        <w:t xml:space="preserve"> the </w:t>
      </w:r>
      <w:r w:rsidRPr="00845290">
        <w:rPr>
          <w:rFonts w:ascii="Cambria" w:hAnsi="Cambria"/>
          <w:i/>
          <w:iCs/>
          <w:sz w:val="22"/>
        </w:rPr>
        <w:t>United Pan-Europe Communications</w:t>
      </w:r>
      <w:r w:rsidRPr="00845290">
        <w:rPr>
          <w:rFonts w:ascii="Cambria" w:hAnsi="Cambria"/>
          <w:sz w:val="22"/>
        </w:rPr>
        <w:t xml:space="preserve"> case, where the </w:t>
      </w:r>
      <w:r w:rsidR="00065F9B">
        <w:rPr>
          <w:rFonts w:ascii="Cambria" w:hAnsi="Cambria"/>
          <w:sz w:val="22"/>
        </w:rPr>
        <w:t>CJEU</w:t>
      </w:r>
      <w:r w:rsidRPr="00845290">
        <w:rPr>
          <w:rFonts w:ascii="Cambria" w:hAnsi="Cambria"/>
          <w:sz w:val="22"/>
        </w:rPr>
        <w:t xml:space="preserve"> also took a deferential approach.</w:t>
      </w:r>
      <w:r w:rsidRPr="00845290">
        <w:rPr>
          <w:rStyle w:val="Voetnootmarkering"/>
          <w:rFonts w:ascii="Cambria" w:hAnsi="Cambria" w:cs="Garamond"/>
          <w:sz w:val="22"/>
        </w:rPr>
        <w:footnoteReference w:id="59"/>
      </w:r>
    </w:p>
    <w:p w:rsidR="002A7161" w:rsidRDefault="00845290" w:rsidP="002A7161">
      <w:pPr>
        <w:spacing w:after="0" w:line="240" w:lineRule="auto"/>
        <w:jc w:val="both"/>
        <w:rPr>
          <w:rFonts w:ascii="Cambria" w:hAnsi="Cambria" w:cs="Times New Roman"/>
          <w:sz w:val="22"/>
          <w:lang w:val="en-US"/>
        </w:rPr>
      </w:pPr>
      <w:r w:rsidRPr="00845290">
        <w:rPr>
          <w:rFonts w:ascii="Cambria" w:hAnsi="Cambria"/>
          <w:sz w:val="22"/>
        </w:rPr>
        <w:t xml:space="preserve">The ways in which the Court applies the proportionality test depends on a number of factors, </w:t>
      </w:r>
      <w:r w:rsidR="00F751E9" w:rsidRPr="00F751E9">
        <w:rPr>
          <w:rFonts w:ascii="Cambria" w:hAnsi="Cambria"/>
          <w:i/>
          <w:sz w:val="22"/>
        </w:rPr>
        <w:t>inter alia</w:t>
      </w:r>
      <w:r w:rsidRPr="00845290">
        <w:rPr>
          <w:rFonts w:ascii="Cambria" w:hAnsi="Cambria"/>
          <w:sz w:val="22"/>
        </w:rPr>
        <w:t xml:space="preserve"> the public interest involved. In areas which are more sensitive or where the Member States have retained regulatory powers, the </w:t>
      </w:r>
      <w:r w:rsidR="00065F9B">
        <w:rPr>
          <w:rFonts w:ascii="Cambria" w:hAnsi="Cambria"/>
          <w:sz w:val="22"/>
        </w:rPr>
        <w:t>CJEU</w:t>
      </w:r>
      <w:r w:rsidRPr="00845290">
        <w:rPr>
          <w:rFonts w:ascii="Cambria" w:hAnsi="Cambria"/>
          <w:sz w:val="22"/>
        </w:rPr>
        <w:t xml:space="preserve"> generally seems to allow the regulatory state </w:t>
      </w:r>
      <w:r w:rsidR="003A7546">
        <w:rPr>
          <w:rFonts w:ascii="Cambria" w:hAnsi="Cambria"/>
          <w:sz w:val="22"/>
        </w:rPr>
        <w:t>to have a greater</w:t>
      </w:r>
      <w:r w:rsidRPr="00845290">
        <w:rPr>
          <w:rFonts w:ascii="Cambria" w:hAnsi="Cambria"/>
          <w:sz w:val="22"/>
        </w:rPr>
        <w:t xml:space="preserve"> margin of discretion.</w:t>
      </w:r>
      <w:r w:rsidRPr="00845290">
        <w:rPr>
          <w:rStyle w:val="Voetnootmarkering"/>
          <w:rFonts w:ascii="Cambria" w:hAnsi="Cambria"/>
          <w:sz w:val="22"/>
        </w:rPr>
        <w:footnoteReference w:id="60"/>
      </w:r>
      <w:r w:rsidRPr="00845290">
        <w:rPr>
          <w:rFonts w:ascii="Cambria" w:hAnsi="Cambria"/>
          <w:sz w:val="22"/>
        </w:rPr>
        <w:t xml:space="preserve"> In the field of consumer policy, for instance, the Court has always departed from a reasonable level of consumer protection and from the notion of the consumer as a beneficiary of the internal market process.</w:t>
      </w:r>
      <w:r w:rsidRPr="00845290">
        <w:rPr>
          <w:rStyle w:val="Voetnootmarkering"/>
          <w:rFonts w:ascii="Cambria" w:hAnsi="Cambria"/>
          <w:sz w:val="22"/>
        </w:rPr>
        <w:footnoteReference w:id="61"/>
      </w:r>
      <w:r w:rsidRPr="00845290">
        <w:rPr>
          <w:rFonts w:ascii="Cambria" w:hAnsi="Cambria"/>
          <w:sz w:val="22"/>
        </w:rPr>
        <w:t xml:space="preserve"> But in some cases the Court </w:t>
      </w:r>
      <w:r w:rsidR="003A7546">
        <w:rPr>
          <w:rFonts w:ascii="Cambria" w:hAnsi="Cambria"/>
          <w:sz w:val="22"/>
        </w:rPr>
        <w:t>has been</w:t>
      </w:r>
      <w:r w:rsidRPr="00845290">
        <w:rPr>
          <w:rFonts w:ascii="Cambria" w:hAnsi="Cambria"/>
          <w:sz w:val="22"/>
        </w:rPr>
        <w:t xml:space="preserve"> willing to accept that certain groups of consumers need more protection, because they are particularly vulnerable</w:t>
      </w:r>
      <w:r w:rsidRPr="00845290">
        <w:rPr>
          <w:rStyle w:val="Voetnootverwijzing"/>
          <w:rFonts w:ascii="Cambria" w:hAnsi="Cambria"/>
          <w:spacing w:val="-2"/>
          <w:sz w:val="22"/>
        </w:rPr>
        <w:footnoteReference w:id="62"/>
      </w:r>
      <w:r w:rsidRPr="00845290">
        <w:rPr>
          <w:rFonts w:ascii="Cambria" w:hAnsi="Cambria"/>
          <w:sz w:val="22"/>
        </w:rPr>
        <w:t xml:space="preserve"> or because of the sensitive nature of the activity, like gambling, where Member States </w:t>
      </w:r>
      <w:r w:rsidRPr="00845290">
        <w:rPr>
          <w:rFonts w:ascii="Cambria" w:hAnsi="Cambria"/>
          <w:spacing w:val="-2"/>
          <w:sz w:val="22"/>
        </w:rPr>
        <w:t xml:space="preserve">have an adequate degree of latitude to determine what measures are required, and the Court leaves it to the Member States </w:t>
      </w:r>
      <w:r w:rsidR="003A7546">
        <w:rPr>
          <w:rFonts w:ascii="Cambria" w:hAnsi="Cambria"/>
          <w:spacing w:val="-2"/>
          <w:sz w:val="22"/>
        </w:rPr>
        <w:t xml:space="preserve">as </w:t>
      </w:r>
      <w:r w:rsidRPr="00845290">
        <w:rPr>
          <w:rFonts w:ascii="Cambria" w:hAnsi="Cambria"/>
          <w:spacing w:val="-2"/>
          <w:sz w:val="22"/>
        </w:rPr>
        <w:t>whether less restrictive means are available.</w:t>
      </w:r>
      <w:r w:rsidRPr="00845290">
        <w:rPr>
          <w:rStyle w:val="Voetnootmarkering"/>
          <w:rFonts w:ascii="Cambria" w:hAnsi="Cambria"/>
          <w:spacing w:val="-2"/>
          <w:sz w:val="22"/>
        </w:rPr>
        <w:footnoteReference w:id="63"/>
      </w:r>
      <w:r w:rsidRPr="00845290">
        <w:rPr>
          <w:rFonts w:ascii="Cambria" w:hAnsi="Cambria"/>
          <w:spacing w:val="-2"/>
          <w:sz w:val="22"/>
        </w:rPr>
        <w:t xml:space="preserve"> In the field of public health or the environment, the Court points out that these interests are important and grants Member States </w:t>
      </w:r>
      <w:r w:rsidR="003A7546">
        <w:rPr>
          <w:rFonts w:ascii="Cambria" w:hAnsi="Cambria"/>
          <w:spacing w:val="-2"/>
          <w:sz w:val="22"/>
        </w:rPr>
        <w:t xml:space="preserve">a </w:t>
      </w:r>
      <w:r w:rsidRPr="00845290">
        <w:rPr>
          <w:rFonts w:ascii="Cambria" w:hAnsi="Cambria"/>
          <w:spacing w:val="-2"/>
          <w:sz w:val="22"/>
        </w:rPr>
        <w:t>considerable margin of discretion to pursue these interests.</w:t>
      </w:r>
      <w:r w:rsidRPr="00845290">
        <w:rPr>
          <w:rStyle w:val="Voetnootmarkering"/>
          <w:rFonts w:ascii="Cambria" w:hAnsi="Cambria"/>
          <w:spacing w:val="-2"/>
          <w:sz w:val="22"/>
        </w:rPr>
        <w:footnoteReference w:id="64"/>
      </w:r>
    </w:p>
    <w:p w:rsidR="00484BDA" w:rsidRDefault="00484BDA" w:rsidP="002A7161">
      <w:pPr>
        <w:spacing w:after="0" w:line="240" w:lineRule="auto"/>
        <w:jc w:val="both"/>
        <w:rPr>
          <w:rFonts w:ascii="Cambria" w:hAnsi="Cambria"/>
          <w:spacing w:val="-2"/>
          <w:sz w:val="22"/>
        </w:rPr>
      </w:pPr>
    </w:p>
    <w:p w:rsidR="00395043" w:rsidRPr="00395043" w:rsidRDefault="00395043" w:rsidP="00065F9B">
      <w:pPr>
        <w:spacing w:after="0" w:line="240" w:lineRule="auto"/>
        <w:jc w:val="both"/>
        <w:outlineLvl w:val="0"/>
        <w:rPr>
          <w:rFonts w:ascii="Cambria" w:hAnsi="Cambria"/>
          <w:i/>
          <w:spacing w:val="-2"/>
          <w:sz w:val="22"/>
        </w:rPr>
      </w:pPr>
      <w:r>
        <w:rPr>
          <w:rFonts w:ascii="Cambria" w:hAnsi="Cambria"/>
          <w:i/>
          <w:spacing w:val="-2"/>
          <w:sz w:val="22"/>
        </w:rPr>
        <w:t>Balancing fundamental rights with the Treaty freedoms</w:t>
      </w:r>
    </w:p>
    <w:p w:rsidR="000726D0" w:rsidRDefault="00B64CF2" w:rsidP="00B64CF2">
      <w:pPr>
        <w:spacing w:after="0" w:line="240" w:lineRule="auto"/>
        <w:jc w:val="both"/>
        <w:rPr>
          <w:rFonts w:ascii="Cambria" w:hAnsi="Cambria"/>
          <w:spacing w:val="-2"/>
          <w:sz w:val="22"/>
        </w:rPr>
      </w:pPr>
      <w:r>
        <w:rPr>
          <w:rFonts w:ascii="Cambria" w:hAnsi="Cambria"/>
          <w:spacing w:val="-2"/>
          <w:sz w:val="22"/>
        </w:rPr>
        <w:t xml:space="preserve">Before turning to the ways </w:t>
      </w:r>
      <w:r w:rsidR="000936CD">
        <w:rPr>
          <w:rFonts w:ascii="Cambria" w:hAnsi="Cambria"/>
          <w:spacing w:val="-2"/>
          <w:sz w:val="22"/>
        </w:rPr>
        <w:t xml:space="preserve">by which </w:t>
      </w:r>
      <w:r>
        <w:rPr>
          <w:rFonts w:ascii="Cambria" w:hAnsi="Cambria"/>
          <w:spacing w:val="-2"/>
          <w:sz w:val="22"/>
        </w:rPr>
        <w:t xml:space="preserve">the Court </w:t>
      </w:r>
      <w:r w:rsidR="000936CD">
        <w:rPr>
          <w:rFonts w:ascii="Cambria" w:hAnsi="Cambria"/>
          <w:spacing w:val="-2"/>
          <w:sz w:val="22"/>
        </w:rPr>
        <w:t>deals with</w:t>
      </w:r>
      <w:r>
        <w:rPr>
          <w:rFonts w:ascii="Cambria" w:hAnsi="Cambria"/>
          <w:spacing w:val="-2"/>
          <w:sz w:val="22"/>
        </w:rPr>
        <w:t xml:space="preserve"> conflicts between economic freedoms and social valu</w:t>
      </w:r>
      <w:r w:rsidR="002E608D">
        <w:rPr>
          <w:rFonts w:ascii="Cambria" w:hAnsi="Cambria"/>
          <w:spacing w:val="-2"/>
          <w:sz w:val="22"/>
        </w:rPr>
        <w:t>es like workers’ protection or social justice</w:t>
      </w:r>
      <w:r>
        <w:rPr>
          <w:rFonts w:ascii="Cambria" w:hAnsi="Cambria"/>
          <w:spacing w:val="-2"/>
          <w:sz w:val="22"/>
        </w:rPr>
        <w:t xml:space="preserve">, it must be recalled that </w:t>
      </w:r>
      <w:r w:rsidR="000726D0">
        <w:rPr>
          <w:rFonts w:ascii="Cambria" w:hAnsi="Cambria"/>
          <w:spacing w:val="-2"/>
          <w:sz w:val="22"/>
        </w:rPr>
        <w:t xml:space="preserve">one </w:t>
      </w:r>
      <w:r w:rsidR="00DA53E7">
        <w:rPr>
          <w:rFonts w:ascii="Cambria" w:hAnsi="Cambria"/>
          <w:spacing w:val="-2"/>
          <w:sz w:val="22"/>
        </w:rPr>
        <w:t xml:space="preserve">of </w:t>
      </w:r>
      <w:r w:rsidR="000726D0">
        <w:rPr>
          <w:rFonts w:ascii="Cambria" w:hAnsi="Cambria"/>
          <w:spacing w:val="-2"/>
          <w:sz w:val="22"/>
        </w:rPr>
        <w:t>the p</w:t>
      </w:r>
      <w:r w:rsidR="002E608D">
        <w:rPr>
          <w:rFonts w:ascii="Cambria" w:hAnsi="Cambria"/>
          <w:spacing w:val="-2"/>
          <w:sz w:val="22"/>
        </w:rPr>
        <w:t>illars of national social policies</w:t>
      </w:r>
      <w:r w:rsidR="000726D0">
        <w:rPr>
          <w:rFonts w:ascii="Cambria" w:hAnsi="Cambria"/>
          <w:spacing w:val="-2"/>
          <w:sz w:val="22"/>
        </w:rPr>
        <w:t xml:space="preserve"> in this field consists of the support </w:t>
      </w:r>
      <w:r w:rsidR="000936CD">
        <w:rPr>
          <w:rFonts w:ascii="Cambria" w:hAnsi="Cambria"/>
          <w:spacing w:val="-2"/>
          <w:sz w:val="22"/>
        </w:rPr>
        <w:t>for</w:t>
      </w:r>
      <w:r w:rsidR="000726D0">
        <w:rPr>
          <w:rFonts w:ascii="Cambria" w:hAnsi="Cambria"/>
          <w:spacing w:val="-2"/>
          <w:sz w:val="22"/>
        </w:rPr>
        <w:t xml:space="preserve"> industrial relation</w:t>
      </w:r>
      <w:r w:rsidR="000936CD">
        <w:rPr>
          <w:rFonts w:ascii="Cambria" w:hAnsi="Cambria"/>
          <w:spacing w:val="-2"/>
          <w:sz w:val="22"/>
        </w:rPr>
        <w:t>s</w:t>
      </w:r>
      <w:r w:rsidR="000726D0">
        <w:rPr>
          <w:rFonts w:ascii="Cambria" w:hAnsi="Cambria"/>
          <w:spacing w:val="-2"/>
          <w:sz w:val="22"/>
        </w:rPr>
        <w:t xml:space="preserve"> syste</w:t>
      </w:r>
      <w:r w:rsidR="00EE07D7">
        <w:rPr>
          <w:rFonts w:ascii="Cambria" w:hAnsi="Cambria"/>
          <w:spacing w:val="-2"/>
          <w:sz w:val="22"/>
        </w:rPr>
        <w:t>ms.</w:t>
      </w:r>
      <w:r w:rsidR="000726D0">
        <w:rPr>
          <w:rFonts w:ascii="Cambria" w:hAnsi="Cambria"/>
          <w:spacing w:val="-2"/>
          <w:sz w:val="22"/>
        </w:rPr>
        <w:t xml:space="preserve"> By rendering legal effect to instruments that allow workers to represent and defend their interests collectively</w:t>
      </w:r>
      <w:r w:rsidR="00381923">
        <w:rPr>
          <w:rFonts w:ascii="Cambria" w:hAnsi="Cambria"/>
          <w:spacing w:val="-2"/>
          <w:sz w:val="22"/>
        </w:rPr>
        <w:t xml:space="preserve">, </w:t>
      </w:r>
      <w:r w:rsidR="00613DB8">
        <w:rPr>
          <w:rFonts w:ascii="Cambria" w:hAnsi="Cambria"/>
          <w:spacing w:val="-2"/>
          <w:sz w:val="22"/>
        </w:rPr>
        <w:t xml:space="preserve">a level playing field </w:t>
      </w:r>
      <w:r w:rsidR="00381923">
        <w:rPr>
          <w:rFonts w:ascii="Cambria" w:hAnsi="Cambria"/>
          <w:spacing w:val="-2"/>
          <w:sz w:val="22"/>
        </w:rPr>
        <w:t>is established between both sides of industry when n</w:t>
      </w:r>
      <w:r w:rsidR="00EE07D7">
        <w:rPr>
          <w:rFonts w:ascii="Cambria" w:hAnsi="Cambria"/>
          <w:spacing w:val="-2"/>
          <w:sz w:val="22"/>
        </w:rPr>
        <w:t xml:space="preserve">egotiating terms of employment </w:t>
      </w:r>
      <w:r w:rsidR="00EE07D7" w:rsidRPr="00EE07D7">
        <w:rPr>
          <w:rFonts w:ascii="Cambria" w:hAnsi="Cambria"/>
          <w:spacing w:val="-2"/>
          <w:sz w:val="22"/>
        </w:rPr>
        <w:t>(supra 2.2).</w:t>
      </w:r>
      <w:r w:rsidR="00EE07D7">
        <w:rPr>
          <w:rFonts w:ascii="Cambria" w:hAnsi="Cambria"/>
          <w:spacing w:val="-2"/>
          <w:sz w:val="22"/>
        </w:rPr>
        <w:t xml:space="preserve"> </w:t>
      </w:r>
      <w:r w:rsidR="002E608D">
        <w:rPr>
          <w:rFonts w:ascii="Cambria" w:hAnsi="Cambria"/>
          <w:spacing w:val="-2"/>
          <w:sz w:val="22"/>
        </w:rPr>
        <w:t>As trade unions</w:t>
      </w:r>
      <w:r w:rsidR="003C1263">
        <w:rPr>
          <w:rFonts w:ascii="Cambria" w:hAnsi="Cambria"/>
          <w:spacing w:val="-2"/>
          <w:sz w:val="22"/>
        </w:rPr>
        <w:t>’</w:t>
      </w:r>
      <w:r w:rsidR="002E608D">
        <w:rPr>
          <w:rFonts w:ascii="Cambria" w:hAnsi="Cambria"/>
          <w:spacing w:val="-2"/>
          <w:sz w:val="22"/>
        </w:rPr>
        <w:t xml:space="preserve"> rights are</w:t>
      </w:r>
      <w:r w:rsidR="003C1263">
        <w:rPr>
          <w:rFonts w:ascii="Cambria" w:hAnsi="Cambria"/>
          <w:spacing w:val="-2"/>
          <w:sz w:val="22"/>
        </w:rPr>
        <w:t xml:space="preserve"> accorded </w:t>
      </w:r>
      <w:r w:rsidR="006634A0">
        <w:rPr>
          <w:rFonts w:ascii="Cambria" w:hAnsi="Cambria"/>
          <w:spacing w:val="-2"/>
          <w:sz w:val="22"/>
        </w:rPr>
        <w:t>fundamental status</w:t>
      </w:r>
      <w:r w:rsidR="002E608D">
        <w:rPr>
          <w:rFonts w:ascii="Cambria" w:hAnsi="Cambria"/>
          <w:spacing w:val="-2"/>
          <w:sz w:val="22"/>
        </w:rPr>
        <w:t xml:space="preserve">, it is of interest whether the </w:t>
      </w:r>
      <w:r w:rsidR="00065F9B">
        <w:rPr>
          <w:rFonts w:ascii="Cambria" w:hAnsi="Cambria"/>
          <w:spacing w:val="-2"/>
          <w:sz w:val="22"/>
        </w:rPr>
        <w:t>CJEU</w:t>
      </w:r>
      <w:r w:rsidR="002E608D">
        <w:rPr>
          <w:rFonts w:ascii="Cambria" w:hAnsi="Cambria"/>
          <w:spacing w:val="-2"/>
          <w:sz w:val="22"/>
        </w:rPr>
        <w:t xml:space="preserve"> </w:t>
      </w:r>
      <w:r w:rsidR="003E5CC5">
        <w:rPr>
          <w:rFonts w:ascii="Cambria" w:hAnsi="Cambria"/>
          <w:spacing w:val="-2"/>
          <w:sz w:val="22"/>
        </w:rPr>
        <w:t xml:space="preserve">in general </w:t>
      </w:r>
      <w:r w:rsidR="002E608D">
        <w:rPr>
          <w:rFonts w:ascii="Cambria" w:hAnsi="Cambria"/>
          <w:spacing w:val="-2"/>
          <w:sz w:val="22"/>
        </w:rPr>
        <w:t xml:space="preserve">balances </w:t>
      </w:r>
      <w:r w:rsidR="003C1263">
        <w:rPr>
          <w:rFonts w:ascii="Cambria" w:hAnsi="Cambria"/>
          <w:spacing w:val="-2"/>
          <w:sz w:val="22"/>
        </w:rPr>
        <w:t xml:space="preserve">the protection of </w:t>
      </w:r>
      <w:r w:rsidR="00DA53E7">
        <w:rPr>
          <w:rFonts w:ascii="Cambria" w:hAnsi="Cambria"/>
          <w:spacing w:val="-2"/>
          <w:sz w:val="22"/>
        </w:rPr>
        <w:t xml:space="preserve">human </w:t>
      </w:r>
      <w:r w:rsidR="002E608D">
        <w:rPr>
          <w:rFonts w:ascii="Cambria" w:hAnsi="Cambria"/>
          <w:spacing w:val="-2"/>
          <w:sz w:val="22"/>
        </w:rPr>
        <w:t xml:space="preserve">rights </w:t>
      </w:r>
      <w:r w:rsidR="003E5CC5" w:rsidRPr="003E5CC5">
        <w:rPr>
          <w:rFonts w:ascii="Cambria" w:hAnsi="Cambria"/>
          <w:spacing w:val="-2"/>
          <w:sz w:val="22"/>
        </w:rPr>
        <w:t>against</w:t>
      </w:r>
      <w:r w:rsidR="00DA53E7">
        <w:rPr>
          <w:rFonts w:ascii="Cambria" w:hAnsi="Cambria"/>
          <w:spacing w:val="-2"/>
          <w:sz w:val="22"/>
        </w:rPr>
        <w:t xml:space="preserve"> the Treaty</w:t>
      </w:r>
      <w:r w:rsidR="003E5CC5" w:rsidRPr="003E5CC5">
        <w:rPr>
          <w:rFonts w:ascii="Cambria" w:hAnsi="Cambria"/>
          <w:spacing w:val="-2"/>
          <w:sz w:val="22"/>
        </w:rPr>
        <w:t xml:space="preserve"> freedo</w:t>
      </w:r>
      <w:r w:rsidR="003E5CC5">
        <w:rPr>
          <w:rFonts w:ascii="Cambria" w:hAnsi="Cambria"/>
          <w:spacing w:val="-2"/>
          <w:sz w:val="22"/>
        </w:rPr>
        <w:t xml:space="preserve">ms </w:t>
      </w:r>
      <w:r w:rsidR="002E608D">
        <w:rPr>
          <w:rFonts w:ascii="Cambria" w:hAnsi="Cambria"/>
          <w:spacing w:val="-2"/>
          <w:sz w:val="22"/>
        </w:rPr>
        <w:t>differently</w:t>
      </w:r>
      <w:r w:rsidR="00EE07D7">
        <w:rPr>
          <w:rFonts w:ascii="Cambria" w:hAnsi="Cambria"/>
          <w:spacing w:val="-2"/>
          <w:sz w:val="22"/>
        </w:rPr>
        <w:t xml:space="preserve"> from </w:t>
      </w:r>
      <w:r w:rsidR="003E5CC5">
        <w:rPr>
          <w:rFonts w:ascii="Cambria" w:hAnsi="Cambria"/>
          <w:spacing w:val="-2"/>
          <w:sz w:val="22"/>
        </w:rPr>
        <w:t>other public interests.</w:t>
      </w:r>
    </w:p>
    <w:p w:rsidR="00794E77" w:rsidRPr="007A1829" w:rsidRDefault="000936CD" w:rsidP="00794E77">
      <w:pPr>
        <w:spacing w:after="0" w:line="240" w:lineRule="auto"/>
        <w:jc w:val="both"/>
        <w:rPr>
          <w:rFonts w:ascii="Cambria" w:hAnsi="Cambria"/>
          <w:sz w:val="22"/>
        </w:rPr>
      </w:pPr>
      <w:r>
        <w:rPr>
          <w:rFonts w:ascii="Cambria" w:hAnsi="Cambria"/>
          <w:sz w:val="22"/>
        </w:rPr>
        <w:t>On</w:t>
      </w:r>
      <w:r w:rsidR="00DA53E7">
        <w:rPr>
          <w:rFonts w:ascii="Cambria" w:hAnsi="Cambria"/>
          <w:sz w:val="22"/>
        </w:rPr>
        <w:t xml:space="preserve"> the face of it, </w:t>
      </w:r>
      <w:r w:rsidR="00395043">
        <w:rPr>
          <w:rFonts w:ascii="Cambria" w:hAnsi="Cambria"/>
          <w:sz w:val="22"/>
        </w:rPr>
        <w:t xml:space="preserve">the Court follows the </w:t>
      </w:r>
      <w:r w:rsidR="00EE07D7" w:rsidRPr="00CA4173">
        <w:rPr>
          <w:rFonts w:ascii="Cambria" w:hAnsi="Cambria"/>
          <w:spacing w:val="-2"/>
          <w:sz w:val="22"/>
        </w:rPr>
        <w:t>same approach</w:t>
      </w:r>
      <w:r w:rsidR="007A1829">
        <w:rPr>
          <w:rFonts w:ascii="Cambria" w:hAnsi="Cambria"/>
          <w:spacing w:val="-2"/>
          <w:sz w:val="22"/>
        </w:rPr>
        <w:t>. T</w:t>
      </w:r>
      <w:r w:rsidR="007A1829" w:rsidRPr="007A1829">
        <w:rPr>
          <w:rFonts w:ascii="Cambria" w:hAnsi="Cambria"/>
          <w:spacing w:val="-2"/>
          <w:sz w:val="22"/>
        </w:rPr>
        <w:t xml:space="preserve">he protection of fundamental rights in cases where a conflict with </w:t>
      </w:r>
      <w:r w:rsidR="008B743A">
        <w:rPr>
          <w:rFonts w:ascii="Cambria" w:hAnsi="Cambria"/>
          <w:spacing w:val="-2"/>
          <w:sz w:val="22"/>
        </w:rPr>
        <w:t xml:space="preserve">economic </w:t>
      </w:r>
      <w:r w:rsidR="007A1829" w:rsidRPr="007A1829">
        <w:rPr>
          <w:rFonts w:ascii="Cambria" w:hAnsi="Cambria"/>
          <w:spacing w:val="-2"/>
          <w:sz w:val="22"/>
        </w:rPr>
        <w:t xml:space="preserve">freedoms arises, </w:t>
      </w:r>
      <w:r w:rsidR="007A1829">
        <w:rPr>
          <w:rFonts w:ascii="Cambria" w:hAnsi="Cambria"/>
          <w:spacing w:val="-2"/>
          <w:sz w:val="22"/>
        </w:rPr>
        <w:t xml:space="preserve">therefore, </w:t>
      </w:r>
      <w:r w:rsidR="007A1829" w:rsidRPr="007A1829">
        <w:rPr>
          <w:rFonts w:ascii="Cambria" w:hAnsi="Cambria"/>
          <w:spacing w:val="-2"/>
          <w:sz w:val="22"/>
        </w:rPr>
        <w:t xml:space="preserve">must be </w:t>
      </w:r>
      <w:r w:rsidR="007A1829" w:rsidRPr="007A1829">
        <w:rPr>
          <w:rFonts w:ascii="Cambria" w:hAnsi="Cambria"/>
          <w:i/>
          <w:iCs/>
          <w:spacing w:val="-2"/>
          <w:sz w:val="22"/>
        </w:rPr>
        <w:t>justified</w:t>
      </w:r>
      <w:r w:rsidR="007A1829" w:rsidRPr="007A1829">
        <w:rPr>
          <w:rFonts w:ascii="Cambria" w:hAnsi="Cambria"/>
          <w:spacing w:val="-2"/>
          <w:sz w:val="22"/>
        </w:rPr>
        <w:t xml:space="preserve"> in the light of the economic freedoms</w:t>
      </w:r>
      <w:r w:rsidR="007A1829">
        <w:rPr>
          <w:rFonts w:ascii="Cambria" w:hAnsi="Cambria"/>
          <w:spacing w:val="-2"/>
          <w:sz w:val="22"/>
        </w:rPr>
        <w:t>.</w:t>
      </w:r>
      <w:r w:rsidR="007A1829">
        <w:rPr>
          <w:rFonts w:ascii="Cambria" w:hAnsi="Cambria"/>
          <w:sz w:val="22"/>
        </w:rPr>
        <w:t xml:space="preserve"> </w:t>
      </w:r>
      <w:r w:rsidR="00613DB8" w:rsidRPr="00613DB8">
        <w:rPr>
          <w:rFonts w:ascii="Cambria" w:hAnsi="Cambria"/>
          <w:sz w:val="22"/>
        </w:rPr>
        <w:t>As Brown observed: ‘the language of prima facie breach of economic rights suggests that it remains something which is at the heart wrong, but tolerated, which sits rather uneasily with the State’s paramount constitutional obligation to protect human rights’.</w:t>
      </w:r>
      <w:r w:rsidR="00613DB8" w:rsidRPr="00613DB8">
        <w:rPr>
          <w:rFonts w:ascii="Cambria" w:hAnsi="Cambria"/>
          <w:sz w:val="22"/>
          <w:vertAlign w:val="superscript"/>
        </w:rPr>
        <w:footnoteReference w:id="65"/>
      </w:r>
      <w:r w:rsidR="008A6A5A">
        <w:rPr>
          <w:rFonts w:ascii="Cambria" w:hAnsi="Cambria"/>
          <w:sz w:val="22"/>
        </w:rPr>
        <w:t xml:space="preserve"> </w:t>
      </w:r>
      <w:r w:rsidR="00845290" w:rsidRPr="00845290">
        <w:rPr>
          <w:rFonts w:ascii="Cambria" w:hAnsi="Cambria"/>
          <w:sz w:val="22"/>
        </w:rPr>
        <w:t>The first step for the Court was to consider fundamental rights as</w:t>
      </w:r>
      <w:r>
        <w:rPr>
          <w:rFonts w:ascii="Cambria" w:hAnsi="Cambria"/>
          <w:sz w:val="22"/>
        </w:rPr>
        <w:t xml:space="preserve"> an</w:t>
      </w:r>
      <w:r w:rsidR="00845290" w:rsidRPr="00845290">
        <w:rPr>
          <w:rFonts w:ascii="Cambria" w:hAnsi="Cambria"/>
          <w:sz w:val="22"/>
        </w:rPr>
        <w:t xml:space="preserve"> exception, or</w:t>
      </w:r>
      <w:r>
        <w:rPr>
          <w:rFonts w:ascii="Cambria" w:hAnsi="Cambria"/>
          <w:sz w:val="22"/>
        </w:rPr>
        <w:t xml:space="preserve"> a</w:t>
      </w:r>
      <w:r w:rsidR="00845290" w:rsidRPr="00845290">
        <w:rPr>
          <w:rFonts w:ascii="Cambria" w:hAnsi="Cambria"/>
          <w:sz w:val="22"/>
        </w:rPr>
        <w:t xml:space="preserve"> mandatory requirement. In </w:t>
      </w:r>
      <w:r w:rsidR="00395043">
        <w:rPr>
          <w:rFonts w:ascii="Cambria" w:hAnsi="Cambria"/>
          <w:sz w:val="22"/>
        </w:rPr>
        <w:t xml:space="preserve">the case of </w:t>
      </w:r>
      <w:r w:rsidR="00845290" w:rsidRPr="00845290">
        <w:rPr>
          <w:rFonts w:ascii="Cambria" w:hAnsi="Cambria"/>
          <w:i/>
          <w:iCs/>
          <w:sz w:val="22"/>
        </w:rPr>
        <w:t xml:space="preserve">Schmidberger </w:t>
      </w:r>
      <w:r w:rsidR="00845290" w:rsidRPr="00845290">
        <w:rPr>
          <w:rFonts w:ascii="Cambria" w:hAnsi="Cambria"/>
          <w:sz w:val="22"/>
        </w:rPr>
        <w:t xml:space="preserve">the Court seemed to regard fundamental rights as a self-standing category of </w:t>
      </w:r>
      <w:r>
        <w:rPr>
          <w:rFonts w:ascii="Cambria" w:hAnsi="Cambria"/>
          <w:sz w:val="22"/>
        </w:rPr>
        <w:t xml:space="preserve">grounds for an </w:t>
      </w:r>
      <w:r w:rsidR="00845290" w:rsidRPr="00845290">
        <w:rPr>
          <w:rFonts w:ascii="Cambria" w:hAnsi="Cambria"/>
          <w:sz w:val="22"/>
        </w:rPr>
        <w:t>exception.</w:t>
      </w:r>
      <w:bookmarkStart w:id="10" w:name="_Ref420509047"/>
      <w:r w:rsidR="00845290" w:rsidRPr="00845290">
        <w:rPr>
          <w:rStyle w:val="Voetnootmarkering"/>
          <w:rFonts w:ascii="Cambria" w:hAnsi="Cambria" w:cs="Garamond"/>
          <w:sz w:val="22"/>
        </w:rPr>
        <w:footnoteReference w:id="66"/>
      </w:r>
      <w:bookmarkEnd w:id="10"/>
      <w:r w:rsidR="00845290" w:rsidRPr="00845290">
        <w:rPr>
          <w:rFonts w:ascii="Cambria" w:hAnsi="Cambria"/>
          <w:sz w:val="22"/>
        </w:rPr>
        <w:t xml:space="preserve"> In</w:t>
      </w:r>
      <w:r w:rsidR="00845290" w:rsidRPr="00845290">
        <w:rPr>
          <w:rFonts w:ascii="Cambria" w:hAnsi="Cambria"/>
          <w:i/>
          <w:iCs/>
          <w:sz w:val="22"/>
        </w:rPr>
        <w:t xml:space="preserve"> Omega </w:t>
      </w:r>
      <w:r w:rsidR="00845290" w:rsidRPr="00845290">
        <w:rPr>
          <w:rFonts w:ascii="Cambria" w:hAnsi="Cambria"/>
          <w:sz w:val="22"/>
        </w:rPr>
        <w:t xml:space="preserve">and </w:t>
      </w:r>
      <w:proofErr w:type="spellStart"/>
      <w:r w:rsidR="00845290" w:rsidRPr="00845290">
        <w:rPr>
          <w:rFonts w:ascii="Cambria" w:hAnsi="Cambria"/>
          <w:i/>
          <w:iCs/>
          <w:sz w:val="22"/>
        </w:rPr>
        <w:t>Sayn</w:t>
      </w:r>
      <w:proofErr w:type="spellEnd"/>
      <w:r w:rsidR="00845290" w:rsidRPr="00845290">
        <w:rPr>
          <w:rFonts w:ascii="Cambria" w:hAnsi="Cambria"/>
          <w:i/>
          <w:iCs/>
          <w:sz w:val="22"/>
        </w:rPr>
        <w:t xml:space="preserve">-Wittgenstein </w:t>
      </w:r>
      <w:r w:rsidR="00845290" w:rsidRPr="00845290">
        <w:rPr>
          <w:rFonts w:ascii="Cambria" w:hAnsi="Cambria"/>
          <w:sz w:val="22"/>
        </w:rPr>
        <w:t>the Court refer</w:t>
      </w:r>
      <w:r>
        <w:rPr>
          <w:rFonts w:ascii="Cambria" w:hAnsi="Cambria"/>
          <w:sz w:val="22"/>
        </w:rPr>
        <w:t>red</w:t>
      </w:r>
      <w:r w:rsidR="00845290" w:rsidRPr="00845290">
        <w:rPr>
          <w:rFonts w:ascii="Cambria" w:hAnsi="Cambria"/>
          <w:sz w:val="22"/>
        </w:rPr>
        <w:t xml:space="preserve"> to the concept of public policy, which, though strictly interpreted, could be applied in these cases where Member States enjoy a wide margin of discretion to protect fundamental rights, which have a particularly national constitutional dimension.</w:t>
      </w:r>
      <w:bookmarkStart w:id="11" w:name="_Ref420509098"/>
      <w:r w:rsidR="00845290" w:rsidRPr="00845290">
        <w:rPr>
          <w:rStyle w:val="Voetnootmarkering"/>
          <w:rFonts w:ascii="Cambria" w:hAnsi="Cambria" w:cs="Garamond"/>
          <w:sz w:val="22"/>
        </w:rPr>
        <w:footnoteReference w:id="67"/>
      </w:r>
      <w:bookmarkEnd w:id="11"/>
      <w:r w:rsidR="00845290" w:rsidRPr="00845290">
        <w:rPr>
          <w:rFonts w:ascii="Cambria" w:hAnsi="Cambria"/>
          <w:sz w:val="22"/>
        </w:rPr>
        <w:t xml:space="preserve"> In</w:t>
      </w:r>
      <w:r w:rsidR="00395043">
        <w:rPr>
          <w:rFonts w:ascii="Cambria" w:hAnsi="Cambria"/>
          <w:sz w:val="22"/>
        </w:rPr>
        <w:t xml:space="preserve"> the</w:t>
      </w:r>
      <w:r w:rsidR="00845290" w:rsidRPr="00845290">
        <w:rPr>
          <w:rFonts w:ascii="Cambria" w:hAnsi="Cambria"/>
          <w:sz w:val="22"/>
        </w:rPr>
        <w:t xml:space="preserve"> </w:t>
      </w:r>
      <w:r w:rsidR="00845290" w:rsidRPr="00845290">
        <w:rPr>
          <w:rFonts w:ascii="Cambria" w:hAnsi="Cambria"/>
          <w:i/>
          <w:iCs/>
          <w:sz w:val="22"/>
        </w:rPr>
        <w:t xml:space="preserve">Dynamic Medien </w:t>
      </w:r>
      <w:r w:rsidR="00395043">
        <w:rPr>
          <w:rFonts w:ascii="Cambria" w:hAnsi="Cambria"/>
          <w:iCs/>
          <w:sz w:val="22"/>
        </w:rPr>
        <w:t xml:space="preserve">case </w:t>
      </w:r>
      <w:r w:rsidR="00845290" w:rsidRPr="00845290">
        <w:rPr>
          <w:rFonts w:ascii="Cambria" w:hAnsi="Cambria"/>
          <w:sz w:val="22"/>
        </w:rPr>
        <w:t>the Court classified the protection of the child as a legitimate interest, which must meet the proportionality requirement.</w:t>
      </w:r>
      <w:r w:rsidR="00845290" w:rsidRPr="00845290">
        <w:rPr>
          <w:rStyle w:val="Voetnootmarkering"/>
          <w:rFonts w:ascii="Cambria" w:hAnsi="Cambria" w:cs="Garamond"/>
          <w:sz w:val="22"/>
        </w:rPr>
        <w:footnoteReference w:id="68"/>
      </w:r>
    </w:p>
    <w:p w:rsidR="009E3942" w:rsidRDefault="00374A0C" w:rsidP="00B311FB">
      <w:pPr>
        <w:spacing w:after="0" w:line="240" w:lineRule="auto"/>
        <w:jc w:val="both"/>
        <w:rPr>
          <w:rFonts w:ascii="Cambria" w:hAnsi="Cambria"/>
          <w:sz w:val="22"/>
        </w:rPr>
      </w:pPr>
      <w:r>
        <w:rPr>
          <w:rFonts w:ascii="Cambria" w:hAnsi="Cambria"/>
          <w:sz w:val="22"/>
        </w:rPr>
        <w:t>In</w:t>
      </w:r>
      <w:r w:rsidR="00845290" w:rsidRPr="00845290">
        <w:rPr>
          <w:rFonts w:ascii="Cambria" w:hAnsi="Cambria"/>
          <w:sz w:val="22"/>
        </w:rPr>
        <w:t xml:space="preserve"> balancing conflicting fundamental rights and economic freedoms, </w:t>
      </w:r>
      <w:r>
        <w:rPr>
          <w:rFonts w:ascii="Cambria" w:hAnsi="Cambria"/>
          <w:sz w:val="22"/>
        </w:rPr>
        <w:t>the Court</w:t>
      </w:r>
      <w:r w:rsidR="00845290" w:rsidRPr="00845290">
        <w:rPr>
          <w:rFonts w:ascii="Cambria" w:hAnsi="Cambria"/>
          <w:sz w:val="22"/>
        </w:rPr>
        <w:t xml:space="preserve"> has</w:t>
      </w:r>
      <w:r>
        <w:rPr>
          <w:rFonts w:ascii="Cambria" w:hAnsi="Cambria"/>
          <w:sz w:val="22"/>
        </w:rPr>
        <w:t>, similar to its case law on mandatory requirements,</w:t>
      </w:r>
      <w:r w:rsidR="00845290" w:rsidRPr="00845290">
        <w:rPr>
          <w:rFonts w:ascii="Cambria" w:hAnsi="Cambria"/>
          <w:sz w:val="22"/>
        </w:rPr>
        <w:t xml:space="preserve"> favoured the use of a proportionality test</w:t>
      </w:r>
      <w:r>
        <w:rPr>
          <w:rFonts w:ascii="Cambria" w:hAnsi="Cambria"/>
          <w:sz w:val="22"/>
        </w:rPr>
        <w:t>,</w:t>
      </w:r>
      <w:r w:rsidR="00845290" w:rsidRPr="00845290">
        <w:rPr>
          <w:rFonts w:ascii="Cambria" w:hAnsi="Cambria"/>
          <w:sz w:val="22"/>
        </w:rPr>
        <w:t xml:space="preserve"> but is </w:t>
      </w:r>
      <w:r w:rsidR="00845290" w:rsidRPr="00845290">
        <w:rPr>
          <w:rFonts w:ascii="Cambria" w:hAnsi="Cambria"/>
          <w:i/>
          <w:iCs/>
          <w:sz w:val="22"/>
        </w:rPr>
        <w:t xml:space="preserve">struggling </w:t>
      </w:r>
      <w:r w:rsidR="00845290" w:rsidRPr="00845290">
        <w:rPr>
          <w:rFonts w:ascii="Cambria" w:hAnsi="Cambria"/>
          <w:sz w:val="22"/>
        </w:rPr>
        <w:t xml:space="preserve">to find the </w:t>
      </w:r>
      <w:r>
        <w:rPr>
          <w:rFonts w:ascii="Cambria" w:hAnsi="Cambria"/>
          <w:sz w:val="22"/>
        </w:rPr>
        <w:t>‘</w:t>
      </w:r>
      <w:r w:rsidR="00845290" w:rsidRPr="00845290">
        <w:rPr>
          <w:rFonts w:ascii="Cambria" w:hAnsi="Cambria"/>
          <w:sz w:val="22"/>
        </w:rPr>
        <w:t>right</w:t>
      </w:r>
      <w:r>
        <w:rPr>
          <w:rFonts w:ascii="Cambria" w:hAnsi="Cambria"/>
          <w:sz w:val="22"/>
        </w:rPr>
        <w:t>’</w:t>
      </w:r>
      <w:r w:rsidR="00845290" w:rsidRPr="00845290">
        <w:rPr>
          <w:rFonts w:ascii="Cambria" w:hAnsi="Cambria"/>
          <w:sz w:val="22"/>
        </w:rPr>
        <w:t xml:space="preserve"> test. The </w:t>
      </w:r>
      <w:r w:rsidR="00845290" w:rsidRPr="00845290">
        <w:rPr>
          <w:rFonts w:ascii="Cambria" w:hAnsi="Cambria"/>
          <w:i/>
          <w:iCs/>
          <w:sz w:val="22"/>
        </w:rPr>
        <w:t xml:space="preserve">Omega </w:t>
      </w:r>
      <w:r w:rsidR="00845290" w:rsidRPr="00845290">
        <w:rPr>
          <w:rFonts w:ascii="Cambria" w:hAnsi="Cambria"/>
          <w:sz w:val="22"/>
        </w:rPr>
        <w:t xml:space="preserve">case concerned a restriction on the free movement </w:t>
      </w:r>
      <w:r w:rsidR="00845290" w:rsidRPr="00845290">
        <w:rPr>
          <w:rFonts w:ascii="Cambria" w:hAnsi="Cambria"/>
          <w:sz w:val="22"/>
        </w:rPr>
        <w:lastRenderedPageBreak/>
        <w:t xml:space="preserve">of services by means of a German measure prohibiting laser games as these games were considered to constitute a danger to public order. </w:t>
      </w:r>
      <w:r w:rsidR="00EB4194">
        <w:rPr>
          <w:rFonts w:ascii="Cambria" w:hAnsi="Cambria"/>
          <w:sz w:val="22"/>
        </w:rPr>
        <w:t xml:space="preserve">The Court held that the free movement of services was affected but could be justified. According to the Court it was clear that the commercial exploitation of games involving the simulated killing of human beings infringed a fundamental value enshrined in the German </w:t>
      </w:r>
      <w:r w:rsidR="000936CD">
        <w:rPr>
          <w:rFonts w:ascii="Cambria" w:hAnsi="Cambria"/>
          <w:sz w:val="22"/>
        </w:rPr>
        <w:t>C</w:t>
      </w:r>
      <w:r w:rsidR="00EB4194">
        <w:rPr>
          <w:rFonts w:ascii="Cambria" w:hAnsi="Cambria"/>
          <w:sz w:val="22"/>
        </w:rPr>
        <w:t xml:space="preserve">onstitution, namely human dignity. The Court held that the ‘Community legal order undeniably strives to ensure respect for human dignity as a general principle of law’ and that it is immaterial that in Germany respect for human dignity has a particular status as an independent fundamental right. </w:t>
      </w:r>
      <w:r w:rsidR="00845290" w:rsidRPr="00845290">
        <w:rPr>
          <w:rFonts w:ascii="Cambria" w:hAnsi="Cambria"/>
          <w:sz w:val="22"/>
        </w:rPr>
        <w:t xml:space="preserve">The Court </w:t>
      </w:r>
      <w:r w:rsidR="000936CD">
        <w:rPr>
          <w:rFonts w:ascii="Cambria" w:hAnsi="Cambria"/>
          <w:sz w:val="22"/>
        </w:rPr>
        <w:t>did</w:t>
      </w:r>
      <w:r w:rsidR="00845290" w:rsidRPr="00845290">
        <w:rPr>
          <w:rFonts w:ascii="Cambria" w:hAnsi="Cambria"/>
          <w:sz w:val="22"/>
        </w:rPr>
        <w:t xml:space="preserve"> not only limit its proportionality review of the German ban on laser games to the first element, suitability, we </w:t>
      </w:r>
      <w:r w:rsidR="000936CD">
        <w:rPr>
          <w:rFonts w:ascii="Cambria" w:hAnsi="Cambria"/>
          <w:sz w:val="22"/>
        </w:rPr>
        <w:t xml:space="preserve">can </w:t>
      </w:r>
      <w:r w:rsidR="00845290" w:rsidRPr="00845290">
        <w:rPr>
          <w:rFonts w:ascii="Cambria" w:hAnsi="Cambria"/>
          <w:sz w:val="22"/>
        </w:rPr>
        <w:t>also discern a rather state</w:t>
      </w:r>
      <w:r w:rsidR="000936CD">
        <w:rPr>
          <w:rFonts w:ascii="Cambria" w:hAnsi="Cambria"/>
          <w:sz w:val="22"/>
        </w:rPr>
        <w:t>-</w:t>
      </w:r>
      <w:r w:rsidR="00845290" w:rsidRPr="00845290">
        <w:rPr>
          <w:rFonts w:ascii="Cambria" w:hAnsi="Cambria"/>
          <w:sz w:val="22"/>
        </w:rPr>
        <w:t>centric approach by the Court, accepting a German p</w:t>
      </w:r>
      <w:r w:rsidR="007A1829">
        <w:rPr>
          <w:rFonts w:ascii="Cambria" w:hAnsi="Cambria"/>
          <w:sz w:val="22"/>
        </w:rPr>
        <w:t xml:space="preserve">articularity of human dignity. </w:t>
      </w:r>
      <w:r w:rsidR="00845290" w:rsidRPr="00845290">
        <w:rPr>
          <w:rFonts w:ascii="Cambria" w:hAnsi="Cambria"/>
          <w:sz w:val="22"/>
        </w:rPr>
        <w:t xml:space="preserve">In the United Kingdom and many other states these laser games are lawful. It has been argued after </w:t>
      </w:r>
      <w:r w:rsidR="00845290" w:rsidRPr="00845290">
        <w:rPr>
          <w:rFonts w:ascii="Cambria" w:hAnsi="Cambria"/>
          <w:i/>
          <w:iCs/>
          <w:sz w:val="22"/>
        </w:rPr>
        <w:t>Omega</w:t>
      </w:r>
      <w:r w:rsidR="00845290" w:rsidRPr="00845290">
        <w:rPr>
          <w:rFonts w:ascii="Cambria" w:hAnsi="Cambria"/>
          <w:sz w:val="22"/>
        </w:rPr>
        <w:t xml:space="preserve"> that this decision of the Court is illustrative </w:t>
      </w:r>
      <w:r w:rsidR="000936CD">
        <w:rPr>
          <w:rFonts w:ascii="Cambria" w:hAnsi="Cambria"/>
          <w:sz w:val="22"/>
        </w:rPr>
        <w:t>of</w:t>
      </w:r>
      <w:r w:rsidR="00845290" w:rsidRPr="00845290">
        <w:rPr>
          <w:rFonts w:ascii="Cambria" w:hAnsi="Cambria"/>
          <w:sz w:val="22"/>
        </w:rPr>
        <w:t xml:space="preserve"> the judicial deference in sensitive areas of national constitutional law</w:t>
      </w:r>
      <w:r w:rsidR="002026F3">
        <w:rPr>
          <w:rFonts w:ascii="Cambria" w:hAnsi="Cambria"/>
          <w:sz w:val="22"/>
        </w:rPr>
        <w:t>,</w:t>
      </w:r>
      <w:r w:rsidR="00845290" w:rsidRPr="00845290">
        <w:rPr>
          <w:rFonts w:ascii="Cambria" w:hAnsi="Cambria"/>
          <w:sz w:val="22"/>
        </w:rPr>
        <w:t xml:space="preserve"> which lie outside a nucleus of shared values and where the </w:t>
      </w:r>
      <w:r w:rsidR="00395043">
        <w:rPr>
          <w:rFonts w:ascii="Cambria" w:hAnsi="Cambria"/>
          <w:sz w:val="22"/>
        </w:rPr>
        <w:t xml:space="preserve">CJEU </w:t>
      </w:r>
      <w:r w:rsidR="00845290" w:rsidRPr="00845290">
        <w:rPr>
          <w:rFonts w:ascii="Cambria" w:hAnsi="Cambria"/>
          <w:sz w:val="22"/>
        </w:rPr>
        <w:t>should respect constitutional pluralism.</w:t>
      </w:r>
      <w:r w:rsidR="00845290" w:rsidRPr="00845290">
        <w:rPr>
          <w:rStyle w:val="Voetnootmarkering"/>
          <w:rFonts w:ascii="Cambria" w:hAnsi="Cambria" w:cs="Garamond"/>
          <w:sz w:val="22"/>
        </w:rPr>
        <w:footnoteReference w:id="69"/>
      </w:r>
      <w:r w:rsidR="00845290" w:rsidRPr="00845290">
        <w:rPr>
          <w:rFonts w:ascii="Cambria" w:hAnsi="Cambria"/>
          <w:sz w:val="22"/>
        </w:rPr>
        <w:t xml:space="preserve"> Hence, the </w:t>
      </w:r>
      <w:r w:rsidR="00395043">
        <w:rPr>
          <w:rFonts w:ascii="Cambria" w:hAnsi="Cambria"/>
          <w:sz w:val="22"/>
        </w:rPr>
        <w:t>CJEU</w:t>
      </w:r>
      <w:r w:rsidR="00845290" w:rsidRPr="00845290">
        <w:rPr>
          <w:rFonts w:ascii="Cambria" w:hAnsi="Cambria"/>
          <w:sz w:val="22"/>
        </w:rPr>
        <w:t xml:space="preserve"> did not wish to impose a common legal conception of human dignity on the Member States. The ‘soft’ application of the proportionality test employed by the Court allowed the national court to protect a national constitutional standard vis-à-vis the EU interest of free movement. This is referred to as the ‘integration model based on value diversity which views national constitutional standards not as being in a competitive relationship with the economic objectives of the Union but as forming part of its polity’.</w:t>
      </w:r>
      <w:bookmarkStart w:id="12" w:name="_Ref420513882"/>
      <w:r w:rsidR="00845290" w:rsidRPr="00845290">
        <w:rPr>
          <w:rStyle w:val="Voetnootmarkering"/>
          <w:rFonts w:ascii="Cambria" w:hAnsi="Cambria" w:cs="Garamond"/>
          <w:sz w:val="22"/>
        </w:rPr>
        <w:footnoteReference w:id="70"/>
      </w:r>
      <w:bookmarkEnd w:id="12"/>
      <w:r w:rsidR="00845290" w:rsidRPr="00845290">
        <w:rPr>
          <w:rFonts w:ascii="Cambria" w:hAnsi="Cambria"/>
          <w:sz w:val="22"/>
        </w:rPr>
        <w:t xml:space="preserve"> </w:t>
      </w:r>
    </w:p>
    <w:p w:rsidR="00883A97" w:rsidRPr="00B311FB" w:rsidRDefault="00845290" w:rsidP="00B311FB">
      <w:pPr>
        <w:spacing w:after="0" w:line="240" w:lineRule="auto"/>
        <w:jc w:val="both"/>
        <w:rPr>
          <w:rFonts w:ascii="Cambria" w:hAnsi="Cambria" w:cs="Times New Roman"/>
          <w:sz w:val="22"/>
          <w:lang w:val="en-US"/>
        </w:rPr>
      </w:pPr>
      <w:r w:rsidRPr="00845290">
        <w:rPr>
          <w:rFonts w:ascii="Cambria" w:hAnsi="Cambria"/>
          <w:sz w:val="22"/>
        </w:rPr>
        <w:t xml:space="preserve">This approach was endorsed by the Court in the case of </w:t>
      </w:r>
      <w:r w:rsidRPr="00845290">
        <w:rPr>
          <w:rFonts w:ascii="Cambria" w:hAnsi="Cambria"/>
          <w:i/>
          <w:iCs/>
          <w:sz w:val="22"/>
        </w:rPr>
        <w:t>Sayn-Wittgenstein</w:t>
      </w:r>
      <w:r w:rsidRPr="00845290">
        <w:rPr>
          <w:rFonts w:ascii="Cambria" w:hAnsi="Cambria"/>
          <w:sz w:val="22"/>
        </w:rPr>
        <w:t>, which concerned an Austrian law prohibiting the use of noble titles. Here the Court fascinatingly also referred to Article 4(2) TEU by stating that ‘in accordance with Article 4(2) TEU, the European Union is to respect the national identities of its Member States, which include the status of the State as a Republic’.</w:t>
      </w:r>
      <w:r w:rsidRPr="00845290">
        <w:rPr>
          <w:rStyle w:val="Voetnootmarkering"/>
          <w:rFonts w:ascii="Cambria" w:hAnsi="Cambria" w:cs="Garamond"/>
          <w:sz w:val="22"/>
        </w:rPr>
        <w:footnoteReference w:id="71"/>
      </w:r>
      <w:r w:rsidRPr="00845290">
        <w:rPr>
          <w:rFonts w:ascii="Cambria" w:hAnsi="Cambria"/>
          <w:sz w:val="22"/>
        </w:rPr>
        <w:t xml:space="preserve"> By referring to Article 4(2) TEU, the </w:t>
      </w:r>
      <w:r w:rsidR="00065F9B">
        <w:rPr>
          <w:rFonts w:ascii="Cambria" w:hAnsi="Cambria"/>
          <w:sz w:val="22"/>
        </w:rPr>
        <w:t>CJEU</w:t>
      </w:r>
      <w:r w:rsidRPr="00845290">
        <w:rPr>
          <w:rFonts w:ascii="Cambria" w:hAnsi="Cambria"/>
          <w:sz w:val="22"/>
        </w:rPr>
        <w:t xml:space="preserve"> on the one hand embrace</w:t>
      </w:r>
      <w:r w:rsidR="000936CD">
        <w:rPr>
          <w:rFonts w:ascii="Cambria" w:hAnsi="Cambria"/>
          <w:sz w:val="22"/>
        </w:rPr>
        <w:t>d</w:t>
      </w:r>
      <w:r w:rsidRPr="00845290">
        <w:rPr>
          <w:rFonts w:ascii="Cambria" w:hAnsi="Cambria"/>
          <w:sz w:val="22"/>
        </w:rPr>
        <w:t xml:space="preserve"> the idea that Member States have considerable leeway in protecting their national constitutional space and identity, yet on the other that national identity is subject to a balancing approach where tensions arise with the economic freedoms.</w:t>
      </w:r>
      <w:r w:rsidRPr="00845290">
        <w:rPr>
          <w:rStyle w:val="Voetnootmarkering"/>
          <w:rFonts w:ascii="Cambria" w:hAnsi="Cambria" w:cs="Garamond"/>
          <w:sz w:val="22"/>
        </w:rPr>
        <w:footnoteReference w:id="72"/>
      </w:r>
    </w:p>
    <w:p w:rsidR="00037FB4" w:rsidRDefault="00845290" w:rsidP="00037FB4">
      <w:pPr>
        <w:pStyle w:val="Lijstalinea"/>
        <w:spacing w:line="240" w:lineRule="auto"/>
        <w:ind w:left="0"/>
        <w:jc w:val="both"/>
        <w:rPr>
          <w:rFonts w:ascii="Cambria" w:hAnsi="Cambria" w:cs="Garamond"/>
          <w:sz w:val="22"/>
          <w:szCs w:val="22"/>
        </w:rPr>
      </w:pPr>
      <w:r w:rsidRPr="00845290">
        <w:rPr>
          <w:rFonts w:ascii="Cambria" w:hAnsi="Cambria" w:cs="Garamond"/>
          <w:sz w:val="22"/>
          <w:szCs w:val="22"/>
        </w:rPr>
        <w:t xml:space="preserve">In </w:t>
      </w:r>
      <w:proofErr w:type="spellStart"/>
      <w:r w:rsidRPr="00845290">
        <w:rPr>
          <w:rFonts w:ascii="Cambria" w:hAnsi="Cambria" w:cs="Garamond"/>
          <w:i/>
          <w:iCs/>
          <w:sz w:val="22"/>
          <w:szCs w:val="22"/>
        </w:rPr>
        <w:t>Schmidberger</w:t>
      </w:r>
      <w:proofErr w:type="spellEnd"/>
      <w:r w:rsidRPr="00845290">
        <w:rPr>
          <w:rFonts w:ascii="Cambria" w:hAnsi="Cambria" w:cs="Garamond"/>
          <w:sz w:val="22"/>
          <w:szCs w:val="22"/>
        </w:rPr>
        <w:t xml:space="preserve"> the Court use</w:t>
      </w:r>
      <w:r w:rsidR="000936CD">
        <w:rPr>
          <w:rFonts w:ascii="Cambria" w:hAnsi="Cambria" w:cs="Garamond"/>
          <w:sz w:val="22"/>
          <w:szCs w:val="22"/>
        </w:rPr>
        <w:t>d</w:t>
      </w:r>
      <w:r w:rsidRPr="00845290">
        <w:rPr>
          <w:rFonts w:ascii="Cambria" w:hAnsi="Cambria" w:cs="Garamond"/>
          <w:sz w:val="22"/>
          <w:szCs w:val="22"/>
        </w:rPr>
        <w:t xml:space="preserve"> a kind of double proportionality test as the Austrian authorities were given the discretion in authorizing </w:t>
      </w:r>
      <w:r w:rsidR="000936CD">
        <w:rPr>
          <w:rFonts w:ascii="Cambria" w:hAnsi="Cambria" w:cs="Garamond"/>
          <w:sz w:val="22"/>
          <w:szCs w:val="22"/>
        </w:rPr>
        <w:t>a</w:t>
      </w:r>
      <w:r w:rsidRPr="00845290">
        <w:rPr>
          <w:rFonts w:ascii="Cambria" w:hAnsi="Cambria" w:cs="Garamond"/>
          <w:sz w:val="22"/>
          <w:szCs w:val="22"/>
        </w:rPr>
        <w:t xml:space="preserve"> demonstration to consider the impact of the protection of the fundamental free movement of goods by banning the demonstration</w:t>
      </w:r>
      <w:r w:rsidR="000936CD">
        <w:rPr>
          <w:rFonts w:ascii="Cambria" w:hAnsi="Cambria" w:cs="Garamond"/>
          <w:sz w:val="22"/>
          <w:szCs w:val="22"/>
        </w:rPr>
        <w:t xml:space="preserve"> based</w:t>
      </w:r>
      <w:r w:rsidRPr="00845290">
        <w:rPr>
          <w:rFonts w:ascii="Cambria" w:hAnsi="Cambria" w:cs="Garamond"/>
          <w:sz w:val="22"/>
          <w:szCs w:val="22"/>
        </w:rPr>
        <w:t xml:space="preserve"> on the fundamental rights of assembly and speech. According to the </w:t>
      </w:r>
      <w:r w:rsidR="00395043">
        <w:rPr>
          <w:rFonts w:ascii="Cambria" w:hAnsi="Cambria" w:cs="Garamond"/>
          <w:sz w:val="22"/>
          <w:szCs w:val="22"/>
        </w:rPr>
        <w:t>CJEU</w:t>
      </w:r>
      <w:r w:rsidRPr="00845290">
        <w:rPr>
          <w:rFonts w:ascii="Cambria" w:hAnsi="Cambria" w:cs="Garamond"/>
          <w:sz w:val="22"/>
          <w:szCs w:val="22"/>
        </w:rPr>
        <w:t xml:space="preserve"> ‘the competent national authorities were entitled to consider that an outright ban on the demonstration would have constituted unacceptable interference with the fundamental rights of the demonstrators to gather and express peacefully their opinion in public’.</w:t>
      </w:r>
      <w:r w:rsidRPr="00845290">
        <w:rPr>
          <w:rStyle w:val="Voetnootmarkering"/>
          <w:rFonts w:ascii="Cambria" w:hAnsi="Cambria" w:cs="Garamond"/>
          <w:sz w:val="22"/>
          <w:szCs w:val="22"/>
        </w:rPr>
        <w:footnoteReference w:id="73"/>
      </w:r>
      <w:r w:rsidR="00B311FB">
        <w:rPr>
          <w:rFonts w:ascii="Cambria" w:hAnsi="Cambria" w:cs="Garamond"/>
          <w:sz w:val="22"/>
          <w:szCs w:val="22"/>
        </w:rPr>
        <w:t xml:space="preserve"> </w:t>
      </w:r>
      <w:r w:rsidRPr="00845290">
        <w:rPr>
          <w:rFonts w:ascii="Cambria" w:hAnsi="Cambria" w:cs="Garamond"/>
          <w:sz w:val="22"/>
          <w:szCs w:val="22"/>
        </w:rPr>
        <w:t xml:space="preserve">This proposal bears traces of the third element of the proportionality test, proportionality </w:t>
      </w:r>
      <w:r w:rsidRPr="00845290">
        <w:rPr>
          <w:rFonts w:ascii="Cambria" w:hAnsi="Cambria" w:cs="Garamond"/>
          <w:i/>
          <w:iCs/>
          <w:sz w:val="22"/>
          <w:szCs w:val="22"/>
        </w:rPr>
        <w:t>stricto sensu</w:t>
      </w:r>
      <w:r w:rsidR="00037FB4">
        <w:rPr>
          <w:rFonts w:ascii="Cambria" w:hAnsi="Cambria" w:cs="Garamond"/>
          <w:sz w:val="22"/>
          <w:szCs w:val="22"/>
        </w:rPr>
        <w:t xml:space="preserve">, </w:t>
      </w:r>
      <w:r w:rsidRPr="00845290">
        <w:rPr>
          <w:rFonts w:ascii="Cambria" w:hAnsi="Cambria" w:cs="Garamond"/>
          <w:sz w:val="22"/>
          <w:szCs w:val="22"/>
        </w:rPr>
        <w:t>without only weighing</w:t>
      </w:r>
      <w:r w:rsidR="000936CD">
        <w:rPr>
          <w:rFonts w:ascii="Cambria" w:hAnsi="Cambria" w:cs="Garamond"/>
          <w:sz w:val="22"/>
          <w:szCs w:val="22"/>
        </w:rPr>
        <w:t xml:space="preserve"> the protection of</w:t>
      </w:r>
      <w:r w:rsidRPr="00845290">
        <w:rPr>
          <w:rFonts w:ascii="Cambria" w:hAnsi="Cambria" w:cs="Garamond"/>
          <w:sz w:val="22"/>
          <w:szCs w:val="22"/>
        </w:rPr>
        <w:t xml:space="preserve"> fundamental rights with the free movement of goods, </w:t>
      </w:r>
      <w:r w:rsidR="00037FB4">
        <w:rPr>
          <w:rFonts w:ascii="Cambria" w:hAnsi="Cambria" w:cs="Garamond"/>
          <w:sz w:val="22"/>
          <w:szCs w:val="22"/>
        </w:rPr>
        <w:t xml:space="preserve">but </w:t>
      </w:r>
      <w:r w:rsidRPr="00845290">
        <w:rPr>
          <w:rFonts w:ascii="Cambria" w:hAnsi="Cambria" w:cs="Garamond"/>
          <w:sz w:val="22"/>
          <w:szCs w:val="22"/>
        </w:rPr>
        <w:t xml:space="preserve">also the free movement of goods with the interest of </w:t>
      </w:r>
      <w:r w:rsidR="000936CD">
        <w:rPr>
          <w:rFonts w:ascii="Cambria" w:hAnsi="Cambria" w:cs="Garamond"/>
          <w:sz w:val="22"/>
          <w:szCs w:val="22"/>
        </w:rPr>
        <w:t xml:space="preserve">protecting </w:t>
      </w:r>
      <w:r w:rsidRPr="00845290">
        <w:rPr>
          <w:rFonts w:ascii="Cambria" w:hAnsi="Cambria" w:cs="Garamond"/>
          <w:sz w:val="22"/>
          <w:szCs w:val="22"/>
        </w:rPr>
        <w:t>fundamental rights. It thus reflects a true balancing approach</w:t>
      </w:r>
      <w:r w:rsidR="00B311FB">
        <w:rPr>
          <w:rFonts w:ascii="Cambria" w:hAnsi="Cambria" w:cs="Garamond"/>
          <w:sz w:val="22"/>
          <w:szCs w:val="22"/>
        </w:rPr>
        <w:t>.</w:t>
      </w:r>
    </w:p>
    <w:p w:rsidR="00FE075C" w:rsidRDefault="00FE075C" w:rsidP="00037FB4">
      <w:pPr>
        <w:pStyle w:val="Lijstalinea"/>
        <w:spacing w:line="240" w:lineRule="auto"/>
        <w:ind w:left="0"/>
        <w:jc w:val="both"/>
        <w:rPr>
          <w:rFonts w:ascii="Cambria" w:hAnsi="Cambria"/>
          <w:sz w:val="22"/>
        </w:rPr>
      </w:pPr>
    </w:p>
    <w:p w:rsidR="00395043" w:rsidRPr="00395043" w:rsidRDefault="00395043" w:rsidP="00065F9B">
      <w:pPr>
        <w:pStyle w:val="Lijstalinea"/>
        <w:spacing w:line="240" w:lineRule="auto"/>
        <w:ind w:left="0"/>
        <w:jc w:val="both"/>
        <w:outlineLvl w:val="0"/>
        <w:rPr>
          <w:rFonts w:ascii="Cambria" w:hAnsi="Cambria"/>
          <w:i/>
          <w:sz w:val="22"/>
        </w:rPr>
      </w:pPr>
      <w:r>
        <w:rPr>
          <w:rFonts w:ascii="Cambria" w:hAnsi="Cambria"/>
          <w:i/>
          <w:sz w:val="22"/>
        </w:rPr>
        <w:t>Balancing fundamental social rights with the Treaty freedoms</w:t>
      </w:r>
    </w:p>
    <w:p w:rsidR="00C318E0" w:rsidRDefault="00845290" w:rsidP="00C318E0">
      <w:pPr>
        <w:pStyle w:val="Lijstalinea"/>
        <w:spacing w:line="240" w:lineRule="auto"/>
        <w:ind w:left="0"/>
        <w:jc w:val="both"/>
        <w:rPr>
          <w:rFonts w:ascii="Cambria" w:hAnsi="Cambria"/>
          <w:sz w:val="22"/>
        </w:rPr>
      </w:pPr>
      <w:r w:rsidRPr="00845290">
        <w:rPr>
          <w:rFonts w:ascii="Cambria" w:hAnsi="Cambria"/>
          <w:sz w:val="22"/>
        </w:rPr>
        <w:t xml:space="preserve">In cases like </w:t>
      </w:r>
      <w:r w:rsidRPr="00845290">
        <w:rPr>
          <w:rFonts w:ascii="Cambria" w:hAnsi="Cambria"/>
          <w:i/>
          <w:sz w:val="22"/>
        </w:rPr>
        <w:t>Schmidberger</w:t>
      </w:r>
      <w:r w:rsidRPr="00845290">
        <w:rPr>
          <w:rFonts w:ascii="Cambria" w:hAnsi="Cambria"/>
          <w:sz w:val="22"/>
        </w:rPr>
        <w:t xml:space="preserve"> or </w:t>
      </w:r>
      <w:r w:rsidRPr="00845290">
        <w:rPr>
          <w:rFonts w:ascii="Cambria" w:hAnsi="Cambria"/>
          <w:i/>
          <w:sz w:val="22"/>
        </w:rPr>
        <w:t>Omega</w:t>
      </w:r>
      <w:r w:rsidRPr="00845290">
        <w:rPr>
          <w:rFonts w:ascii="Cambria" w:hAnsi="Cambria"/>
          <w:sz w:val="22"/>
        </w:rPr>
        <w:t xml:space="preserve"> the Court has shown its willingness to take fundamental rights seriously and </w:t>
      </w:r>
      <w:r w:rsidR="000936CD">
        <w:rPr>
          <w:rFonts w:ascii="Cambria" w:hAnsi="Cambria"/>
          <w:sz w:val="22"/>
        </w:rPr>
        <w:t xml:space="preserve">to </w:t>
      </w:r>
      <w:r w:rsidRPr="00845290">
        <w:rPr>
          <w:rFonts w:ascii="Cambria" w:hAnsi="Cambria"/>
          <w:sz w:val="22"/>
        </w:rPr>
        <w:t xml:space="preserve">put them on an equal footing with the EU rules on free movement. </w:t>
      </w:r>
      <w:r w:rsidR="006634A0" w:rsidRPr="006634A0">
        <w:rPr>
          <w:rFonts w:ascii="Cambria" w:hAnsi="Cambria"/>
          <w:sz w:val="22"/>
          <w:lang w:val="en-US"/>
        </w:rPr>
        <w:t>Due to the fundamental rights’ character of trade unionism (</w:t>
      </w:r>
      <w:r w:rsidR="000936CD">
        <w:rPr>
          <w:rFonts w:ascii="Cambria" w:hAnsi="Cambria"/>
          <w:sz w:val="22"/>
          <w:lang w:val="en-US"/>
        </w:rPr>
        <w:t xml:space="preserve">a </w:t>
      </w:r>
      <w:r w:rsidR="006634A0" w:rsidRPr="006634A0">
        <w:rPr>
          <w:rFonts w:ascii="Cambria" w:hAnsi="Cambria"/>
          <w:sz w:val="22"/>
          <w:lang w:val="en-US"/>
        </w:rPr>
        <w:t xml:space="preserve">species of the right to association), collective bargaining and action, the Court </w:t>
      </w:r>
      <w:r w:rsidR="006634A0">
        <w:rPr>
          <w:rFonts w:ascii="Cambria" w:hAnsi="Cambria"/>
          <w:sz w:val="22"/>
          <w:lang w:val="en-US"/>
        </w:rPr>
        <w:t>could apply a similar approach and</w:t>
      </w:r>
      <w:r w:rsidR="006010EC">
        <w:rPr>
          <w:rFonts w:ascii="Cambria" w:hAnsi="Cambria"/>
          <w:sz w:val="22"/>
          <w:lang w:val="en-US"/>
        </w:rPr>
        <w:t>,</w:t>
      </w:r>
      <w:r w:rsidR="006634A0">
        <w:rPr>
          <w:rFonts w:ascii="Cambria" w:hAnsi="Cambria"/>
          <w:sz w:val="22"/>
          <w:lang w:val="en-US"/>
        </w:rPr>
        <w:t xml:space="preserve"> thereby</w:t>
      </w:r>
      <w:r w:rsidR="006010EC">
        <w:rPr>
          <w:rFonts w:ascii="Cambria" w:hAnsi="Cambria"/>
          <w:sz w:val="22"/>
          <w:lang w:val="en-US"/>
        </w:rPr>
        <w:t>,</w:t>
      </w:r>
      <w:r w:rsidR="006634A0">
        <w:rPr>
          <w:rFonts w:ascii="Cambria" w:hAnsi="Cambria"/>
          <w:sz w:val="22"/>
          <w:lang w:val="en-US"/>
        </w:rPr>
        <w:t xml:space="preserve"> </w:t>
      </w:r>
      <w:r w:rsidR="006010EC">
        <w:rPr>
          <w:rFonts w:ascii="Cambria" w:hAnsi="Cambria"/>
          <w:sz w:val="22"/>
          <w:lang w:val="en-US"/>
        </w:rPr>
        <w:t xml:space="preserve">possibly </w:t>
      </w:r>
      <w:r w:rsidR="006634A0">
        <w:rPr>
          <w:rFonts w:ascii="Cambria" w:hAnsi="Cambria"/>
          <w:sz w:val="22"/>
          <w:lang w:val="en-US"/>
        </w:rPr>
        <w:t xml:space="preserve">overcome the </w:t>
      </w:r>
      <w:r w:rsidR="006010EC">
        <w:rPr>
          <w:rFonts w:ascii="Cambria" w:hAnsi="Cambria"/>
          <w:sz w:val="22"/>
          <w:lang w:val="en-US"/>
        </w:rPr>
        <w:t xml:space="preserve">constitutional asymmetry </w:t>
      </w:r>
      <w:r w:rsidR="006634A0">
        <w:rPr>
          <w:rFonts w:ascii="Cambria" w:hAnsi="Cambria"/>
          <w:sz w:val="22"/>
          <w:lang w:val="en-US"/>
        </w:rPr>
        <w:t xml:space="preserve">of economic and social values </w:t>
      </w:r>
      <w:r w:rsidR="006010EC">
        <w:rPr>
          <w:rFonts w:ascii="Cambria" w:hAnsi="Cambria"/>
          <w:sz w:val="22"/>
          <w:lang w:val="en-US"/>
        </w:rPr>
        <w:t>by putting ‘</w:t>
      </w:r>
      <w:r w:rsidR="006010EC" w:rsidRPr="006010EC">
        <w:rPr>
          <w:rFonts w:ascii="Cambria" w:hAnsi="Cambria"/>
          <w:sz w:val="22"/>
        </w:rPr>
        <w:t xml:space="preserve">market-making’ and ‘market-correcting’ policy purposes </w:t>
      </w:r>
      <w:r w:rsidR="00796BE5">
        <w:rPr>
          <w:rFonts w:ascii="Cambria" w:hAnsi="Cambria"/>
          <w:sz w:val="22"/>
        </w:rPr>
        <w:t>on</w:t>
      </w:r>
      <w:r w:rsidR="006010EC" w:rsidRPr="006010EC">
        <w:rPr>
          <w:rFonts w:ascii="Cambria" w:hAnsi="Cambria"/>
          <w:sz w:val="22"/>
        </w:rPr>
        <w:t xml:space="preserve"> the same footing</w:t>
      </w:r>
      <w:r w:rsidR="006010EC">
        <w:rPr>
          <w:rFonts w:ascii="Cambria" w:hAnsi="Cambria"/>
          <w:sz w:val="22"/>
        </w:rPr>
        <w:t>.</w:t>
      </w:r>
    </w:p>
    <w:p w:rsidR="00B94EC4" w:rsidRDefault="00C318E0" w:rsidP="00B94EC4">
      <w:pPr>
        <w:pStyle w:val="Lijstalinea"/>
        <w:spacing w:line="240" w:lineRule="auto"/>
        <w:ind w:left="0"/>
        <w:jc w:val="both"/>
        <w:rPr>
          <w:rFonts w:ascii="Cambria" w:hAnsi="Cambria" w:cs="Tahoma"/>
          <w:sz w:val="22"/>
          <w:lang w:val="en-US"/>
        </w:rPr>
      </w:pPr>
      <w:r w:rsidRPr="00C318E0">
        <w:rPr>
          <w:rFonts w:ascii="Cambria" w:hAnsi="Cambria" w:cs="Tahoma"/>
          <w:sz w:val="22"/>
          <w:lang w:val="en-US"/>
        </w:rPr>
        <w:lastRenderedPageBreak/>
        <w:t>In the e</w:t>
      </w:r>
      <w:r w:rsidR="00B94EC4">
        <w:rPr>
          <w:rFonts w:ascii="Cambria" w:hAnsi="Cambria" w:cs="Tahoma"/>
          <w:sz w:val="22"/>
          <w:lang w:val="en-US"/>
        </w:rPr>
        <w:t xml:space="preserve">arly Albany case </w:t>
      </w:r>
      <w:r w:rsidRPr="00C318E0">
        <w:rPr>
          <w:rFonts w:ascii="Cambria" w:hAnsi="Cambria" w:cs="Tahoma"/>
          <w:sz w:val="22"/>
          <w:lang w:val="en-US"/>
        </w:rPr>
        <w:t>dealing with the infringement of undistorted competition by collective labour agreements, the Court did not refer to the fundamental right’s character of autonomous collective bargaining.</w:t>
      </w:r>
      <w:bookmarkStart w:id="13" w:name="_Ref420509253"/>
      <w:r w:rsidR="00B94EC4">
        <w:rPr>
          <w:rStyle w:val="Voetnootmarkering"/>
          <w:rFonts w:ascii="Cambria" w:hAnsi="Cambria" w:cs="Tahoma"/>
          <w:sz w:val="22"/>
          <w:lang w:val="en-US"/>
        </w:rPr>
        <w:footnoteReference w:id="74"/>
      </w:r>
      <w:bookmarkEnd w:id="13"/>
      <w:r w:rsidRPr="00C318E0">
        <w:rPr>
          <w:rFonts w:ascii="Cambria" w:hAnsi="Cambria" w:cs="Tahoma"/>
          <w:sz w:val="22"/>
          <w:lang w:val="en-US"/>
        </w:rPr>
        <w:t xml:space="preserve"> Interesting though, it was considered ‘beyond question that certain restrictions of competition are inherent in collective agreements between organizations representing employers and workers’, but it added that ‘the social policy objectives pursued by such agreements would be seriously undermined if management and labour were subject to (the Treaty provisions on competition law) when seeking jointly to adopt measures to improve conditions o</w:t>
      </w:r>
      <w:r w:rsidR="00B94EC4">
        <w:rPr>
          <w:rFonts w:ascii="Cambria" w:hAnsi="Cambria" w:cs="Tahoma"/>
          <w:sz w:val="22"/>
          <w:lang w:val="en-US"/>
        </w:rPr>
        <w:t>f work and employment’</w:t>
      </w:r>
      <w:r w:rsidRPr="00C318E0">
        <w:rPr>
          <w:rFonts w:ascii="Cambria" w:hAnsi="Cambria" w:cs="Tahoma"/>
          <w:sz w:val="22"/>
          <w:lang w:val="en-US"/>
        </w:rPr>
        <w:t>.</w:t>
      </w:r>
      <w:r w:rsidR="00B94EC4">
        <w:rPr>
          <w:rStyle w:val="Voetnootmarkering"/>
          <w:rFonts w:ascii="Cambria" w:hAnsi="Cambria" w:cs="Tahoma"/>
          <w:sz w:val="22"/>
          <w:lang w:val="en-US"/>
        </w:rPr>
        <w:footnoteReference w:id="75"/>
      </w:r>
      <w:r w:rsidRPr="00C318E0">
        <w:rPr>
          <w:rFonts w:ascii="Cambria" w:hAnsi="Cambria" w:cs="Tahoma"/>
          <w:sz w:val="22"/>
          <w:lang w:val="en-US"/>
        </w:rPr>
        <w:t xml:space="preserve"> By this, the Court grants ‘immunity’ from European competition law to collective labour agreements pursuing the improvement of employment conditions, and as a consequence of this also to the mechanism to extend the applicability of the agreement to non-signatories by state decision. The justification given boils down to the inherent incompatibility of a (national) market-correcting mechanism as collective bargaining with (European) market-making policy, since it is one of the express purposes of collective agreements, and the extension of its scope by state decision, to curtail competition on employment conditions. The Court derive</w:t>
      </w:r>
      <w:r w:rsidR="00796BE5">
        <w:rPr>
          <w:rFonts w:ascii="Cambria" w:hAnsi="Cambria" w:cs="Tahoma"/>
          <w:sz w:val="22"/>
          <w:lang w:val="en-US"/>
        </w:rPr>
        <w:t>d</w:t>
      </w:r>
      <w:r w:rsidRPr="00C318E0">
        <w:rPr>
          <w:rFonts w:ascii="Cambria" w:hAnsi="Cambria" w:cs="Tahoma"/>
          <w:sz w:val="22"/>
          <w:lang w:val="en-US"/>
        </w:rPr>
        <w:t xml:space="preserve"> </w:t>
      </w:r>
      <w:r w:rsidR="00796BE5">
        <w:rPr>
          <w:rFonts w:ascii="Cambria" w:hAnsi="Cambria" w:cs="Tahoma"/>
          <w:sz w:val="22"/>
          <w:lang w:val="en-US"/>
        </w:rPr>
        <w:t>in</w:t>
      </w:r>
      <w:r w:rsidRPr="00C318E0">
        <w:rPr>
          <w:rFonts w:ascii="Cambria" w:hAnsi="Cambria" w:cs="Tahoma"/>
          <w:sz w:val="22"/>
          <w:lang w:val="en-US"/>
        </w:rPr>
        <w:t xml:space="preserve"> its conclusion ‘from an interpretation of the provisions of the</w:t>
      </w:r>
      <w:r w:rsidR="00B94EC4">
        <w:rPr>
          <w:rFonts w:ascii="Cambria" w:hAnsi="Cambria" w:cs="Tahoma"/>
          <w:sz w:val="22"/>
          <w:lang w:val="en-US"/>
        </w:rPr>
        <w:t xml:space="preserve"> Treaty as a whole’</w:t>
      </w:r>
      <w:r w:rsidRPr="00C318E0">
        <w:rPr>
          <w:rFonts w:ascii="Cambria" w:hAnsi="Cambria" w:cs="Tahoma"/>
          <w:sz w:val="22"/>
          <w:lang w:val="en-US"/>
        </w:rPr>
        <w:t>.</w:t>
      </w:r>
      <w:r w:rsidR="00B94EC4">
        <w:rPr>
          <w:rStyle w:val="Voetnootmarkering"/>
          <w:rFonts w:ascii="Cambria" w:hAnsi="Cambria" w:cs="Tahoma"/>
          <w:sz w:val="22"/>
          <w:lang w:val="en-US"/>
        </w:rPr>
        <w:footnoteReference w:id="76"/>
      </w:r>
      <w:r w:rsidRPr="00C318E0">
        <w:rPr>
          <w:rFonts w:ascii="Cambria" w:hAnsi="Cambria" w:cs="Tahoma"/>
          <w:sz w:val="22"/>
          <w:lang w:val="en-US"/>
        </w:rPr>
        <w:t xml:space="preserve"> By referring to the objectives of the Treaty in the social sphere and the European social dialogue i</w:t>
      </w:r>
      <w:r w:rsidR="00B94EC4">
        <w:rPr>
          <w:rFonts w:ascii="Cambria" w:hAnsi="Cambria" w:cs="Tahoma"/>
          <w:sz w:val="22"/>
          <w:lang w:val="en-US"/>
        </w:rPr>
        <w:t>n the social policy agreement, the right to collective bargaining</w:t>
      </w:r>
      <w:r w:rsidRPr="00C318E0">
        <w:rPr>
          <w:rFonts w:ascii="Cambria" w:hAnsi="Cambria" w:cs="Tahoma"/>
          <w:sz w:val="22"/>
          <w:lang w:val="en-US"/>
        </w:rPr>
        <w:t xml:space="preserve"> is raised to a legitimate European social value</w:t>
      </w:r>
      <w:r w:rsidR="00395043">
        <w:rPr>
          <w:rFonts w:ascii="Cambria" w:hAnsi="Cambria" w:cs="Tahoma"/>
          <w:sz w:val="22"/>
          <w:lang w:val="en-US"/>
        </w:rPr>
        <w:t>, which trumps</w:t>
      </w:r>
      <w:r w:rsidR="003B4189">
        <w:rPr>
          <w:rFonts w:ascii="Cambria" w:hAnsi="Cambria" w:cs="Tahoma"/>
          <w:sz w:val="22"/>
          <w:lang w:val="en-US"/>
        </w:rPr>
        <w:t xml:space="preserve"> the application of EU competition rules. </w:t>
      </w:r>
    </w:p>
    <w:p w:rsidR="003C1263" w:rsidRDefault="00C318E0" w:rsidP="003C1263">
      <w:pPr>
        <w:pStyle w:val="Lijstalinea"/>
        <w:spacing w:line="240" w:lineRule="auto"/>
        <w:ind w:left="0"/>
        <w:jc w:val="both"/>
        <w:rPr>
          <w:rFonts w:ascii="Cambria" w:hAnsi="Cambria" w:cs="Tahoma"/>
          <w:sz w:val="22"/>
          <w:lang w:val="en-US"/>
        </w:rPr>
      </w:pPr>
      <w:r w:rsidRPr="00C318E0">
        <w:rPr>
          <w:rFonts w:ascii="Cambria" w:hAnsi="Cambria" w:cs="Tahoma"/>
          <w:sz w:val="22"/>
          <w:lang w:val="en-US"/>
        </w:rPr>
        <w:t xml:space="preserve">In the </w:t>
      </w:r>
      <w:r w:rsidR="009845FB">
        <w:rPr>
          <w:rFonts w:ascii="Cambria" w:hAnsi="Cambria" w:cs="Tahoma"/>
          <w:sz w:val="22"/>
          <w:lang w:val="en-US"/>
        </w:rPr>
        <w:t xml:space="preserve">later </w:t>
      </w:r>
      <w:r w:rsidR="00B94EC4">
        <w:rPr>
          <w:rFonts w:ascii="Cambria" w:hAnsi="Cambria" w:cs="Tahoma"/>
          <w:sz w:val="22"/>
          <w:lang w:val="en-US"/>
        </w:rPr>
        <w:t>Viking and Laval decisions</w:t>
      </w:r>
      <w:r w:rsidR="00354C66">
        <w:rPr>
          <w:rFonts w:ascii="Cambria" w:hAnsi="Cambria" w:cs="Tahoma"/>
          <w:sz w:val="22"/>
          <w:lang w:val="en-US"/>
        </w:rPr>
        <w:t>,</w:t>
      </w:r>
      <w:r w:rsidR="00791207">
        <w:rPr>
          <w:rStyle w:val="Voetnootmarkering"/>
          <w:rFonts w:ascii="Cambria" w:hAnsi="Cambria" w:cs="Tahoma"/>
          <w:sz w:val="22"/>
          <w:lang w:val="en-US"/>
        </w:rPr>
        <w:footnoteReference w:id="77"/>
      </w:r>
      <w:r w:rsidR="00354C66">
        <w:rPr>
          <w:rFonts w:ascii="Cambria" w:hAnsi="Cambria" w:cs="Tahoma"/>
          <w:sz w:val="22"/>
          <w:lang w:val="en-US"/>
        </w:rPr>
        <w:t xml:space="preserve"> the Court adopted, </w:t>
      </w:r>
      <w:r w:rsidR="00B94EC4">
        <w:rPr>
          <w:rFonts w:ascii="Cambria" w:hAnsi="Cambria" w:cs="Tahoma"/>
          <w:sz w:val="22"/>
          <w:lang w:val="en-US"/>
        </w:rPr>
        <w:t xml:space="preserve">however, </w:t>
      </w:r>
      <w:r w:rsidR="003D3F2E">
        <w:rPr>
          <w:rFonts w:ascii="Cambria" w:hAnsi="Cambria" w:cs="Tahoma"/>
          <w:sz w:val="22"/>
          <w:lang w:val="en-US"/>
        </w:rPr>
        <w:t xml:space="preserve">a completely </w:t>
      </w:r>
      <w:r w:rsidR="009E3942">
        <w:rPr>
          <w:rFonts w:ascii="Cambria" w:hAnsi="Cambria" w:cs="Tahoma"/>
          <w:sz w:val="22"/>
          <w:lang w:val="en-US"/>
        </w:rPr>
        <w:t xml:space="preserve">different approach. </w:t>
      </w:r>
      <w:r w:rsidR="00796BE5">
        <w:rPr>
          <w:rFonts w:ascii="Cambria" w:hAnsi="Cambria" w:cs="Tahoma"/>
          <w:sz w:val="22"/>
          <w:lang w:val="en-US"/>
        </w:rPr>
        <w:t>Alt</w:t>
      </w:r>
      <w:r w:rsidR="009E3942">
        <w:rPr>
          <w:rFonts w:ascii="Cambria" w:hAnsi="Cambria" w:cs="Tahoma"/>
          <w:sz w:val="22"/>
          <w:lang w:val="en-US"/>
        </w:rPr>
        <w:t xml:space="preserve">hough </w:t>
      </w:r>
      <w:r w:rsidR="004D0FD3">
        <w:rPr>
          <w:rFonts w:ascii="Cambria" w:hAnsi="Cambria" w:cs="Tahoma"/>
          <w:sz w:val="22"/>
          <w:lang w:val="en-US"/>
        </w:rPr>
        <w:t xml:space="preserve">the freedom of </w:t>
      </w:r>
      <w:r w:rsidR="003D3F2E">
        <w:rPr>
          <w:rFonts w:ascii="Cambria" w:hAnsi="Cambria" w:cs="Tahoma"/>
          <w:sz w:val="22"/>
          <w:lang w:val="en-US"/>
        </w:rPr>
        <w:t>collective bargaining and</w:t>
      </w:r>
      <w:r w:rsidR="00796BE5">
        <w:rPr>
          <w:rFonts w:ascii="Cambria" w:hAnsi="Cambria" w:cs="Tahoma"/>
          <w:sz w:val="22"/>
          <w:lang w:val="en-US"/>
        </w:rPr>
        <w:t xml:space="preserve"> the right to</w:t>
      </w:r>
      <w:r w:rsidR="003D3F2E">
        <w:rPr>
          <w:rFonts w:ascii="Cambria" w:hAnsi="Cambria" w:cs="Tahoma"/>
          <w:sz w:val="22"/>
          <w:lang w:val="en-US"/>
        </w:rPr>
        <w:t xml:space="preserve"> strike were expressly acknowledged as funda</w:t>
      </w:r>
      <w:r w:rsidR="00351165">
        <w:rPr>
          <w:rFonts w:ascii="Cambria" w:hAnsi="Cambria" w:cs="Tahoma"/>
          <w:sz w:val="22"/>
          <w:lang w:val="en-US"/>
        </w:rPr>
        <w:softHyphen/>
      </w:r>
      <w:r w:rsidR="003D3F2E">
        <w:rPr>
          <w:rFonts w:ascii="Cambria" w:hAnsi="Cambria" w:cs="Tahoma"/>
          <w:sz w:val="22"/>
          <w:lang w:val="en-US"/>
        </w:rPr>
        <w:t xml:space="preserve">mental rights, the </w:t>
      </w:r>
      <w:r w:rsidR="003D3F2E" w:rsidRPr="003D3F2E">
        <w:rPr>
          <w:rFonts w:ascii="Cambria" w:hAnsi="Cambria" w:cs="Tahoma"/>
          <w:sz w:val="22"/>
          <w:lang w:val="en-US"/>
        </w:rPr>
        <w:t>soci</w:t>
      </w:r>
      <w:r w:rsidR="003D3F2E">
        <w:rPr>
          <w:rFonts w:ascii="Cambria" w:hAnsi="Cambria" w:cs="Tahoma"/>
          <w:sz w:val="22"/>
          <w:lang w:val="en-US"/>
        </w:rPr>
        <w:t xml:space="preserve">al policy objectives pursued by collective bargaining – </w:t>
      </w:r>
      <w:r w:rsidR="00A332AE">
        <w:rPr>
          <w:rFonts w:ascii="Cambria" w:hAnsi="Cambria" w:cs="Tahoma"/>
          <w:sz w:val="22"/>
          <w:lang w:val="en-US"/>
        </w:rPr>
        <w:t xml:space="preserve">generally </w:t>
      </w:r>
      <w:r w:rsidR="003D3F2E">
        <w:rPr>
          <w:rFonts w:ascii="Cambria" w:hAnsi="Cambria" w:cs="Tahoma"/>
          <w:sz w:val="22"/>
          <w:lang w:val="en-US"/>
        </w:rPr>
        <w:t xml:space="preserve">accepted in </w:t>
      </w:r>
      <w:r w:rsidR="003D3F2E" w:rsidRPr="003D3F2E">
        <w:rPr>
          <w:rFonts w:ascii="Cambria" w:hAnsi="Cambria" w:cs="Tahoma"/>
          <w:i/>
          <w:sz w:val="22"/>
          <w:lang w:val="en-US"/>
        </w:rPr>
        <w:t>Albany</w:t>
      </w:r>
      <w:r w:rsidR="00796BE5">
        <w:rPr>
          <w:rFonts w:ascii="Cambria" w:hAnsi="Cambria" w:cs="Tahoma"/>
          <w:i/>
          <w:sz w:val="22"/>
          <w:lang w:val="en-US"/>
        </w:rPr>
        <w:t xml:space="preserve"> </w:t>
      </w:r>
      <w:r w:rsidR="009E3942">
        <w:rPr>
          <w:rFonts w:ascii="Cambria" w:hAnsi="Cambria" w:cs="Tahoma"/>
          <w:sz w:val="22"/>
          <w:lang w:val="en-US"/>
        </w:rPr>
        <w:t xml:space="preserve">– were </w:t>
      </w:r>
      <w:r w:rsidR="00796BE5">
        <w:rPr>
          <w:rFonts w:ascii="Cambria" w:hAnsi="Cambria" w:cs="Tahoma"/>
          <w:sz w:val="22"/>
          <w:lang w:val="en-US"/>
        </w:rPr>
        <w:t>seriously</w:t>
      </w:r>
      <w:r w:rsidR="009E3942">
        <w:rPr>
          <w:rFonts w:ascii="Cambria" w:hAnsi="Cambria" w:cs="Tahoma"/>
          <w:sz w:val="22"/>
          <w:lang w:val="en-US"/>
        </w:rPr>
        <w:t xml:space="preserve"> questioned. </w:t>
      </w:r>
      <w:r w:rsidR="000B2D96">
        <w:rPr>
          <w:rFonts w:ascii="Cambria" w:hAnsi="Cambria" w:cs="Tahoma"/>
          <w:sz w:val="22"/>
          <w:lang w:val="en-US"/>
        </w:rPr>
        <w:t>These objectives, i</w:t>
      </w:r>
      <w:r w:rsidR="000B2D96" w:rsidRPr="000B2D96">
        <w:rPr>
          <w:rFonts w:ascii="Cambria" w:hAnsi="Cambria" w:cs="Tahoma"/>
          <w:sz w:val="22"/>
          <w:lang w:val="en-US"/>
        </w:rPr>
        <w:t>n the first place</w:t>
      </w:r>
      <w:r w:rsidR="000B2D96">
        <w:rPr>
          <w:rFonts w:ascii="Cambria" w:hAnsi="Cambria" w:cs="Tahoma"/>
          <w:sz w:val="22"/>
          <w:lang w:val="en-US"/>
        </w:rPr>
        <w:t>,</w:t>
      </w:r>
      <w:r w:rsidR="000B2D96" w:rsidRPr="000B2D96">
        <w:rPr>
          <w:rFonts w:ascii="Cambria" w:hAnsi="Cambria" w:cs="Tahoma"/>
          <w:sz w:val="22"/>
          <w:lang w:val="en-US"/>
        </w:rPr>
        <w:t xml:space="preserve"> </w:t>
      </w:r>
      <w:r w:rsidR="003B4189">
        <w:rPr>
          <w:rFonts w:ascii="Cambria" w:hAnsi="Cambria" w:cs="Tahoma"/>
          <w:sz w:val="22"/>
          <w:lang w:val="en-US"/>
        </w:rPr>
        <w:t>did</w:t>
      </w:r>
      <w:r w:rsidR="000B2D96">
        <w:rPr>
          <w:rFonts w:ascii="Cambria" w:hAnsi="Cambria" w:cs="Tahoma"/>
          <w:sz w:val="22"/>
          <w:lang w:val="en-US"/>
        </w:rPr>
        <w:t xml:space="preserve"> </w:t>
      </w:r>
      <w:r w:rsidR="003B4189">
        <w:rPr>
          <w:rFonts w:ascii="Cambria" w:hAnsi="Cambria" w:cs="Tahoma"/>
          <w:sz w:val="22"/>
          <w:lang w:val="en-US"/>
        </w:rPr>
        <w:t>not lead to the exclusion of these rights from the scope of application of EU law</w:t>
      </w:r>
      <w:r w:rsidR="000B2D96">
        <w:rPr>
          <w:rFonts w:ascii="Cambria" w:hAnsi="Cambria" w:cs="Tahoma"/>
          <w:sz w:val="22"/>
          <w:lang w:val="en-US"/>
        </w:rPr>
        <w:t>,</w:t>
      </w:r>
      <w:r w:rsidR="000B2D96" w:rsidRPr="000B2D96">
        <w:rPr>
          <w:rFonts w:ascii="Cambria" w:eastAsiaTheme="minorHAnsi" w:hAnsi="Cambria" w:cs="Tahoma"/>
          <w:sz w:val="22"/>
          <w:szCs w:val="22"/>
          <w:lang w:val="en-US"/>
        </w:rPr>
        <w:t xml:space="preserve"> </w:t>
      </w:r>
      <w:r w:rsidR="000B2D96" w:rsidRPr="000B2D96">
        <w:rPr>
          <w:rFonts w:ascii="Cambria" w:hAnsi="Cambria" w:cs="Tahoma"/>
          <w:sz w:val="22"/>
          <w:lang w:val="en-US"/>
        </w:rPr>
        <w:t>due to the functional breadth of the Treaty freedoms</w:t>
      </w:r>
      <w:r w:rsidR="000B2D96">
        <w:rPr>
          <w:rFonts w:ascii="Cambria" w:hAnsi="Cambria" w:cs="Tahoma"/>
          <w:sz w:val="22"/>
          <w:lang w:val="en-US"/>
        </w:rPr>
        <w:t>.</w:t>
      </w:r>
      <w:r w:rsidR="000B2D96" w:rsidRPr="000B2D96">
        <w:rPr>
          <w:rFonts w:ascii="Cambria" w:hAnsi="Cambria" w:cs="Tahoma"/>
          <w:sz w:val="22"/>
          <w:vertAlign w:val="superscript"/>
          <w:lang w:val="en-US"/>
        </w:rPr>
        <w:footnoteReference w:id="78"/>
      </w:r>
      <w:r w:rsidR="000B2D96">
        <w:rPr>
          <w:rFonts w:ascii="Cambria" w:hAnsi="Cambria" w:cs="Tahoma"/>
          <w:sz w:val="22"/>
          <w:lang w:val="en-US"/>
        </w:rPr>
        <w:t xml:space="preserve"> </w:t>
      </w:r>
      <w:r w:rsidR="001D043E">
        <w:rPr>
          <w:rFonts w:ascii="Cambria" w:hAnsi="Cambria" w:cs="Tahoma"/>
          <w:sz w:val="22"/>
          <w:lang w:val="en-US"/>
        </w:rPr>
        <w:t>And w</w:t>
      </w:r>
      <w:r w:rsidR="009E3942">
        <w:rPr>
          <w:rFonts w:ascii="Cambria" w:hAnsi="Cambria" w:cs="Tahoma"/>
          <w:sz w:val="22"/>
          <w:lang w:val="en-US"/>
        </w:rPr>
        <w:t xml:space="preserve">hile </w:t>
      </w:r>
      <w:r w:rsidR="00F24C53">
        <w:rPr>
          <w:rFonts w:ascii="Cambria" w:hAnsi="Cambria" w:cs="Tahoma"/>
          <w:sz w:val="22"/>
          <w:lang w:val="en-US"/>
        </w:rPr>
        <w:t xml:space="preserve">the </w:t>
      </w:r>
      <w:r w:rsidR="009E3942">
        <w:rPr>
          <w:rFonts w:ascii="Cambria" w:hAnsi="Cambria" w:cs="Tahoma"/>
          <w:sz w:val="22"/>
          <w:lang w:val="en-US"/>
        </w:rPr>
        <w:t>improvement of working conditions</w:t>
      </w:r>
      <w:r w:rsidR="00F24C53">
        <w:rPr>
          <w:rFonts w:ascii="Cambria" w:hAnsi="Cambria" w:cs="Tahoma"/>
          <w:sz w:val="22"/>
          <w:lang w:val="en-US"/>
        </w:rPr>
        <w:t xml:space="preserve"> </w:t>
      </w:r>
      <w:r w:rsidR="00796BE5">
        <w:rPr>
          <w:rFonts w:ascii="Cambria" w:hAnsi="Cambria" w:cs="Tahoma"/>
          <w:sz w:val="22"/>
          <w:lang w:val="en-US"/>
        </w:rPr>
        <w:t>has been</w:t>
      </w:r>
      <w:r w:rsidR="00F24C53">
        <w:rPr>
          <w:rFonts w:ascii="Cambria" w:hAnsi="Cambria" w:cs="Tahoma"/>
          <w:sz w:val="22"/>
          <w:lang w:val="en-US"/>
        </w:rPr>
        <w:t xml:space="preserve"> one the Treaty’s objectives since 1957, the</w:t>
      </w:r>
      <w:r w:rsidR="00A332AE">
        <w:rPr>
          <w:rFonts w:ascii="Cambria" w:hAnsi="Cambria" w:cs="Tahoma"/>
          <w:sz w:val="22"/>
          <w:lang w:val="en-US"/>
        </w:rPr>
        <w:t xml:space="preserve"> Court required </w:t>
      </w:r>
      <w:r w:rsidR="007E70CE">
        <w:rPr>
          <w:rFonts w:ascii="Cambria" w:hAnsi="Cambria" w:cs="Tahoma"/>
          <w:sz w:val="22"/>
          <w:lang w:val="en-US"/>
        </w:rPr>
        <w:t xml:space="preserve">‘a serious threat’ to employment </w:t>
      </w:r>
      <w:r w:rsidR="009A0070">
        <w:rPr>
          <w:rFonts w:ascii="Cambria" w:hAnsi="Cambria" w:cs="Tahoma"/>
          <w:sz w:val="22"/>
          <w:lang w:val="en-US"/>
        </w:rPr>
        <w:t>in order to justify an infringement of economic</w:t>
      </w:r>
      <w:r w:rsidR="007E70CE">
        <w:rPr>
          <w:rFonts w:ascii="Cambria" w:hAnsi="Cambria" w:cs="Tahoma"/>
          <w:sz w:val="22"/>
          <w:lang w:val="en-US"/>
        </w:rPr>
        <w:t xml:space="preserve"> freedoms by </w:t>
      </w:r>
      <w:r w:rsidR="009A0070">
        <w:rPr>
          <w:rFonts w:ascii="Cambria" w:hAnsi="Cambria" w:cs="Tahoma"/>
          <w:sz w:val="22"/>
          <w:lang w:val="en-US"/>
        </w:rPr>
        <w:t xml:space="preserve">exercising the right to collective bargaining, </w:t>
      </w:r>
      <w:r w:rsidR="00F24C53">
        <w:rPr>
          <w:rFonts w:ascii="Cambria" w:hAnsi="Cambria" w:cs="Tahoma"/>
          <w:sz w:val="22"/>
          <w:lang w:val="en-US"/>
        </w:rPr>
        <w:t>st</w:t>
      </w:r>
      <w:r w:rsidR="009A0070">
        <w:rPr>
          <w:rFonts w:ascii="Cambria" w:hAnsi="Cambria" w:cs="Tahoma"/>
          <w:sz w:val="22"/>
          <w:lang w:val="en-US"/>
        </w:rPr>
        <w:t>reng</w:t>
      </w:r>
      <w:r w:rsidR="000B2D96">
        <w:rPr>
          <w:rFonts w:ascii="Cambria" w:hAnsi="Cambria" w:cs="Tahoma"/>
          <w:sz w:val="22"/>
          <w:lang w:val="en-US"/>
        </w:rPr>
        <w:softHyphen/>
      </w:r>
      <w:r w:rsidR="009A0070">
        <w:rPr>
          <w:rFonts w:ascii="Cambria" w:hAnsi="Cambria" w:cs="Tahoma"/>
          <w:sz w:val="22"/>
          <w:lang w:val="en-US"/>
        </w:rPr>
        <w:t>thened by coll</w:t>
      </w:r>
      <w:r w:rsidR="009845FB">
        <w:rPr>
          <w:rFonts w:ascii="Cambria" w:hAnsi="Cambria" w:cs="Tahoma"/>
          <w:sz w:val="22"/>
          <w:lang w:val="en-US"/>
        </w:rPr>
        <w:t>ective action.</w:t>
      </w:r>
      <w:r w:rsidR="001B2B90">
        <w:rPr>
          <w:rStyle w:val="Voetnootmarkering"/>
          <w:rFonts w:ascii="Cambria" w:hAnsi="Cambria" w:cs="Tahoma"/>
          <w:sz w:val="22"/>
          <w:lang w:val="en-US"/>
        </w:rPr>
        <w:footnoteReference w:id="79"/>
      </w:r>
      <w:r w:rsidR="009845FB">
        <w:rPr>
          <w:rFonts w:ascii="Cambria" w:hAnsi="Cambria" w:cs="Tahoma"/>
          <w:sz w:val="22"/>
          <w:lang w:val="en-US"/>
        </w:rPr>
        <w:t xml:space="preserve"> In </w:t>
      </w:r>
      <w:r w:rsidR="009845FB" w:rsidRPr="009845FB">
        <w:rPr>
          <w:rFonts w:ascii="Cambria" w:hAnsi="Cambria" w:cs="Tahoma"/>
          <w:i/>
          <w:sz w:val="22"/>
          <w:lang w:val="en-US"/>
        </w:rPr>
        <w:t xml:space="preserve">Viking </w:t>
      </w:r>
      <w:r w:rsidR="009845FB">
        <w:rPr>
          <w:rFonts w:ascii="Cambria" w:hAnsi="Cambria" w:cs="Tahoma"/>
          <w:sz w:val="22"/>
          <w:lang w:val="en-US"/>
        </w:rPr>
        <w:t>this was</w:t>
      </w:r>
      <w:r w:rsidR="009A0070">
        <w:rPr>
          <w:rFonts w:ascii="Cambria" w:hAnsi="Cambria" w:cs="Tahoma"/>
          <w:sz w:val="22"/>
          <w:lang w:val="en-US"/>
        </w:rPr>
        <w:t xml:space="preserve"> doubted </w:t>
      </w:r>
      <w:r w:rsidRPr="00C318E0">
        <w:rPr>
          <w:rFonts w:ascii="Cambria" w:hAnsi="Cambria" w:cs="Tahoma"/>
          <w:sz w:val="22"/>
          <w:lang w:val="en-US"/>
        </w:rPr>
        <w:t xml:space="preserve">because the Finnish seamen </w:t>
      </w:r>
      <w:r w:rsidR="00796BE5">
        <w:rPr>
          <w:rFonts w:ascii="Cambria" w:hAnsi="Cambria" w:cs="Tahoma"/>
          <w:sz w:val="22"/>
          <w:lang w:val="en-US"/>
        </w:rPr>
        <w:t>in question had</w:t>
      </w:r>
      <w:r w:rsidRPr="00C318E0">
        <w:rPr>
          <w:rFonts w:ascii="Cambria" w:hAnsi="Cambria" w:cs="Tahoma"/>
          <w:sz w:val="22"/>
          <w:lang w:val="en-US"/>
        </w:rPr>
        <w:t xml:space="preserve"> not yet</w:t>
      </w:r>
      <w:r w:rsidR="00796BE5">
        <w:rPr>
          <w:rFonts w:ascii="Cambria" w:hAnsi="Cambria" w:cs="Tahoma"/>
          <w:sz w:val="22"/>
          <w:lang w:val="en-US"/>
        </w:rPr>
        <w:t xml:space="preserve"> been</w:t>
      </w:r>
      <w:r w:rsidRPr="00C318E0">
        <w:rPr>
          <w:rFonts w:ascii="Cambria" w:hAnsi="Cambria" w:cs="Tahoma"/>
          <w:sz w:val="22"/>
          <w:lang w:val="en-US"/>
        </w:rPr>
        <w:t xml:space="preserve"> dismissed in order t</w:t>
      </w:r>
      <w:r w:rsidR="009A0070">
        <w:rPr>
          <w:rFonts w:ascii="Cambria" w:hAnsi="Cambria" w:cs="Tahoma"/>
          <w:sz w:val="22"/>
          <w:lang w:val="en-US"/>
        </w:rPr>
        <w:t xml:space="preserve">o be (gradually) replaced by a cheaper </w:t>
      </w:r>
      <w:r w:rsidRPr="00C318E0">
        <w:rPr>
          <w:rFonts w:ascii="Cambria" w:hAnsi="Cambria" w:cs="Tahoma"/>
          <w:sz w:val="22"/>
          <w:lang w:val="en-US"/>
        </w:rPr>
        <w:t xml:space="preserve">Estonian crew. </w:t>
      </w:r>
      <w:r w:rsidR="005E614E">
        <w:rPr>
          <w:rFonts w:ascii="Cambria" w:hAnsi="Cambria" w:cs="Tahoma"/>
          <w:sz w:val="22"/>
          <w:lang w:val="en-US"/>
        </w:rPr>
        <w:t xml:space="preserve">It also shows the exercise or protection of </w:t>
      </w:r>
      <w:r w:rsidR="000B2D96">
        <w:rPr>
          <w:rFonts w:ascii="Cambria" w:hAnsi="Cambria" w:cs="Tahoma"/>
          <w:sz w:val="22"/>
          <w:lang w:val="en-US"/>
        </w:rPr>
        <w:t xml:space="preserve">the </w:t>
      </w:r>
      <w:r w:rsidR="005E614E">
        <w:rPr>
          <w:rFonts w:ascii="Cambria" w:hAnsi="Cambria" w:cs="Tahoma"/>
          <w:sz w:val="22"/>
          <w:lang w:val="en-US"/>
        </w:rPr>
        <w:t xml:space="preserve">fundamental right as such does not qualify but needs to pursue a wider legitimate </w:t>
      </w:r>
      <w:r w:rsidR="008A29EF">
        <w:rPr>
          <w:rFonts w:ascii="Cambria" w:hAnsi="Cambria" w:cs="Tahoma"/>
          <w:sz w:val="22"/>
          <w:szCs w:val="22"/>
          <w:lang w:val="en-US"/>
        </w:rPr>
        <w:t xml:space="preserve">aim. </w:t>
      </w:r>
      <w:r w:rsidR="00272E00" w:rsidRPr="009B0063">
        <w:rPr>
          <w:rFonts w:ascii="Cambria" w:hAnsi="Cambria" w:cs="Tahoma"/>
          <w:sz w:val="22"/>
          <w:szCs w:val="22"/>
          <w:lang w:val="en-US"/>
        </w:rPr>
        <w:t xml:space="preserve">In this, trade unions appear to have less leeway </w:t>
      </w:r>
      <w:r w:rsidR="009B0063">
        <w:rPr>
          <w:rFonts w:ascii="Cambria" w:hAnsi="Cambria" w:cs="Tahoma"/>
          <w:sz w:val="22"/>
          <w:szCs w:val="22"/>
          <w:lang w:val="en-US"/>
        </w:rPr>
        <w:t xml:space="preserve">compared to public authorities. </w:t>
      </w:r>
      <w:r w:rsidR="00796BE5">
        <w:rPr>
          <w:rFonts w:ascii="Cambria" w:hAnsi="Cambria" w:cs="Tahoma"/>
          <w:sz w:val="22"/>
          <w:szCs w:val="22"/>
          <w:lang w:val="en-US"/>
        </w:rPr>
        <w:t>With</w:t>
      </w:r>
      <w:r w:rsidR="009B0063" w:rsidRPr="009B0063">
        <w:rPr>
          <w:rFonts w:ascii="Cambria" w:hAnsi="Cambria" w:cs="Tahoma"/>
          <w:sz w:val="22"/>
          <w:szCs w:val="22"/>
          <w:lang w:val="en-US"/>
        </w:rPr>
        <w:t xml:space="preserve"> regard </w:t>
      </w:r>
      <w:r w:rsidR="00796BE5">
        <w:rPr>
          <w:rFonts w:ascii="Cambria" w:hAnsi="Cambria" w:cs="Tahoma"/>
          <w:sz w:val="22"/>
          <w:szCs w:val="22"/>
          <w:lang w:val="en-US"/>
        </w:rPr>
        <w:t>to</w:t>
      </w:r>
      <w:r w:rsidR="009B0063" w:rsidRPr="009B0063">
        <w:rPr>
          <w:rFonts w:ascii="Cambria" w:hAnsi="Cambria" w:cs="Tahoma"/>
          <w:sz w:val="22"/>
          <w:szCs w:val="22"/>
          <w:lang w:val="en-US"/>
        </w:rPr>
        <w:t xml:space="preserve"> the applicability of the free movement provisions</w:t>
      </w:r>
      <w:r w:rsidR="005915AE" w:rsidRPr="009B0063">
        <w:rPr>
          <w:rFonts w:ascii="Cambria" w:hAnsi="Cambria" w:cs="Tahoma"/>
          <w:sz w:val="22"/>
          <w:szCs w:val="22"/>
          <w:lang w:val="en-US"/>
        </w:rPr>
        <w:t xml:space="preserve">, the </w:t>
      </w:r>
      <w:r w:rsidR="00272E00" w:rsidRPr="009B0063">
        <w:rPr>
          <w:rFonts w:ascii="Cambria" w:hAnsi="Cambria" w:cs="Tahoma"/>
          <w:sz w:val="22"/>
          <w:szCs w:val="22"/>
          <w:lang w:val="en-US"/>
        </w:rPr>
        <w:t>Court</w:t>
      </w:r>
      <w:r w:rsidR="009B0063">
        <w:rPr>
          <w:rFonts w:ascii="Cambria" w:hAnsi="Cambria" w:cs="Tahoma"/>
          <w:sz w:val="22"/>
          <w:szCs w:val="22"/>
          <w:lang w:val="en-US"/>
        </w:rPr>
        <w:t xml:space="preserve">, </w:t>
      </w:r>
      <w:r w:rsidR="00796BE5">
        <w:rPr>
          <w:rFonts w:ascii="Cambria" w:hAnsi="Cambria" w:cs="Tahoma"/>
          <w:sz w:val="22"/>
          <w:szCs w:val="22"/>
          <w:lang w:val="en-US"/>
        </w:rPr>
        <w:t>on</w:t>
      </w:r>
      <w:r w:rsidR="009B0063">
        <w:rPr>
          <w:rFonts w:ascii="Cambria" w:hAnsi="Cambria" w:cs="Tahoma"/>
          <w:sz w:val="22"/>
          <w:szCs w:val="22"/>
          <w:lang w:val="en-US"/>
        </w:rPr>
        <w:t xml:space="preserve"> the one hand, </w:t>
      </w:r>
      <w:r w:rsidR="00272E00" w:rsidRPr="009B0063">
        <w:rPr>
          <w:rFonts w:ascii="Cambria" w:hAnsi="Cambria" w:cs="Tahoma"/>
          <w:sz w:val="22"/>
          <w:szCs w:val="22"/>
          <w:lang w:val="en-US"/>
        </w:rPr>
        <w:t xml:space="preserve">puts them on the same plane because </w:t>
      </w:r>
      <w:r w:rsidR="005E614E" w:rsidRPr="009B0063">
        <w:rPr>
          <w:rFonts w:ascii="Cambria" w:hAnsi="Cambria" w:cs="Tahoma"/>
          <w:sz w:val="22"/>
          <w:szCs w:val="22"/>
          <w:lang w:val="en-US"/>
        </w:rPr>
        <w:t xml:space="preserve">trade unions are </w:t>
      </w:r>
      <w:r w:rsidR="00272E00" w:rsidRPr="009B0063">
        <w:rPr>
          <w:rFonts w:ascii="Cambria" w:hAnsi="Cambria" w:cs="Tahoma"/>
          <w:sz w:val="22"/>
          <w:szCs w:val="22"/>
          <w:lang w:val="en-US"/>
        </w:rPr>
        <w:t xml:space="preserve">deemed </w:t>
      </w:r>
      <w:r w:rsidR="00796BE5">
        <w:rPr>
          <w:rFonts w:ascii="Cambria" w:hAnsi="Cambria" w:cs="Tahoma"/>
          <w:sz w:val="22"/>
          <w:szCs w:val="22"/>
          <w:lang w:val="en-US"/>
        </w:rPr>
        <w:t xml:space="preserve">to be </w:t>
      </w:r>
      <w:r w:rsidR="008A29EF">
        <w:rPr>
          <w:rFonts w:ascii="Cambria" w:hAnsi="Cambria" w:cs="Tahoma"/>
          <w:sz w:val="22"/>
          <w:szCs w:val="22"/>
          <w:lang w:val="en-US"/>
        </w:rPr>
        <w:t>‘</w:t>
      </w:r>
      <w:r w:rsidR="001B2B90" w:rsidRPr="009B0063">
        <w:rPr>
          <w:rFonts w:ascii="Cambria" w:hAnsi="Cambria" w:cs="Tahoma"/>
          <w:sz w:val="22"/>
          <w:szCs w:val="22"/>
          <w:lang w:val="en-US"/>
        </w:rPr>
        <w:t xml:space="preserve">capable of regulating </w:t>
      </w:r>
      <w:r w:rsidR="005915AE" w:rsidRPr="009B0063">
        <w:rPr>
          <w:rFonts w:ascii="Cambria" w:hAnsi="Cambria" w:cs="Tahoma"/>
          <w:sz w:val="22"/>
          <w:szCs w:val="22"/>
          <w:lang w:val="en-US"/>
        </w:rPr>
        <w:t xml:space="preserve">the provision of </w:t>
      </w:r>
      <w:r w:rsidR="001B2B90" w:rsidRPr="009B0063">
        <w:rPr>
          <w:rFonts w:ascii="Cambria" w:hAnsi="Cambria" w:cs="Tahoma"/>
          <w:sz w:val="22"/>
          <w:szCs w:val="22"/>
          <w:lang w:val="en-US"/>
        </w:rPr>
        <w:t>services collectively’</w:t>
      </w:r>
      <w:r w:rsidR="005915AE" w:rsidRPr="009B0063">
        <w:rPr>
          <w:rFonts w:ascii="Cambria" w:hAnsi="Cambria" w:cs="Tahoma"/>
          <w:sz w:val="22"/>
          <w:szCs w:val="22"/>
          <w:lang w:val="en-US"/>
        </w:rPr>
        <w:t>.</w:t>
      </w:r>
      <w:r w:rsidR="001B2B90" w:rsidRPr="009B0063">
        <w:rPr>
          <w:rStyle w:val="Voetnootmarkering"/>
          <w:rFonts w:ascii="Cambria" w:hAnsi="Cambria" w:cs="Tahoma"/>
          <w:sz w:val="22"/>
          <w:szCs w:val="22"/>
          <w:lang w:val="en-US"/>
        </w:rPr>
        <w:footnoteReference w:id="80"/>
      </w:r>
      <w:r w:rsidR="001B2B90" w:rsidRPr="009B0063">
        <w:rPr>
          <w:rFonts w:ascii="Cambria" w:hAnsi="Cambria" w:cs="Tahoma"/>
          <w:sz w:val="22"/>
          <w:szCs w:val="22"/>
          <w:lang w:val="en-US"/>
        </w:rPr>
        <w:t xml:space="preserve"> </w:t>
      </w:r>
      <w:r w:rsidR="005915AE" w:rsidRPr="009B0063">
        <w:rPr>
          <w:rFonts w:ascii="Cambria" w:hAnsi="Cambria" w:cs="Tahoma"/>
          <w:sz w:val="22"/>
          <w:szCs w:val="22"/>
          <w:lang w:val="en-US"/>
        </w:rPr>
        <w:t xml:space="preserve">But </w:t>
      </w:r>
      <w:r w:rsidR="00796BE5">
        <w:rPr>
          <w:rFonts w:ascii="Cambria" w:hAnsi="Cambria" w:cs="Tahoma"/>
          <w:sz w:val="22"/>
          <w:szCs w:val="22"/>
          <w:lang w:val="en-US"/>
        </w:rPr>
        <w:t>on</w:t>
      </w:r>
      <w:r w:rsidR="00272E00" w:rsidRPr="009B0063">
        <w:rPr>
          <w:rFonts w:ascii="Cambria" w:hAnsi="Cambria" w:cs="Tahoma"/>
          <w:sz w:val="22"/>
          <w:szCs w:val="22"/>
          <w:lang w:val="en-US"/>
        </w:rPr>
        <w:t xml:space="preserve"> the </w:t>
      </w:r>
      <w:r w:rsidR="005915AE" w:rsidRPr="009B0063">
        <w:rPr>
          <w:rFonts w:ascii="Cambria" w:hAnsi="Cambria" w:cs="Tahoma"/>
          <w:sz w:val="22"/>
          <w:szCs w:val="22"/>
          <w:lang w:val="en-US"/>
        </w:rPr>
        <w:t>other</w:t>
      </w:r>
      <w:r w:rsidR="00A73CF5" w:rsidRPr="009B0063">
        <w:rPr>
          <w:rFonts w:ascii="Cambria" w:hAnsi="Cambria" w:cs="Tahoma"/>
          <w:sz w:val="22"/>
          <w:szCs w:val="22"/>
          <w:lang w:val="en-US"/>
        </w:rPr>
        <w:t xml:space="preserve"> hand</w:t>
      </w:r>
      <w:r w:rsidR="005915AE" w:rsidRPr="009B0063">
        <w:rPr>
          <w:rFonts w:ascii="Cambria" w:hAnsi="Cambria" w:cs="Tahoma"/>
          <w:sz w:val="22"/>
          <w:szCs w:val="22"/>
          <w:lang w:val="en-US"/>
        </w:rPr>
        <w:t>,</w:t>
      </w:r>
      <w:r w:rsidR="008A29EF">
        <w:rPr>
          <w:rFonts w:ascii="Cambria" w:hAnsi="Cambria" w:cs="Tahoma"/>
          <w:sz w:val="22"/>
          <w:szCs w:val="22"/>
          <w:lang w:val="en-US"/>
        </w:rPr>
        <w:t xml:space="preserve"> </w:t>
      </w:r>
      <w:r w:rsidR="00272E00" w:rsidRPr="009B0063">
        <w:rPr>
          <w:rFonts w:ascii="Cambria" w:hAnsi="Cambria" w:cs="Tahoma"/>
          <w:sz w:val="22"/>
          <w:szCs w:val="22"/>
          <w:lang w:val="en-US"/>
        </w:rPr>
        <w:t xml:space="preserve">they are </w:t>
      </w:r>
      <w:r w:rsidR="000B2D96" w:rsidRPr="009B0063">
        <w:rPr>
          <w:rFonts w:ascii="Cambria" w:hAnsi="Cambria" w:cs="Tahoma"/>
          <w:sz w:val="22"/>
          <w:szCs w:val="22"/>
          <w:lang w:val="en-US"/>
        </w:rPr>
        <w:t xml:space="preserve">considered </w:t>
      </w:r>
      <w:r w:rsidR="001B2B90" w:rsidRPr="002E2605">
        <w:rPr>
          <w:rFonts w:ascii="Cambria" w:hAnsi="Cambria" w:cs="Tahoma"/>
          <w:sz w:val="22"/>
          <w:szCs w:val="22"/>
          <w:lang w:val="en-US"/>
        </w:rPr>
        <w:t xml:space="preserve">private persons </w:t>
      </w:r>
      <w:r w:rsidR="00272E00" w:rsidRPr="00254580">
        <w:rPr>
          <w:rFonts w:ascii="Cambria" w:hAnsi="Cambria" w:cs="Tahoma"/>
          <w:sz w:val="22"/>
          <w:szCs w:val="22"/>
          <w:lang w:val="en-US"/>
        </w:rPr>
        <w:t>‘</w:t>
      </w:r>
      <w:r w:rsidR="001B2B90" w:rsidRPr="00254580">
        <w:rPr>
          <w:rFonts w:ascii="Cambria" w:hAnsi="Cambria" w:cs="Tahoma"/>
          <w:sz w:val="22"/>
          <w:szCs w:val="22"/>
          <w:lang w:val="en-US"/>
        </w:rPr>
        <w:t>that cannot avail themselves of public policy</w:t>
      </w:r>
      <w:r w:rsidR="00272E00" w:rsidRPr="00254580">
        <w:rPr>
          <w:rFonts w:ascii="Cambria" w:hAnsi="Cambria" w:cs="Tahoma"/>
          <w:sz w:val="22"/>
          <w:szCs w:val="22"/>
          <w:lang w:val="en-US"/>
        </w:rPr>
        <w:t>’</w:t>
      </w:r>
      <w:r w:rsidR="005915AE" w:rsidRPr="00254580">
        <w:rPr>
          <w:rStyle w:val="Voetnootmarkering"/>
          <w:rFonts w:ascii="Cambria" w:hAnsi="Cambria" w:cs="Tahoma"/>
          <w:sz w:val="22"/>
          <w:szCs w:val="22"/>
          <w:lang w:val="en-US"/>
        </w:rPr>
        <w:footnoteReference w:id="81"/>
      </w:r>
      <w:r w:rsidR="008A29EF">
        <w:rPr>
          <w:rFonts w:ascii="Cambria" w:hAnsi="Cambria" w:cs="Tahoma"/>
          <w:sz w:val="22"/>
          <w:szCs w:val="22"/>
          <w:lang w:val="en-US"/>
        </w:rPr>
        <w:t xml:space="preserve"> </w:t>
      </w:r>
      <w:r w:rsidR="00272E00" w:rsidRPr="006C481F">
        <w:rPr>
          <w:rFonts w:ascii="Cambria" w:hAnsi="Cambria" w:cs="Tahoma"/>
          <w:sz w:val="22"/>
          <w:szCs w:val="22"/>
          <w:lang w:val="en-US"/>
        </w:rPr>
        <w:t xml:space="preserve">and, thus, </w:t>
      </w:r>
      <w:r w:rsidR="005915AE" w:rsidRPr="006C481F">
        <w:rPr>
          <w:rFonts w:ascii="Cambria" w:hAnsi="Cambria" w:cs="Tahoma"/>
          <w:sz w:val="22"/>
          <w:szCs w:val="22"/>
          <w:lang w:val="en-US"/>
        </w:rPr>
        <w:t xml:space="preserve">of </w:t>
      </w:r>
      <w:r w:rsidR="000E235C" w:rsidRPr="00B333C0">
        <w:rPr>
          <w:rFonts w:ascii="Cambria" w:hAnsi="Cambria" w:cs="Tahoma"/>
          <w:sz w:val="22"/>
          <w:szCs w:val="22"/>
          <w:lang w:val="en-US"/>
        </w:rPr>
        <w:t xml:space="preserve">a </w:t>
      </w:r>
      <w:r w:rsidR="001B2B90" w:rsidRPr="00B333C0">
        <w:rPr>
          <w:rFonts w:ascii="Cambria" w:hAnsi="Cambria" w:cs="Tahoma"/>
          <w:sz w:val="22"/>
          <w:szCs w:val="22"/>
          <w:lang w:val="en-US"/>
        </w:rPr>
        <w:t>margin</w:t>
      </w:r>
      <w:r w:rsidR="000E235C" w:rsidRPr="00B333C0">
        <w:rPr>
          <w:rFonts w:ascii="Cambria" w:hAnsi="Cambria" w:cs="Tahoma"/>
          <w:sz w:val="22"/>
          <w:szCs w:val="22"/>
          <w:lang w:val="en-US"/>
        </w:rPr>
        <w:t xml:space="preserve"> of discretion</w:t>
      </w:r>
      <w:r w:rsidR="001B2B90" w:rsidRPr="00B333C0">
        <w:rPr>
          <w:rFonts w:ascii="Cambria" w:hAnsi="Cambria" w:cs="Tahoma"/>
          <w:sz w:val="22"/>
          <w:szCs w:val="22"/>
          <w:lang w:val="en-US"/>
        </w:rPr>
        <w:t>.</w:t>
      </w:r>
      <w:r w:rsidR="000E235C" w:rsidRPr="00B333C0">
        <w:rPr>
          <w:rFonts w:ascii="Cambria" w:hAnsi="Cambria" w:cs="Tahoma"/>
          <w:sz w:val="22"/>
          <w:szCs w:val="22"/>
          <w:lang w:val="en-US"/>
        </w:rPr>
        <w:t xml:space="preserve"> </w:t>
      </w:r>
      <w:r w:rsidR="000E235C" w:rsidRPr="009B0063">
        <w:rPr>
          <w:rFonts w:ascii="Cambria" w:hAnsi="Cambria" w:cs="Tahoma"/>
          <w:sz w:val="22"/>
          <w:szCs w:val="22"/>
          <w:lang w:val="en-US"/>
        </w:rPr>
        <w:t>T</w:t>
      </w:r>
      <w:r w:rsidR="00E72D0B" w:rsidRPr="009B0063">
        <w:rPr>
          <w:rFonts w:ascii="Cambria" w:hAnsi="Cambria" w:cs="Tahoma"/>
          <w:sz w:val="22"/>
          <w:szCs w:val="22"/>
          <w:lang w:val="en-US"/>
        </w:rPr>
        <w:t>he proportionality test</w:t>
      </w:r>
      <w:r w:rsidR="00A332AE" w:rsidRPr="009B0063">
        <w:rPr>
          <w:rFonts w:ascii="Cambria" w:hAnsi="Cambria" w:cs="Tahoma"/>
          <w:sz w:val="22"/>
          <w:szCs w:val="22"/>
          <w:lang w:val="en-US"/>
        </w:rPr>
        <w:t xml:space="preserve"> applied, </w:t>
      </w:r>
      <w:r w:rsidR="000E235C" w:rsidRPr="009B0063">
        <w:rPr>
          <w:rFonts w:ascii="Cambria" w:hAnsi="Cambria" w:cs="Tahoma"/>
          <w:sz w:val="22"/>
          <w:szCs w:val="22"/>
          <w:lang w:val="en-US"/>
        </w:rPr>
        <w:t>therefore, does not constitute</w:t>
      </w:r>
      <w:r w:rsidR="00796BE5">
        <w:rPr>
          <w:rFonts w:ascii="Cambria" w:hAnsi="Cambria" w:cs="Tahoma"/>
          <w:sz w:val="22"/>
          <w:szCs w:val="22"/>
          <w:lang w:val="en-US"/>
        </w:rPr>
        <w:t xml:space="preserve"> a</w:t>
      </w:r>
      <w:r w:rsidR="000E235C" w:rsidRPr="009B0063">
        <w:rPr>
          <w:rFonts w:ascii="Cambria" w:hAnsi="Cambria" w:cs="Tahoma"/>
          <w:sz w:val="22"/>
          <w:szCs w:val="22"/>
          <w:lang w:val="en-US"/>
        </w:rPr>
        <w:t xml:space="preserve"> </w:t>
      </w:r>
      <w:r w:rsidR="00A332AE" w:rsidRPr="009B0063">
        <w:rPr>
          <w:rFonts w:ascii="Cambria" w:hAnsi="Cambria" w:cs="Tahoma"/>
          <w:sz w:val="22"/>
          <w:szCs w:val="22"/>
          <w:lang w:val="en-US"/>
        </w:rPr>
        <w:t>true balanci</w:t>
      </w:r>
      <w:r w:rsidR="000E235C" w:rsidRPr="009B0063">
        <w:rPr>
          <w:rFonts w:ascii="Cambria" w:hAnsi="Cambria" w:cs="Tahoma"/>
          <w:sz w:val="22"/>
          <w:szCs w:val="22"/>
          <w:lang w:val="en-US"/>
        </w:rPr>
        <w:t>ng of fundamental princ</w:t>
      </w:r>
      <w:r w:rsidR="008E60BB" w:rsidRPr="009B0063">
        <w:rPr>
          <w:rFonts w:ascii="Cambria" w:hAnsi="Cambria" w:cs="Tahoma"/>
          <w:sz w:val="22"/>
          <w:szCs w:val="22"/>
          <w:lang w:val="en-US"/>
        </w:rPr>
        <w:t>ipl</w:t>
      </w:r>
      <w:r w:rsidR="005A460B" w:rsidRPr="009B0063">
        <w:rPr>
          <w:rFonts w:ascii="Cambria" w:hAnsi="Cambria" w:cs="Tahoma"/>
          <w:sz w:val="22"/>
          <w:szCs w:val="22"/>
          <w:lang w:val="en-US"/>
        </w:rPr>
        <w:t>es</w:t>
      </w:r>
      <w:r w:rsidR="005A460B">
        <w:rPr>
          <w:rFonts w:ascii="Cambria" w:hAnsi="Cambria" w:cs="Tahoma"/>
          <w:sz w:val="22"/>
          <w:lang w:val="en-US"/>
        </w:rPr>
        <w:t xml:space="preserve"> </w:t>
      </w:r>
      <w:r w:rsidR="00AF270E">
        <w:rPr>
          <w:rFonts w:ascii="Cambria" w:hAnsi="Cambria" w:cs="Tahoma"/>
          <w:sz w:val="22"/>
          <w:lang w:val="en-US"/>
        </w:rPr>
        <w:t xml:space="preserve">but amounts to a strict test </w:t>
      </w:r>
      <w:r w:rsidR="008E60BB">
        <w:rPr>
          <w:rFonts w:ascii="Cambria" w:hAnsi="Cambria" w:cs="Tahoma"/>
          <w:sz w:val="22"/>
          <w:lang w:val="en-US"/>
        </w:rPr>
        <w:t xml:space="preserve">requiring </w:t>
      </w:r>
      <w:r w:rsidR="00AF270E">
        <w:rPr>
          <w:rFonts w:ascii="Cambria" w:hAnsi="Cambria" w:cs="Tahoma"/>
          <w:sz w:val="22"/>
          <w:lang w:val="en-US"/>
        </w:rPr>
        <w:t xml:space="preserve">suitability, a causal link </w:t>
      </w:r>
      <w:r w:rsidR="0086042D">
        <w:rPr>
          <w:rFonts w:ascii="Cambria" w:hAnsi="Cambria" w:cs="Tahoma"/>
          <w:sz w:val="22"/>
          <w:lang w:val="en-US"/>
        </w:rPr>
        <w:t xml:space="preserve">between the restriction and the aim pursued </w:t>
      </w:r>
      <w:r w:rsidR="008E60BB">
        <w:rPr>
          <w:rFonts w:ascii="Cambria" w:hAnsi="Cambria" w:cs="Tahoma"/>
          <w:sz w:val="22"/>
          <w:lang w:val="en-US"/>
        </w:rPr>
        <w:t>and</w:t>
      </w:r>
      <w:r w:rsidR="00AF270E">
        <w:rPr>
          <w:rFonts w:ascii="Cambria" w:hAnsi="Cambria" w:cs="Tahoma"/>
          <w:sz w:val="22"/>
          <w:lang w:val="en-US"/>
        </w:rPr>
        <w:t xml:space="preserve"> alternative</w:t>
      </w:r>
      <w:r w:rsidR="008E60BB">
        <w:rPr>
          <w:rFonts w:ascii="Cambria" w:hAnsi="Cambria" w:cs="Tahoma"/>
          <w:sz w:val="22"/>
          <w:lang w:val="en-US"/>
        </w:rPr>
        <w:t xml:space="preserve"> means to be exhausted</w:t>
      </w:r>
      <w:r w:rsidR="00AF270E">
        <w:rPr>
          <w:rFonts w:ascii="Cambria" w:hAnsi="Cambria" w:cs="Tahoma"/>
          <w:sz w:val="22"/>
          <w:lang w:val="en-US"/>
        </w:rPr>
        <w:t>,</w:t>
      </w:r>
      <w:r w:rsidR="005915AE">
        <w:rPr>
          <w:rStyle w:val="Voetnootmarkering"/>
          <w:rFonts w:ascii="Cambria" w:hAnsi="Cambria" w:cs="Tahoma"/>
          <w:sz w:val="22"/>
          <w:lang w:val="en-US"/>
        </w:rPr>
        <w:footnoteReference w:id="82"/>
      </w:r>
      <w:r w:rsidR="00AF270E">
        <w:rPr>
          <w:rFonts w:ascii="Cambria" w:hAnsi="Cambria" w:cs="Tahoma"/>
          <w:sz w:val="22"/>
          <w:lang w:val="en-US"/>
        </w:rPr>
        <w:t xml:space="preserve"> as </w:t>
      </w:r>
      <w:r w:rsidR="0086042D">
        <w:rPr>
          <w:rFonts w:ascii="Cambria" w:hAnsi="Cambria" w:cs="Tahoma"/>
          <w:sz w:val="22"/>
          <w:lang w:val="en-US"/>
        </w:rPr>
        <w:t xml:space="preserve">is </w:t>
      </w:r>
      <w:r w:rsidR="00AF270E" w:rsidRPr="00AF270E">
        <w:rPr>
          <w:rFonts w:ascii="Cambria" w:hAnsi="Cambria" w:cs="Tahoma"/>
          <w:sz w:val="22"/>
          <w:lang w:val="en-US"/>
        </w:rPr>
        <w:t>commonly applied to any more regular restriction of trade.</w:t>
      </w:r>
    </w:p>
    <w:p w:rsidR="00D37787" w:rsidRPr="00D054A9" w:rsidRDefault="00D37787" w:rsidP="00D37787">
      <w:pPr>
        <w:pStyle w:val="Lijstalinea"/>
        <w:ind w:left="0"/>
        <w:jc w:val="both"/>
        <w:rPr>
          <w:rFonts w:ascii="Cambria" w:hAnsi="Cambria" w:cs="Tahoma"/>
          <w:sz w:val="22"/>
        </w:rPr>
      </w:pPr>
      <w:r>
        <w:rPr>
          <w:rFonts w:ascii="Cambria" w:hAnsi="Cambria" w:cs="Tahoma"/>
          <w:sz w:val="22"/>
        </w:rPr>
        <w:t>T</w:t>
      </w:r>
      <w:r w:rsidRPr="00D37787">
        <w:rPr>
          <w:rFonts w:ascii="Cambria" w:hAnsi="Cambria" w:cs="Tahoma"/>
          <w:sz w:val="22"/>
        </w:rPr>
        <w:t xml:space="preserve">he Court appears to put the fundamental economic freedoms and </w:t>
      </w:r>
      <w:r>
        <w:rPr>
          <w:rFonts w:ascii="Cambria" w:hAnsi="Cambria" w:cs="Tahoma"/>
          <w:sz w:val="22"/>
        </w:rPr>
        <w:t xml:space="preserve">thereby political economic values </w:t>
      </w:r>
      <w:r w:rsidR="00480F0A">
        <w:rPr>
          <w:rFonts w:ascii="Cambria" w:hAnsi="Cambria" w:cs="Tahoma"/>
          <w:sz w:val="22"/>
        </w:rPr>
        <w:t>a</w:t>
      </w:r>
      <w:r w:rsidR="00796BE5">
        <w:rPr>
          <w:rFonts w:ascii="Cambria" w:hAnsi="Cambria" w:cs="Tahoma"/>
          <w:sz w:val="22"/>
        </w:rPr>
        <w:t>s</w:t>
      </w:r>
      <w:r w:rsidR="00480F0A">
        <w:rPr>
          <w:rFonts w:ascii="Cambria" w:hAnsi="Cambria" w:cs="Tahoma"/>
          <w:sz w:val="22"/>
        </w:rPr>
        <w:t xml:space="preserve"> its first point </w:t>
      </w:r>
      <w:r w:rsidR="00796BE5">
        <w:rPr>
          <w:rFonts w:ascii="Cambria" w:hAnsi="Cambria" w:cs="Tahoma"/>
          <w:sz w:val="22"/>
        </w:rPr>
        <w:t>on the</w:t>
      </w:r>
      <w:r w:rsidR="00480F0A">
        <w:rPr>
          <w:rFonts w:ascii="Cambria" w:hAnsi="Cambria" w:cs="Tahoma"/>
          <w:sz w:val="22"/>
        </w:rPr>
        <w:t xml:space="preserve"> agenda, </w:t>
      </w:r>
      <w:r w:rsidR="00480F0A">
        <w:rPr>
          <w:rFonts w:ascii="Cambria" w:hAnsi="Cambria"/>
          <w:sz w:val="22"/>
          <w:lang w:val="en-US"/>
        </w:rPr>
        <w:t xml:space="preserve">notwithstanding </w:t>
      </w:r>
      <w:r w:rsidR="00A47CCB">
        <w:rPr>
          <w:rFonts w:ascii="Cambria" w:hAnsi="Cambria"/>
          <w:sz w:val="22"/>
          <w:lang w:val="en-US"/>
        </w:rPr>
        <w:t xml:space="preserve">the sensitivity </w:t>
      </w:r>
      <w:r w:rsidR="00613DB8">
        <w:rPr>
          <w:rFonts w:ascii="Cambria" w:hAnsi="Cambria"/>
          <w:sz w:val="22"/>
          <w:lang w:val="en-US"/>
        </w:rPr>
        <w:t xml:space="preserve">of the area and </w:t>
      </w:r>
      <w:r w:rsidR="00480F0A">
        <w:rPr>
          <w:rFonts w:ascii="Cambria" w:hAnsi="Cambria"/>
          <w:sz w:val="22"/>
          <w:lang w:val="en-US"/>
        </w:rPr>
        <w:t xml:space="preserve">the fact that the national policy interest at stake (workers’ protection) </w:t>
      </w:r>
      <w:r w:rsidR="0086042D">
        <w:rPr>
          <w:rFonts w:ascii="Cambria" w:hAnsi="Cambria"/>
          <w:sz w:val="22"/>
          <w:lang w:val="en-US"/>
        </w:rPr>
        <w:t xml:space="preserve">coincides with </w:t>
      </w:r>
      <w:r w:rsidR="00480F0A">
        <w:rPr>
          <w:rFonts w:ascii="Cambria" w:hAnsi="Cambria"/>
          <w:sz w:val="22"/>
          <w:lang w:val="en-US"/>
        </w:rPr>
        <w:t xml:space="preserve">the Union’s objectives. </w:t>
      </w:r>
      <w:r w:rsidR="006B0B69">
        <w:rPr>
          <w:rFonts w:ascii="Cambria" w:hAnsi="Cambria"/>
          <w:sz w:val="22"/>
          <w:lang w:val="en-US"/>
        </w:rPr>
        <w:t>I</w:t>
      </w:r>
      <w:r w:rsidRPr="00D37787">
        <w:rPr>
          <w:rFonts w:ascii="Cambria" w:hAnsi="Cambria" w:cs="Tahoma"/>
          <w:sz w:val="22"/>
          <w:lang w:val="en-US"/>
        </w:rPr>
        <w:t xml:space="preserve">t </w:t>
      </w:r>
      <w:r w:rsidR="005A460B">
        <w:rPr>
          <w:rFonts w:ascii="Cambria" w:hAnsi="Cambria" w:cs="Tahoma"/>
          <w:sz w:val="22"/>
          <w:lang w:val="en-US"/>
        </w:rPr>
        <w:t xml:space="preserve">may </w:t>
      </w:r>
      <w:r w:rsidR="006B0B69">
        <w:rPr>
          <w:rFonts w:ascii="Cambria" w:hAnsi="Cambria" w:cs="Tahoma"/>
          <w:sz w:val="22"/>
          <w:lang w:val="en-US"/>
        </w:rPr>
        <w:t xml:space="preserve">even </w:t>
      </w:r>
      <w:r w:rsidR="005A460B">
        <w:rPr>
          <w:rFonts w:ascii="Cambria" w:hAnsi="Cambria" w:cs="Tahoma"/>
          <w:sz w:val="22"/>
          <w:lang w:val="en-US"/>
        </w:rPr>
        <w:t>appear</w:t>
      </w:r>
      <w:r w:rsidRPr="00D37787">
        <w:rPr>
          <w:rFonts w:ascii="Cambria" w:hAnsi="Cambria" w:cs="Tahoma"/>
          <w:sz w:val="22"/>
          <w:lang w:val="en-US"/>
        </w:rPr>
        <w:t xml:space="preserve"> that</w:t>
      </w:r>
      <w:r w:rsidR="00445D7A">
        <w:rPr>
          <w:rFonts w:ascii="Cambria" w:hAnsi="Cambria" w:cs="Tahoma"/>
          <w:sz w:val="22"/>
          <w:lang w:val="en-US"/>
        </w:rPr>
        <w:t xml:space="preserve"> the </w:t>
      </w:r>
      <w:r w:rsidR="006B0B69">
        <w:rPr>
          <w:rFonts w:ascii="Cambria" w:hAnsi="Cambria" w:cs="Tahoma"/>
          <w:sz w:val="22"/>
          <w:lang w:val="en-US"/>
        </w:rPr>
        <w:t xml:space="preserve">‘shared’ </w:t>
      </w:r>
      <w:r w:rsidR="00445D7A">
        <w:rPr>
          <w:rFonts w:ascii="Cambria" w:hAnsi="Cambria" w:cs="Tahoma"/>
          <w:sz w:val="22"/>
          <w:lang w:val="en-US"/>
        </w:rPr>
        <w:t>social value</w:t>
      </w:r>
      <w:r w:rsidRPr="00D37787">
        <w:rPr>
          <w:rFonts w:ascii="Cambria" w:hAnsi="Cambria" w:cs="Tahoma"/>
          <w:sz w:val="22"/>
          <w:lang w:val="en-US"/>
        </w:rPr>
        <w:t xml:space="preserve"> </w:t>
      </w:r>
      <w:r w:rsidR="00445D7A">
        <w:rPr>
          <w:rFonts w:ascii="Cambria" w:hAnsi="Cambria" w:cs="Tahoma"/>
          <w:sz w:val="22"/>
          <w:lang w:val="en-US"/>
        </w:rPr>
        <w:t xml:space="preserve">of workers’ protection </w:t>
      </w:r>
      <w:r>
        <w:rPr>
          <w:rFonts w:ascii="Cambria" w:hAnsi="Cambria" w:cs="Tahoma"/>
          <w:sz w:val="22"/>
          <w:lang w:val="en-US"/>
        </w:rPr>
        <w:t>-</w:t>
      </w:r>
      <w:r w:rsidR="005A460B">
        <w:rPr>
          <w:rFonts w:ascii="Cambria" w:hAnsi="Cambria" w:cs="Tahoma"/>
          <w:sz w:val="22"/>
          <w:lang w:val="en-US"/>
        </w:rPr>
        <w:t xml:space="preserve"> contrary to the singular, </w:t>
      </w:r>
      <w:r w:rsidRPr="00D37787">
        <w:rPr>
          <w:rFonts w:ascii="Cambria" w:hAnsi="Cambria" w:cs="Tahoma"/>
          <w:sz w:val="22"/>
          <w:lang w:val="en-US"/>
        </w:rPr>
        <w:t xml:space="preserve">national policy interests </w:t>
      </w:r>
      <w:r w:rsidR="005A460B">
        <w:rPr>
          <w:rFonts w:ascii="Cambria" w:hAnsi="Cambria" w:cs="Tahoma"/>
          <w:sz w:val="22"/>
          <w:lang w:val="en-US"/>
        </w:rPr>
        <w:t xml:space="preserve">in </w:t>
      </w:r>
      <w:r w:rsidRPr="00D37787">
        <w:rPr>
          <w:rFonts w:ascii="Cambria" w:hAnsi="Cambria" w:cs="Tahoma"/>
          <w:i/>
          <w:sz w:val="22"/>
          <w:lang w:val="en-US"/>
        </w:rPr>
        <w:t xml:space="preserve">Omega </w:t>
      </w:r>
      <w:r w:rsidRPr="00D37787">
        <w:rPr>
          <w:rFonts w:ascii="Cambria" w:hAnsi="Cambria" w:cs="Tahoma"/>
          <w:sz w:val="22"/>
          <w:lang w:val="en-US"/>
        </w:rPr>
        <w:t xml:space="preserve">or </w:t>
      </w:r>
      <w:r w:rsidRPr="00D37787">
        <w:rPr>
          <w:rFonts w:ascii="Cambria" w:hAnsi="Cambria" w:cs="Tahoma"/>
          <w:i/>
          <w:iCs/>
          <w:sz w:val="22"/>
        </w:rPr>
        <w:t>Sayn-Wittgenstein</w:t>
      </w:r>
      <w:r>
        <w:rPr>
          <w:rFonts w:ascii="Cambria" w:hAnsi="Cambria" w:cs="Tahoma"/>
          <w:sz w:val="22"/>
          <w:lang w:val="en-US"/>
        </w:rPr>
        <w:t xml:space="preserve"> </w:t>
      </w:r>
      <w:r w:rsidR="006B0B69">
        <w:rPr>
          <w:rFonts w:ascii="Cambria" w:hAnsi="Cambria" w:cs="Tahoma"/>
          <w:sz w:val="22"/>
          <w:lang w:val="en-US"/>
        </w:rPr>
        <w:t>–</w:t>
      </w:r>
      <w:r>
        <w:rPr>
          <w:rFonts w:ascii="Cambria" w:hAnsi="Cambria" w:cs="Tahoma"/>
          <w:sz w:val="22"/>
          <w:lang w:val="en-US"/>
        </w:rPr>
        <w:t xml:space="preserve"> </w:t>
      </w:r>
      <w:r w:rsidR="006B0B69">
        <w:rPr>
          <w:rFonts w:ascii="Cambria" w:hAnsi="Cambria" w:cs="Tahoma"/>
          <w:sz w:val="22"/>
          <w:lang w:val="en-US"/>
        </w:rPr>
        <w:t>represented</w:t>
      </w:r>
      <w:r w:rsidR="005A460B">
        <w:rPr>
          <w:rFonts w:ascii="Cambria" w:hAnsi="Cambria" w:cs="Tahoma"/>
          <w:sz w:val="22"/>
          <w:lang w:val="en-US"/>
        </w:rPr>
        <w:t xml:space="preserve"> a drawback</w:t>
      </w:r>
      <w:r w:rsidR="006B0B69">
        <w:rPr>
          <w:rFonts w:ascii="Cambria" w:hAnsi="Cambria" w:cs="Tahoma"/>
          <w:sz w:val="22"/>
          <w:lang w:val="en-US"/>
        </w:rPr>
        <w:t xml:space="preserve"> </w:t>
      </w:r>
      <w:r w:rsidR="00AF1CE9">
        <w:rPr>
          <w:rFonts w:ascii="Cambria" w:hAnsi="Cambria" w:cs="Tahoma"/>
          <w:sz w:val="22"/>
          <w:lang w:val="en-US"/>
        </w:rPr>
        <w:lastRenderedPageBreak/>
        <w:t xml:space="preserve">for a </w:t>
      </w:r>
      <w:r w:rsidR="005A460B">
        <w:rPr>
          <w:rFonts w:ascii="Cambria" w:hAnsi="Cambria" w:cs="Tahoma"/>
          <w:sz w:val="22"/>
          <w:lang w:val="en-US"/>
        </w:rPr>
        <w:t xml:space="preserve">more lenient </w:t>
      </w:r>
      <w:r w:rsidR="006B0B69">
        <w:rPr>
          <w:rFonts w:ascii="Cambria" w:hAnsi="Cambria" w:cs="Tahoma"/>
          <w:sz w:val="22"/>
          <w:lang w:val="en-US"/>
        </w:rPr>
        <w:t>proportionality test</w:t>
      </w:r>
      <w:r w:rsidR="005A460B">
        <w:rPr>
          <w:rFonts w:ascii="Cambria" w:hAnsi="Cambria" w:cs="Tahoma"/>
          <w:sz w:val="22"/>
          <w:lang w:val="en-US"/>
        </w:rPr>
        <w:t>.</w:t>
      </w:r>
      <w:r w:rsidR="002728D7">
        <w:rPr>
          <w:rStyle w:val="Voetnootmarkering"/>
          <w:rFonts w:ascii="Cambria" w:hAnsi="Cambria" w:cs="Tahoma"/>
          <w:sz w:val="22"/>
          <w:lang w:val="en-US"/>
        </w:rPr>
        <w:footnoteReference w:id="83"/>
      </w:r>
      <w:r w:rsidR="005A460B">
        <w:rPr>
          <w:rFonts w:ascii="Cambria" w:hAnsi="Cambria" w:cs="Tahoma"/>
          <w:sz w:val="22"/>
          <w:lang w:val="en-US"/>
        </w:rPr>
        <w:t xml:space="preserve"> </w:t>
      </w:r>
      <w:r w:rsidR="00AF1CE9">
        <w:rPr>
          <w:rFonts w:ascii="Cambria" w:hAnsi="Cambria" w:cs="Tahoma"/>
          <w:sz w:val="22"/>
          <w:lang w:val="en-US"/>
        </w:rPr>
        <w:t xml:space="preserve">Contrary </w:t>
      </w:r>
      <w:r w:rsidR="00763864">
        <w:rPr>
          <w:rFonts w:ascii="Cambria" w:hAnsi="Cambria" w:cs="Tahoma"/>
          <w:sz w:val="22"/>
          <w:lang w:val="en-US"/>
        </w:rPr>
        <w:t xml:space="preserve">also </w:t>
      </w:r>
      <w:r w:rsidR="00AF1CE9">
        <w:rPr>
          <w:rFonts w:ascii="Cambria" w:hAnsi="Cambria" w:cs="Tahoma"/>
          <w:sz w:val="22"/>
          <w:lang w:val="en-US"/>
        </w:rPr>
        <w:t xml:space="preserve">to </w:t>
      </w:r>
      <w:r w:rsidR="00AF1CE9">
        <w:rPr>
          <w:rFonts w:ascii="Cambria" w:hAnsi="Cambria" w:cs="Tahoma"/>
          <w:i/>
          <w:sz w:val="22"/>
          <w:lang w:val="en-US"/>
        </w:rPr>
        <w:t>Albany</w:t>
      </w:r>
      <w:r w:rsidR="00AF1CE9">
        <w:rPr>
          <w:rFonts w:ascii="Cambria" w:hAnsi="Cambria" w:cs="Tahoma"/>
          <w:sz w:val="22"/>
          <w:lang w:val="en-US"/>
        </w:rPr>
        <w:t>,</w:t>
      </w:r>
      <w:r w:rsidRPr="005A460B">
        <w:rPr>
          <w:rFonts w:ascii="Cambria" w:hAnsi="Cambria" w:cs="Tahoma"/>
          <w:i/>
          <w:sz w:val="22"/>
          <w:lang w:val="en-US"/>
        </w:rPr>
        <w:t xml:space="preserve"> </w:t>
      </w:r>
      <w:r w:rsidR="00AF1CE9" w:rsidRPr="00AF1CE9">
        <w:rPr>
          <w:rFonts w:ascii="Cambria" w:hAnsi="Cambria" w:cs="Tahoma"/>
          <w:sz w:val="22"/>
          <w:lang w:val="en-US"/>
        </w:rPr>
        <w:t xml:space="preserve">in which </w:t>
      </w:r>
      <w:r w:rsidRPr="00D37787">
        <w:rPr>
          <w:rFonts w:ascii="Cambria" w:hAnsi="Cambria" w:cs="Tahoma"/>
          <w:sz w:val="22"/>
          <w:lang w:val="en-US"/>
        </w:rPr>
        <w:t xml:space="preserve">the Treaty’s social policy objectives and European social dialogue </w:t>
      </w:r>
      <w:r w:rsidR="00AF1CE9">
        <w:rPr>
          <w:rFonts w:ascii="Cambria" w:hAnsi="Cambria" w:cs="Tahoma"/>
          <w:sz w:val="22"/>
          <w:lang w:val="en-US"/>
        </w:rPr>
        <w:t>‘</w:t>
      </w:r>
      <w:r w:rsidRPr="00D37787">
        <w:rPr>
          <w:rFonts w:ascii="Cambria" w:hAnsi="Cambria" w:cs="Tahoma"/>
          <w:sz w:val="22"/>
          <w:lang w:val="en-US"/>
        </w:rPr>
        <w:t>boosted</w:t>
      </w:r>
      <w:r w:rsidR="00AF1CE9">
        <w:rPr>
          <w:rFonts w:ascii="Cambria" w:hAnsi="Cambria" w:cs="Tahoma"/>
          <w:sz w:val="22"/>
          <w:lang w:val="en-US"/>
        </w:rPr>
        <w:t>’</w:t>
      </w:r>
      <w:r w:rsidRPr="00D37787">
        <w:rPr>
          <w:rFonts w:ascii="Cambria" w:hAnsi="Cambria" w:cs="Tahoma"/>
          <w:sz w:val="22"/>
          <w:lang w:val="en-US"/>
        </w:rPr>
        <w:t xml:space="preserve"> the social value of collective bargaining, in</w:t>
      </w:r>
      <w:r w:rsidR="00763864">
        <w:rPr>
          <w:rFonts w:ascii="Cambria" w:hAnsi="Cambria" w:cs="Tahoma"/>
          <w:sz w:val="22"/>
          <w:lang w:val="en-US"/>
        </w:rPr>
        <w:t xml:space="preserve"> the</w:t>
      </w:r>
      <w:r w:rsidRPr="00D37787">
        <w:rPr>
          <w:rFonts w:ascii="Cambria" w:hAnsi="Cambria" w:cs="Tahoma"/>
          <w:sz w:val="22"/>
          <w:lang w:val="en-US"/>
        </w:rPr>
        <w:t xml:space="preserve"> </w:t>
      </w:r>
      <w:r w:rsidR="00763864">
        <w:rPr>
          <w:rFonts w:ascii="Cambria" w:hAnsi="Cambria" w:cs="Tahoma"/>
          <w:sz w:val="22"/>
          <w:lang w:val="en-US"/>
        </w:rPr>
        <w:t xml:space="preserve">case of </w:t>
      </w:r>
      <w:r w:rsidR="00763864">
        <w:rPr>
          <w:rFonts w:ascii="Cambria" w:hAnsi="Cambria" w:cs="Tahoma"/>
          <w:i/>
          <w:sz w:val="22"/>
          <w:lang w:val="en-US"/>
        </w:rPr>
        <w:t>Laval</w:t>
      </w:r>
      <w:r w:rsidR="00763864" w:rsidRPr="00613DB8">
        <w:rPr>
          <w:rFonts w:ascii="Cambria" w:hAnsi="Cambria" w:cs="Tahoma"/>
          <w:sz w:val="22"/>
          <w:lang w:val="en-US"/>
        </w:rPr>
        <w:t xml:space="preserve"> </w:t>
      </w:r>
      <w:r w:rsidR="00613DB8" w:rsidRPr="00613DB8">
        <w:rPr>
          <w:rFonts w:ascii="Cambria" w:hAnsi="Cambria" w:cs="Tahoma"/>
          <w:sz w:val="22"/>
          <w:lang w:val="en-US"/>
        </w:rPr>
        <w:t>precisely</w:t>
      </w:r>
      <w:r w:rsidR="00613DB8">
        <w:rPr>
          <w:rFonts w:ascii="Cambria" w:hAnsi="Cambria" w:cs="Tahoma"/>
          <w:i/>
          <w:sz w:val="22"/>
          <w:lang w:val="en-US"/>
        </w:rPr>
        <w:t xml:space="preserve"> </w:t>
      </w:r>
      <w:r w:rsidRPr="00D37787">
        <w:rPr>
          <w:rFonts w:ascii="Cambria" w:hAnsi="Cambria" w:cs="Tahoma"/>
          <w:sz w:val="22"/>
          <w:lang w:val="en-US"/>
        </w:rPr>
        <w:t>Union law</w:t>
      </w:r>
      <w:r w:rsidR="00C07934">
        <w:rPr>
          <w:rFonts w:ascii="Cambria" w:hAnsi="Cambria" w:cs="Tahoma"/>
          <w:sz w:val="22"/>
          <w:lang w:val="en-US"/>
        </w:rPr>
        <w:t xml:space="preserve"> </w:t>
      </w:r>
      <w:r w:rsidR="00613DB8">
        <w:rPr>
          <w:rFonts w:ascii="Cambria" w:hAnsi="Cambria" w:cs="Tahoma"/>
          <w:sz w:val="22"/>
          <w:lang w:val="en-US"/>
        </w:rPr>
        <w:t xml:space="preserve">posed </w:t>
      </w:r>
      <w:r w:rsidRPr="00D37787">
        <w:rPr>
          <w:rFonts w:ascii="Cambria" w:hAnsi="Cambria" w:cs="Tahoma"/>
          <w:sz w:val="22"/>
          <w:lang w:val="en-US"/>
        </w:rPr>
        <w:t>an obstacle</w:t>
      </w:r>
      <w:r w:rsidR="00A16490">
        <w:rPr>
          <w:rFonts w:ascii="Cambria" w:hAnsi="Cambria" w:cs="Tahoma"/>
          <w:sz w:val="22"/>
          <w:lang w:val="en-US"/>
        </w:rPr>
        <w:t xml:space="preserve"> for this</w:t>
      </w:r>
      <w:r w:rsidRPr="00D37787">
        <w:rPr>
          <w:rFonts w:ascii="Cambria" w:hAnsi="Cambria" w:cs="Tahoma"/>
          <w:sz w:val="22"/>
          <w:lang w:val="en-US"/>
        </w:rPr>
        <w:t>. In respect of posted workers</w:t>
      </w:r>
      <w:r w:rsidR="00C07934">
        <w:rPr>
          <w:rFonts w:ascii="Cambria" w:hAnsi="Cambria" w:cs="Tahoma"/>
          <w:sz w:val="22"/>
          <w:lang w:val="en-US"/>
        </w:rPr>
        <w:t>,</w:t>
      </w:r>
      <w:r w:rsidRPr="00D37787">
        <w:rPr>
          <w:rFonts w:ascii="Cambria" w:hAnsi="Cambria" w:cs="Tahoma"/>
          <w:sz w:val="22"/>
          <w:lang w:val="en-US"/>
        </w:rPr>
        <w:t xml:space="preserve"> the </w:t>
      </w:r>
      <w:r w:rsidR="00AF1CE9">
        <w:rPr>
          <w:rFonts w:ascii="Cambria" w:hAnsi="Cambria" w:cs="Tahoma"/>
          <w:sz w:val="22"/>
          <w:lang w:val="en-US"/>
        </w:rPr>
        <w:t xml:space="preserve">Swedish tradition </w:t>
      </w:r>
      <w:r w:rsidRPr="00D37787">
        <w:rPr>
          <w:rFonts w:ascii="Cambria" w:hAnsi="Cambria" w:cs="Tahoma"/>
          <w:sz w:val="22"/>
          <w:lang w:val="en-US"/>
        </w:rPr>
        <w:t xml:space="preserve">of collective </w:t>
      </w:r>
      <w:r w:rsidR="00763864">
        <w:rPr>
          <w:rFonts w:ascii="Cambria" w:hAnsi="Cambria" w:cs="Tahoma"/>
          <w:sz w:val="22"/>
          <w:lang w:val="en-US"/>
        </w:rPr>
        <w:t>bar</w:t>
      </w:r>
      <w:r w:rsidR="00763864">
        <w:rPr>
          <w:rFonts w:ascii="Cambria" w:hAnsi="Cambria" w:cs="Tahoma"/>
          <w:sz w:val="22"/>
          <w:lang w:val="en-US"/>
        </w:rPr>
        <w:softHyphen/>
        <w:t>gai</w:t>
      </w:r>
      <w:r w:rsidRPr="00D37787">
        <w:rPr>
          <w:rFonts w:ascii="Cambria" w:hAnsi="Cambria" w:cs="Tahoma"/>
          <w:sz w:val="22"/>
          <w:lang w:val="en-US"/>
        </w:rPr>
        <w:t>ning</w:t>
      </w:r>
      <w:r w:rsidR="00613DB8">
        <w:rPr>
          <w:rFonts w:ascii="Cambria" w:hAnsi="Cambria" w:cs="Tahoma"/>
          <w:sz w:val="22"/>
          <w:lang w:val="en-US"/>
        </w:rPr>
        <w:t>,</w:t>
      </w:r>
      <w:r w:rsidRPr="00D37787">
        <w:rPr>
          <w:rFonts w:ascii="Cambria" w:hAnsi="Cambria" w:cs="Tahoma"/>
          <w:sz w:val="22"/>
          <w:lang w:val="en-US"/>
        </w:rPr>
        <w:t xml:space="preserve"> as well as the content of </w:t>
      </w:r>
      <w:r w:rsidR="006B0B69">
        <w:rPr>
          <w:rFonts w:ascii="Cambria" w:hAnsi="Cambria" w:cs="Tahoma"/>
          <w:sz w:val="22"/>
          <w:lang w:val="en-US"/>
        </w:rPr>
        <w:t xml:space="preserve">the </w:t>
      </w:r>
      <w:r w:rsidRPr="00D37787">
        <w:rPr>
          <w:rFonts w:ascii="Cambria" w:hAnsi="Cambria" w:cs="Tahoma"/>
          <w:sz w:val="22"/>
          <w:lang w:val="en-US"/>
        </w:rPr>
        <w:t>prospective collective agreeme</w:t>
      </w:r>
      <w:r w:rsidR="00AF1CE9">
        <w:rPr>
          <w:rFonts w:ascii="Cambria" w:hAnsi="Cambria" w:cs="Tahoma"/>
          <w:sz w:val="22"/>
          <w:lang w:val="en-US"/>
        </w:rPr>
        <w:t>nt</w:t>
      </w:r>
      <w:r w:rsidR="00763864">
        <w:rPr>
          <w:rFonts w:ascii="Cambria" w:hAnsi="Cambria" w:cs="Tahoma"/>
          <w:sz w:val="22"/>
          <w:lang w:val="en-US"/>
        </w:rPr>
        <w:t>,</w:t>
      </w:r>
      <w:r w:rsidR="00C07934">
        <w:rPr>
          <w:rFonts w:ascii="Cambria" w:hAnsi="Cambria" w:cs="Tahoma"/>
          <w:sz w:val="22"/>
          <w:lang w:val="en-US"/>
        </w:rPr>
        <w:t xml:space="preserve"> were </w:t>
      </w:r>
      <w:r w:rsidRPr="00D37787">
        <w:rPr>
          <w:rFonts w:ascii="Cambria" w:hAnsi="Cambria" w:cs="Tahoma"/>
          <w:sz w:val="22"/>
          <w:lang w:val="en-US"/>
        </w:rPr>
        <w:t xml:space="preserve">not </w:t>
      </w:r>
      <w:r w:rsidR="005A460B">
        <w:rPr>
          <w:rFonts w:ascii="Cambria" w:hAnsi="Cambria" w:cs="Tahoma"/>
          <w:sz w:val="22"/>
          <w:lang w:val="en-US"/>
        </w:rPr>
        <w:t xml:space="preserve">considered to be </w:t>
      </w:r>
      <w:r w:rsidRPr="00D37787">
        <w:rPr>
          <w:rFonts w:ascii="Cambria" w:hAnsi="Cambria" w:cs="Tahoma"/>
          <w:sz w:val="22"/>
          <w:lang w:val="en-US"/>
        </w:rPr>
        <w:t>in conformity with the Posting Directive.</w:t>
      </w:r>
      <w:r w:rsidR="005A460B" w:rsidRPr="005A460B">
        <w:rPr>
          <w:rFonts w:ascii="Cambria" w:hAnsi="Cambria" w:cs="Tahoma"/>
          <w:sz w:val="22"/>
          <w:vertAlign w:val="superscript"/>
        </w:rPr>
        <w:footnoteReference w:id="84"/>
      </w:r>
      <w:r w:rsidR="005A460B" w:rsidRPr="005A460B">
        <w:rPr>
          <w:rFonts w:ascii="Cambria" w:hAnsi="Cambria" w:cs="Tahoma"/>
          <w:sz w:val="22"/>
        </w:rPr>
        <w:t xml:space="preserve"> </w:t>
      </w:r>
      <w:r w:rsidR="00613DB8">
        <w:rPr>
          <w:rFonts w:ascii="Cambria" w:hAnsi="Cambria" w:cs="Tahoma"/>
          <w:sz w:val="22"/>
        </w:rPr>
        <w:t xml:space="preserve">Yet, </w:t>
      </w:r>
      <w:r w:rsidR="00EC6B59">
        <w:rPr>
          <w:rFonts w:ascii="Cambria" w:hAnsi="Cambria" w:cs="Tahoma"/>
          <w:sz w:val="22"/>
        </w:rPr>
        <w:t xml:space="preserve">this Directive is without prejudice to </w:t>
      </w:r>
      <w:r w:rsidR="007E241D">
        <w:rPr>
          <w:rFonts w:ascii="Cambria" w:hAnsi="Cambria" w:cs="Tahoma"/>
          <w:sz w:val="22"/>
        </w:rPr>
        <w:t xml:space="preserve">national </w:t>
      </w:r>
      <w:r w:rsidR="00EC6B59">
        <w:rPr>
          <w:rFonts w:ascii="Cambria" w:hAnsi="Cambria" w:cs="Tahoma"/>
          <w:sz w:val="22"/>
        </w:rPr>
        <w:t>collective action.</w:t>
      </w:r>
      <w:r w:rsidR="00415ECF">
        <w:rPr>
          <w:rStyle w:val="Voetnootmarkering"/>
          <w:rFonts w:ascii="Cambria" w:hAnsi="Cambria" w:cs="Tahoma"/>
          <w:sz w:val="22"/>
        </w:rPr>
        <w:footnoteReference w:id="85"/>
      </w:r>
      <w:r w:rsidR="00EC6B59">
        <w:rPr>
          <w:rFonts w:ascii="Cambria" w:hAnsi="Cambria" w:cs="Tahoma"/>
          <w:sz w:val="22"/>
        </w:rPr>
        <w:t xml:space="preserve"> </w:t>
      </w:r>
      <w:r w:rsidR="007E241D">
        <w:rPr>
          <w:rFonts w:ascii="Cambria" w:hAnsi="Cambria" w:cs="Tahoma"/>
          <w:sz w:val="22"/>
        </w:rPr>
        <w:t xml:space="preserve">Besides, </w:t>
      </w:r>
      <w:r w:rsidR="00EC6B59">
        <w:rPr>
          <w:rFonts w:ascii="Cambria" w:hAnsi="Cambria" w:cs="Tahoma"/>
          <w:sz w:val="22"/>
          <w:lang w:val="en-US"/>
        </w:rPr>
        <w:t xml:space="preserve">in </w:t>
      </w:r>
      <w:r w:rsidRPr="00D37787">
        <w:rPr>
          <w:rFonts w:ascii="Cambria" w:hAnsi="Cambria" w:cs="Tahoma"/>
          <w:sz w:val="22"/>
          <w:lang w:val="en-US"/>
        </w:rPr>
        <w:t xml:space="preserve">the </w:t>
      </w:r>
      <w:r w:rsidR="00763864">
        <w:rPr>
          <w:rFonts w:ascii="Cambria" w:hAnsi="Cambria" w:cs="Tahoma"/>
          <w:sz w:val="22"/>
          <w:lang w:val="en-US"/>
        </w:rPr>
        <w:t xml:space="preserve">Court’s </w:t>
      </w:r>
      <w:r w:rsidRPr="00D37787">
        <w:rPr>
          <w:rFonts w:ascii="Cambria" w:hAnsi="Cambria" w:cs="Tahoma"/>
          <w:sz w:val="22"/>
          <w:lang w:val="en-US"/>
        </w:rPr>
        <w:t>interpretation</w:t>
      </w:r>
      <w:r w:rsidR="00EC6B59">
        <w:rPr>
          <w:rFonts w:ascii="Cambria" w:hAnsi="Cambria" w:cs="Tahoma"/>
          <w:sz w:val="22"/>
          <w:lang w:val="en-US"/>
        </w:rPr>
        <w:t xml:space="preserve"> of the</w:t>
      </w:r>
      <w:r w:rsidR="005A460B">
        <w:rPr>
          <w:rFonts w:ascii="Cambria" w:hAnsi="Cambria" w:cs="Tahoma"/>
          <w:sz w:val="22"/>
          <w:lang w:val="en-US"/>
        </w:rPr>
        <w:t xml:space="preserve"> Directive, also </w:t>
      </w:r>
      <w:r w:rsidRPr="00D37787">
        <w:rPr>
          <w:rFonts w:ascii="Cambria" w:hAnsi="Cambria" w:cs="Tahoma"/>
          <w:sz w:val="22"/>
          <w:lang w:val="en-US"/>
        </w:rPr>
        <w:t xml:space="preserve">more generally, the balance </w:t>
      </w:r>
      <w:r w:rsidR="00763864">
        <w:rPr>
          <w:rFonts w:ascii="Cambria" w:hAnsi="Cambria" w:cs="Tahoma"/>
          <w:sz w:val="22"/>
          <w:lang w:val="en-US"/>
        </w:rPr>
        <w:t>seems</w:t>
      </w:r>
      <w:r w:rsidR="00796BE5">
        <w:rPr>
          <w:rFonts w:ascii="Cambria" w:hAnsi="Cambria" w:cs="Tahoma"/>
          <w:sz w:val="22"/>
          <w:lang w:val="en-US"/>
        </w:rPr>
        <w:t xml:space="preserve"> to be</w:t>
      </w:r>
      <w:r w:rsidR="00763864">
        <w:rPr>
          <w:rFonts w:ascii="Cambria" w:hAnsi="Cambria" w:cs="Tahoma"/>
          <w:sz w:val="22"/>
          <w:lang w:val="en-US"/>
        </w:rPr>
        <w:t xml:space="preserve"> </w:t>
      </w:r>
      <w:r w:rsidR="007E241D">
        <w:rPr>
          <w:rFonts w:ascii="Cambria" w:hAnsi="Cambria" w:cs="Tahoma"/>
          <w:sz w:val="22"/>
          <w:lang w:val="en-US"/>
        </w:rPr>
        <w:t xml:space="preserve">again </w:t>
      </w:r>
      <w:r w:rsidRPr="00D37787">
        <w:rPr>
          <w:rFonts w:ascii="Cambria" w:hAnsi="Cambria" w:cs="Tahoma"/>
          <w:sz w:val="22"/>
          <w:lang w:val="en-US"/>
        </w:rPr>
        <w:t>tilted to</w:t>
      </w:r>
      <w:r w:rsidR="00796BE5">
        <w:rPr>
          <w:rFonts w:ascii="Cambria" w:hAnsi="Cambria" w:cs="Tahoma"/>
          <w:sz w:val="22"/>
          <w:lang w:val="en-US"/>
        </w:rPr>
        <w:t>wards</w:t>
      </w:r>
      <w:r w:rsidRPr="00D37787">
        <w:rPr>
          <w:rFonts w:ascii="Cambria" w:hAnsi="Cambria" w:cs="Tahoma"/>
          <w:sz w:val="22"/>
          <w:lang w:val="en-US"/>
        </w:rPr>
        <w:t xml:space="preserve"> </w:t>
      </w:r>
      <w:r w:rsidR="00C07934">
        <w:rPr>
          <w:rFonts w:ascii="Cambria" w:hAnsi="Cambria" w:cs="Tahoma"/>
          <w:sz w:val="22"/>
          <w:lang w:val="en-US"/>
        </w:rPr>
        <w:t xml:space="preserve">the </w:t>
      </w:r>
      <w:r w:rsidRPr="00D37787">
        <w:rPr>
          <w:rFonts w:ascii="Cambria" w:hAnsi="Cambria" w:cs="Tahoma"/>
          <w:sz w:val="22"/>
          <w:lang w:val="en-US"/>
        </w:rPr>
        <w:t>economic values</w:t>
      </w:r>
      <w:r w:rsidR="00AF1CE9">
        <w:rPr>
          <w:rFonts w:ascii="Cambria" w:hAnsi="Cambria" w:cs="Tahoma"/>
          <w:sz w:val="22"/>
          <w:lang w:val="en-US"/>
        </w:rPr>
        <w:t>.</w:t>
      </w:r>
      <w:r w:rsidR="00A16490">
        <w:rPr>
          <w:rFonts w:ascii="Cambria" w:hAnsi="Cambria" w:cs="Tahoma"/>
          <w:sz w:val="22"/>
          <w:lang w:val="en-US"/>
        </w:rPr>
        <w:t xml:space="preserve"> </w:t>
      </w:r>
      <w:r w:rsidRPr="00D37787">
        <w:rPr>
          <w:rFonts w:ascii="Cambria" w:hAnsi="Cambria" w:cs="Tahoma"/>
          <w:sz w:val="22"/>
          <w:lang w:val="en-US"/>
        </w:rPr>
        <w:t xml:space="preserve">Relying on the freedom of services, the </w:t>
      </w:r>
      <w:r w:rsidR="001D043E">
        <w:rPr>
          <w:rFonts w:ascii="Cambria" w:hAnsi="Cambria" w:cs="Tahoma"/>
          <w:sz w:val="22"/>
          <w:lang w:val="en-US"/>
        </w:rPr>
        <w:t>CJEU</w:t>
      </w:r>
      <w:r w:rsidRPr="00D37787">
        <w:rPr>
          <w:rFonts w:ascii="Cambria" w:hAnsi="Cambria" w:cs="Tahoma"/>
          <w:sz w:val="22"/>
          <w:lang w:val="en-US"/>
        </w:rPr>
        <w:t xml:space="preserve"> sidelined </w:t>
      </w:r>
      <w:r w:rsidR="005A460B">
        <w:rPr>
          <w:rFonts w:ascii="Cambria" w:hAnsi="Cambria" w:cs="Tahoma"/>
          <w:sz w:val="22"/>
          <w:lang w:val="en-US"/>
        </w:rPr>
        <w:t xml:space="preserve">in several cases </w:t>
      </w:r>
      <w:r w:rsidRPr="00D37787">
        <w:rPr>
          <w:rFonts w:ascii="Cambria" w:hAnsi="Cambria" w:cs="Tahoma"/>
          <w:sz w:val="22"/>
          <w:lang w:val="en-US"/>
        </w:rPr>
        <w:t>the minimum character of the Directive</w:t>
      </w:r>
      <w:r w:rsidR="007E241D">
        <w:rPr>
          <w:rFonts w:ascii="Cambria" w:hAnsi="Cambria" w:cs="Tahoma"/>
          <w:sz w:val="22"/>
          <w:lang w:val="en-US"/>
        </w:rPr>
        <w:t xml:space="preserve">, which lays down minimum requirements of </w:t>
      </w:r>
      <w:r w:rsidR="00EC6B59">
        <w:rPr>
          <w:rFonts w:ascii="Cambria" w:hAnsi="Cambria" w:cs="Tahoma"/>
          <w:sz w:val="22"/>
          <w:lang w:val="en-US"/>
        </w:rPr>
        <w:t xml:space="preserve">protection and </w:t>
      </w:r>
      <w:r w:rsidRPr="00D37787">
        <w:rPr>
          <w:rFonts w:ascii="Cambria" w:hAnsi="Cambria" w:cs="Tahoma"/>
          <w:sz w:val="22"/>
          <w:lang w:val="en-US"/>
        </w:rPr>
        <w:t>expres</w:t>
      </w:r>
      <w:r w:rsidR="00C07934">
        <w:rPr>
          <w:rFonts w:ascii="Cambria" w:hAnsi="Cambria" w:cs="Tahoma"/>
          <w:sz w:val="22"/>
          <w:lang w:val="en-US"/>
        </w:rPr>
        <w:softHyphen/>
      </w:r>
      <w:r w:rsidRPr="00D37787">
        <w:rPr>
          <w:rFonts w:ascii="Cambria" w:hAnsi="Cambria" w:cs="Tahoma"/>
          <w:sz w:val="22"/>
          <w:lang w:val="en-US"/>
        </w:rPr>
        <w:t xml:space="preserve">sly </w:t>
      </w:r>
      <w:r w:rsidR="007E241D">
        <w:rPr>
          <w:rFonts w:ascii="Cambria" w:hAnsi="Cambria" w:cs="Tahoma"/>
          <w:sz w:val="22"/>
        </w:rPr>
        <w:t>allows</w:t>
      </w:r>
      <w:r w:rsidRPr="00D37787">
        <w:rPr>
          <w:rFonts w:ascii="Cambria" w:hAnsi="Cambria" w:cs="Tahoma"/>
          <w:sz w:val="22"/>
        </w:rPr>
        <w:t xml:space="preserve"> </w:t>
      </w:r>
      <w:r w:rsidR="007E241D">
        <w:rPr>
          <w:rFonts w:ascii="Cambria" w:hAnsi="Cambria" w:cs="Tahoma"/>
          <w:sz w:val="22"/>
        </w:rPr>
        <w:t xml:space="preserve">for </w:t>
      </w:r>
      <w:r w:rsidRPr="00D37787">
        <w:rPr>
          <w:rFonts w:ascii="Cambria" w:hAnsi="Cambria" w:cs="Tahoma"/>
          <w:sz w:val="22"/>
        </w:rPr>
        <w:t xml:space="preserve">employment </w:t>
      </w:r>
      <w:r w:rsidR="007E241D">
        <w:rPr>
          <w:rFonts w:ascii="Cambria" w:hAnsi="Cambria" w:cs="Tahoma"/>
          <w:sz w:val="22"/>
        </w:rPr>
        <w:t xml:space="preserve">conditions that </w:t>
      </w:r>
      <w:r w:rsidR="00AF1CE9">
        <w:rPr>
          <w:rFonts w:ascii="Cambria" w:hAnsi="Cambria" w:cs="Tahoma"/>
          <w:sz w:val="22"/>
        </w:rPr>
        <w:t>are more favourable to workers.</w:t>
      </w:r>
      <w:r w:rsidR="00A16490" w:rsidRPr="00A16490">
        <w:rPr>
          <w:rFonts w:ascii="Cambria" w:hAnsi="Cambria" w:cs="Tahoma"/>
          <w:sz w:val="22"/>
          <w:vertAlign w:val="superscript"/>
          <w:lang w:val="en-US"/>
        </w:rPr>
        <w:footnoteReference w:id="86"/>
      </w:r>
      <w:r w:rsidR="00AF1CE9" w:rsidRPr="00AF1CE9">
        <w:rPr>
          <w:rFonts w:ascii="Cambria" w:hAnsi="Cambria" w:cs="Tahoma"/>
          <w:sz w:val="22"/>
          <w:lang w:val="en-US"/>
        </w:rPr>
        <w:t xml:space="preserve"> </w:t>
      </w:r>
      <w:r w:rsidR="00796BE5">
        <w:rPr>
          <w:rFonts w:ascii="Cambria" w:hAnsi="Cambria" w:cs="Tahoma"/>
          <w:sz w:val="22"/>
          <w:lang w:val="en-US"/>
        </w:rPr>
        <w:t>In</w:t>
      </w:r>
      <w:r w:rsidR="00A21AE0">
        <w:rPr>
          <w:rFonts w:ascii="Cambria" w:hAnsi="Cambria" w:cs="Tahoma"/>
          <w:sz w:val="22"/>
          <w:lang w:val="en-US"/>
        </w:rPr>
        <w:t xml:space="preserve"> the same vein, </w:t>
      </w:r>
      <w:r w:rsidR="00415ECF">
        <w:rPr>
          <w:rFonts w:ascii="Cambria" w:hAnsi="Cambria" w:cs="Tahoma"/>
          <w:sz w:val="22"/>
          <w:lang w:val="en-US"/>
        </w:rPr>
        <w:t xml:space="preserve">also </w:t>
      </w:r>
      <w:r w:rsidR="00A21AE0">
        <w:rPr>
          <w:rFonts w:ascii="Cambria" w:hAnsi="Cambria" w:cs="Tahoma"/>
          <w:sz w:val="22"/>
          <w:lang w:val="en-US"/>
        </w:rPr>
        <w:t xml:space="preserve">in </w:t>
      </w:r>
      <w:r w:rsidR="00A21AE0" w:rsidRPr="00A21AE0">
        <w:rPr>
          <w:rFonts w:ascii="Cambria" w:hAnsi="Cambria" w:cs="Tahoma"/>
          <w:sz w:val="22"/>
        </w:rPr>
        <w:t xml:space="preserve">the case of </w:t>
      </w:r>
      <w:r w:rsidR="00A21AE0" w:rsidRPr="00A16490">
        <w:rPr>
          <w:rFonts w:ascii="Cambria" w:hAnsi="Cambria" w:cs="Tahoma"/>
          <w:i/>
          <w:sz w:val="22"/>
        </w:rPr>
        <w:t>Alemo Herron</w:t>
      </w:r>
      <w:r w:rsidR="00D054A9">
        <w:rPr>
          <w:rFonts w:ascii="Cambria" w:hAnsi="Cambria" w:cs="Tahoma"/>
          <w:sz w:val="22"/>
        </w:rPr>
        <w:t xml:space="preserve"> </w:t>
      </w:r>
      <w:r w:rsidR="00A21AE0">
        <w:rPr>
          <w:rFonts w:ascii="Cambria" w:hAnsi="Cambria" w:cs="Tahoma"/>
          <w:sz w:val="22"/>
          <w:lang w:val="en-US"/>
        </w:rPr>
        <w:t>minimum requirements of European social policy were turned into maxi</w:t>
      </w:r>
      <w:r w:rsidR="007E241D">
        <w:rPr>
          <w:rFonts w:ascii="Cambria" w:hAnsi="Cambria" w:cs="Tahoma"/>
          <w:sz w:val="22"/>
          <w:lang w:val="en-US"/>
        </w:rPr>
        <w:softHyphen/>
      </w:r>
      <w:r w:rsidR="00A21AE0">
        <w:rPr>
          <w:rFonts w:ascii="Cambria" w:hAnsi="Cambria" w:cs="Tahoma"/>
          <w:sz w:val="22"/>
          <w:lang w:val="en-US"/>
        </w:rPr>
        <w:t>mum ones.</w:t>
      </w:r>
      <w:r w:rsidR="00D054A9" w:rsidRPr="00D054A9">
        <w:rPr>
          <w:rFonts w:ascii="Cambria" w:hAnsi="Cambria" w:cs="Tahoma"/>
          <w:sz w:val="22"/>
          <w:vertAlign w:val="superscript"/>
        </w:rPr>
        <w:footnoteReference w:id="87"/>
      </w:r>
      <w:r w:rsidR="00D054A9">
        <w:rPr>
          <w:rFonts w:ascii="Cambria" w:hAnsi="Cambria" w:cs="Tahoma"/>
          <w:sz w:val="22"/>
          <w:lang w:val="en-US"/>
        </w:rPr>
        <w:t xml:space="preserve"> </w:t>
      </w:r>
      <w:r w:rsidR="00A21AE0">
        <w:rPr>
          <w:rFonts w:ascii="Cambria" w:hAnsi="Cambria" w:cs="Tahoma"/>
          <w:sz w:val="22"/>
          <w:lang w:val="en-US"/>
        </w:rPr>
        <w:t xml:space="preserve">In this case relying </w:t>
      </w:r>
      <w:r w:rsidR="00A21AE0">
        <w:rPr>
          <w:rFonts w:ascii="Cambria" w:hAnsi="Cambria" w:cs="Tahoma"/>
          <w:sz w:val="22"/>
        </w:rPr>
        <w:t xml:space="preserve">on the (economic) freedom to conduct a business, </w:t>
      </w:r>
      <w:r w:rsidRPr="00D37787">
        <w:rPr>
          <w:rFonts w:ascii="Cambria" w:hAnsi="Cambria" w:cs="Tahoma"/>
          <w:sz w:val="22"/>
        </w:rPr>
        <w:t>protected by article 16 of th</w:t>
      </w:r>
      <w:r w:rsidR="00AF1CE9">
        <w:rPr>
          <w:rFonts w:ascii="Cambria" w:hAnsi="Cambria" w:cs="Tahoma"/>
          <w:sz w:val="22"/>
        </w:rPr>
        <w:t>e Charter (see also infra, 5.2)</w:t>
      </w:r>
      <w:r w:rsidR="00A21AE0">
        <w:rPr>
          <w:rFonts w:ascii="Cambria" w:hAnsi="Cambria" w:cs="Tahoma"/>
          <w:sz w:val="22"/>
        </w:rPr>
        <w:t xml:space="preserve">, </w:t>
      </w:r>
      <w:r w:rsidR="00D054A9">
        <w:rPr>
          <w:rFonts w:ascii="Cambria" w:hAnsi="Cambria" w:cs="Tahoma"/>
          <w:sz w:val="22"/>
        </w:rPr>
        <w:t xml:space="preserve">the Court </w:t>
      </w:r>
      <w:r w:rsidR="00A21AE0">
        <w:rPr>
          <w:rFonts w:ascii="Cambria" w:hAnsi="Cambria" w:cs="Tahoma"/>
          <w:sz w:val="22"/>
        </w:rPr>
        <w:t xml:space="preserve">ruled that </w:t>
      </w:r>
      <w:r w:rsidRPr="00D37787">
        <w:rPr>
          <w:rFonts w:ascii="Cambria" w:hAnsi="Cambria" w:cs="Tahoma"/>
          <w:sz w:val="22"/>
        </w:rPr>
        <w:t>so</w:t>
      </w:r>
      <w:r w:rsidR="00796BE5">
        <w:rPr>
          <w:rFonts w:ascii="Cambria" w:hAnsi="Cambria" w:cs="Tahoma"/>
          <w:sz w:val="22"/>
        </w:rPr>
        <w:t>-</w:t>
      </w:r>
      <w:r w:rsidRPr="00D37787">
        <w:rPr>
          <w:rFonts w:ascii="Cambria" w:hAnsi="Cambria" w:cs="Tahoma"/>
          <w:sz w:val="22"/>
        </w:rPr>
        <w:t>called dynamic clau</w:t>
      </w:r>
      <w:r w:rsidRPr="00D37787">
        <w:rPr>
          <w:rFonts w:ascii="Cambria" w:hAnsi="Cambria" w:cs="Tahoma"/>
          <w:sz w:val="22"/>
        </w:rPr>
        <w:softHyphen/>
        <w:t xml:space="preserve">ses of collective agreements were not enforceable against the transferee in case of </w:t>
      </w:r>
      <w:r w:rsidR="00796BE5">
        <w:rPr>
          <w:rFonts w:ascii="Cambria" w:hAnsi="Cambria" w:cs="Tahoma"/>
          <w:sz w:val="22"/>
        </w:rPr>
        <w:t xml:space="preserve">the </w:t>
      </w:r>
      <w:r w:rsidRPr="00D37787">
        <w:rPr>
          <w:rFonts w:ascii="Cambria" w:hAnsi="Cambria" w:cs="Tahoma"/>
          <w:sz w:val="22"/>
        </w:rPr>
        <w:t xml:space="preserve">transfer of </w:t>
      </w:r>
      <w:r w:rsidR="00796BE5">
        <w:rPr>
          <w:rFonts w:ascii="Cambria" w:hAnsi="Cambria" w:cs="Tahoma"/>
          <w:sz w:val="22"/>
        </w:rPr>
        <w:t xml:space="preserve">an </w:t>
      </w:r>
      <w:r w:rsidRPr="00D37787">
        <w:rPr>
          <w:rFonts w:ascii="Cambria" w:hAnsi="Cambria" w:cs="Tahoma"/>
          <w:sz w:val="22"/>
        </w:rPr>
        <w:t>under</w:t>
      </w:r>
      <w:r w:rsidR="007E241D">
        <w:rPr>
          <w:rFonts w:ascii="Cambria" w:hAnsi="Cambria" w:cs="Tahoma"/>
          <w:sz w:val="22"/>
        </w:rPr>
        <w:softHyphen/>
      </w:r>
      <w:r w:rsidRPr="00D37787">
        <w:rPr>
          <w:rFonts w:ascii="Cambria" w:hAnsi="Cambria" w:cs="Tahoma"/>
          <w:sz w:val="22"/>
        </w:rPr>
        <w:t xml:space="preserve">taking, </w:t>
      </w:r>
      <w:r w:rsidR="007E241D" w:rsidRPr="00D37787">
        <w:rPr>
          <w:rFonts w:ascii="Cambria" w:hAnsi="Cambria" w:cs="Tahoma"/>
          <w:sz w:val="22"/>
        </w:rPr>
        <w:t>notwithstanding</w:t>
      </w:r>
      <w:r w:rsidRPr="00D37787">
        <w:rPr>
          <w:rFonts w:ascii="Cambria" w:hAnsi="Cambria" w:cs="Tahoma"/>
          <w:sz w:val="22"/>
        </w:rPr>
        <w:t xml:space="preserve"> the fact that also the Transfer of Undertaking Direc</w:t>
      </w:r>
      <w:r w:rsidRPr="00D37787">
        <w:rPr>
          <w:rFonts w:ascii="Cambria" w:hAnsi="Cambria" w:cs="Tahoma"/>
          <w:sz w:val="22"/>
        </w:rPr>
        <w:softHyphen/>
        <w:t xml:space="preserve">tive allows member states </w:t>
      </w:r>
      <w:r w:rsidR="00D054A9">
        <w:rPr>
          <w:rFonts w:ascii="Cambria" w:hAnsi="Cambria" w:cs="Tahoma"/>
          <w:sz w:val="22"/>
        </w:rPr>
        <w:t xml:space="preserve">to enact laws or </w:t>
      </w:r>
      <w:r w:rsidRPr="00D37787">
        <w:rPr>
          <w:rFonts w:ascii="Cambria" w:hAnsi="Cambria" w:cs="Tahoma"/>
          <w:sz w:val="22"/>
        </w:rPr>
        <w:t>to promote</w:t>
      </w:r>
      <w:r w:rsidR="00D054A9">
        <w:rPr>
          <w:rFonts w:ascii="Cambria" w:hAnsi="Cambria" w:cs="Tahoma"/>
          <w:sz w:val="22"/>
        </w:rPr>
        <w:t>/</w:t>
      </w:r>
      <w:r w:rsidRPr="00D37787">
        <w:rPr>
          <w:rFonts w:ascii="Cambria" w:hAnsi="Cambria" w:cs="Tahoma"/>
          <w:sz w:val="22"/>
        </w:rPr>
        <w:t xml:space="preserve">permit collective agreements </w:t>
      </w:r>
      <w:r w:rsidR="00796BE5">
        <w:rPr>
          <w:rFonts w:ascii="Cambria" w:hAnsi="Cambria" w:cs="Tahoma"/>
          <w:sz w:val="22"/>
        </w:rPr>
        <w:t xml:space="preserve">which are </w:t>
      </w:r>
      <w:r w:rsidRPr="00D37787">
        <w:rPr>
          <w:rFonts w:ascii="Cambria" w:hAnsi="Cambria" w:cs="Tahoma"/>
          <w:sz w:val="22"/>
        </w:rPr>
        <w:t>more favourable to em</w:t>
      </w:r>
      <w:r w:rsidR="007E241D">
        <w:rPr>
          <w:rFonts w:ascii="Cambria" w:hAnsi="Cambria" w:cs="Tahoma"/>
          <w:sz w:val="22"/>
        </w:rPr>
        <w:softHyphen/>
      </w:r>
      <w:r w:rsidRPr="00D37787">
        <w:rPr>
          <w:rFonts w:ascii="Cambria" w:hAnsi="Cambria" w:cs="Tahoma"/>
          <w:sz w:val="22"/>
        </w:rPr>
        <w:t>ployees.</w:t>
      </w:r>
      <w:r w:rsidRPr="00D37787">
        <w:rPr>
          <w:rFonts w:ascii="Cambria" w:hAnsi="Cambria" w:cs="Tahoma"/>
          <w:sz w:val="22"/>
          <w:vertAlign w:val="superscript"/>
        </w:rPr>
        <w:footnoteReference w:id="88"/>
      </w:r>
      <w:r w:rsidR="00452F48" w:rsidRPr="00452F48">
        <w:rPr>
          <w:rStyle w:val="Voetnootmarkering"/>
        </w:rPr>
        <w:t xml:space="preserve"> </w:t>
      </w:r>
    </w:p>
    <w:p w:rsidR="00741D4F" w:rsidRPr="00796BE5" w:rsidRDefault="00741D4F" w:rsidP="00B25E82">
      <w:pPr>
        <w:pStyle w:val="Lijstalinea"/>
        <w:ind w:left="0"/>
        <w:jc w:val="both"/>
        <w:rPr>
          <w:rFonts w:ascii="Cambria" w:hAnsi="Cambria" w:cs="Tahoma"/>
          <w:sz w:val="22"/>
        </w:rPr>
      </w:pPr>
    </w:p>
    <w:p w:rsidR="00A47CCB" w:rsidRPr="00B333C0" w:rsidRDefault="00791207" w:rsidP="00B25E82">
      <w:pPr>
        <w:pStyle w:val="Lijstalinea"/>
        <w:ind w:left="0"/>
        <w:jc w:val="both"/>
        <w:rPr>
          <w:rFonts w:ascii="Cambria" w:hAnsi="Cambria"/>
          <w:sz w:val="22"/>
          <w:szCs w:val="22"/>
        </w:rPr>
      </w:pPr>
      <w:r w:rsidRPr="009B0063">
        <w:rPr>
          <w:rFonts w:ascii="Cambria" w:hAnsi="Cambria" w:cs="Tahoma"/>
          <w:sz w:val="22"/>
          <w:szCs w:val="22"/>
          <w:lang w:val="en-US"/>
        </w:rPr>
        <w:t xml:space="preserve">Are </w:t>
      </w:r>
      <w:r w:rsidR="00AB62F7" w:rsidRPr="009B0063">
        <w:rPr>
          <w:rFonts w:ascii="Cambria" w:hAnsi="Cambria" w:cs="Tahoma"/>
          <w:sz w:val="22"/>
          <w:szCs w:val="22"/>
          <w:lang w:val="en-US"/>
        </w:rPr>
        <w:t xml:space="preserve">cases like Viking, Laval and Alemo Herron </w:t>
      </w:r>
      <w:r w:rsidR="003C1263" w:rsidRPr="009B0063">
        <w:rPr>
          <w:rFonts w:ascii="Cambria" w:hAnsi="Cambria"/>
          <w:sz w:val="22"/>
          <w:szCs w:val="22"/>
        </w:rPr>
        <w:t xml:space="preserve">out of play </w:t>
      </w:r>
      <w:r w:rsidRPr="009B0063">
        <w:rPr>
          <w:rFonts w:ascii="Cambria" w:hAnsi="Cambria"/>
          <w:sz w:val="22"/>
          <w:szCs w:val="22"/>
        </w:rPr>
        <w:t>because they</w:t>
      </w:r>
      <w:r w:rsidR="003C1263" w:rsidRPr="009B0063">
        <w:rPr>
          <w:rFonts w:ascii="Cambria" w:hAnsi="Cambria"/>
          <w:sz w:val="22"/>
          <w:szCs w:val="22"/>
        </w:rPr>
        <w:t xml:space="preserve"> sit uneasil</w:t>
      </w:r>
      <w:r w:rsidR="003C1263" w:rsidRPr="002E2605">
        <w:rPr>
          <w:rFonts w:ascii="Cambria" w:hAnsi="Cambria"/>
          <w:sz w:val="22"/>
          <w:szCs w:val="22"/>
        </w:rPr>
        <w:t>y with the Court’s willingness to accommodate public interests in EU free movement law</w:t>
      </w:r>
      <w:r w:rsidR="00A05449" w:rsidRPr="00254580">
        <w:rPr>
          <w:rFonts w:ascii="Cambria" w:hAnsi="Cambria"/>
          <w:sz w:val="22"/>
          <w:szCs w:val="22"/>
        </w:rPr>
        <w:t>?</w:t>
      </w:r>
      <w:r w:rsidR="009059F7" w:rsidRPr="00254580">
        <w:rPr>
          <w:rFonts w:ascii="Cambria" w:hAnsi="Cambria"/>
          <w:sz w:val="22"/>
          <w:szCs w:val="22"/>
          <w:vertAlign w:val="superscript"/>
        </w:rPr>
        <w:footnoteReference w:id="89"/>
      </w:r>
      <w:r w:rsidR="00400762" w:rsidRPr="00254580">
        <w:rPr>
          <w:rFonts w:ascii="Cambria" w:hAnsi="Cambria"/>
          <w:sz w:val="22"/>
          <w:szCs w:val="22"/>
        </w:rPr>
        <w:t xml:space="preserve"> </w:t>
      </w:r>
      <w:r w:rsidR="00AB62F7" w:rsidRPr="00254580">
        <w:rPr>
          <w:rFonts w:ascii="Cambria" w:hAnsi="Cambria"/>
          <w:sz w:val="22"/>
          <w:szCs w:val="22"/>
        </w:rPr>
        <w:t>Compared to established</w:t>
      </w:r>
      <w:r w:rsidR="00A05449" w:rsidRPr="00254580">
        <w:rPr>
          <w:rFonts w:ascii="Cambria" w:hAnsi="Cambria"/>
          <w:sz w:val="22"/>
          <w:szCs w:val="22"/>
        </w:rPr>
        <w:t xml:space="preserve"> case law </w:t>
      </w:r>
      <w:r w:rsidR="00A73CF5" w:rsidRPr="006C481F">
        <w:rPr>
          <w:rFonts w:ascii="Cambria" w:hAnsi="Cambria"/>
          <w:sz w:val="22"/>
          <w:szCs w:val="22"/>
        </w:rPr>
        <w:t>it appears they are.</w:t>
      </w:r>
      <w:r w:rsidR="00217009" w:rsidRPr="00217009">
        <w:rPr>
          <w:rFonts w:ascii="Cambria" w:hAnsi="Cambria"/>
          <w:sz w:val="22"/>
          <w:szCs w:val="22"/>
        </w:rPr>
        <w:t xml:space="preserve"> Possibly the fact that these</w:t>
      </w:r>
      <w:r w:rsidR="009B0063" w:rsidRPr="009B0063">
        <w:rPr>
          <w:rFonts w:ascii="Cambria" w:hAnsi="Cambria"/>
          <w:sz w:val="22"/>
          <w:szCs w:val="22"/>
        </w:rPr>
        <w:t xml:space="preserve"> </w:t>
      </w:r>
      <w:r w:rsidR="00217009" w:rsidRPr="00217009">
        <w:rPr>
          <w:rFonts w:ascii="Cambria" w:hAnsi="Cambria"/>
          <w:sz w:val="22"/>
          <w:szCs w:val="22"/>
        </w:rPr>
        <w:t xml:space="preserve">interests are not furthered by states but by unions - bodies of a private legal nature - plays a role in this. Yet, </w:t>
      </w:r>
      <w:r w:rsidR="003D3884">
        <w:rPr>
          <w:rFonts w:ascii="Cambria" w:hAnsi="Cambria"/>
          <w:sz w:val="22"/>
          <w:szCs w:val="22"/>
        </w:rPr>
        <w:t>with</w:t>
      </w:r>
      <w:r w:rsidR="00AB62F7" w:rsidRPr="009B0063">
        <w:rPr>
          <w:rFonts w:ascii="Cambria" w:hAnsi="Cambria"/>
          <w:sz w:val="22"/>
          <w:szCs w:val="22"/>
        </w:rPr>
        <w:t xml:space="preserve"> regard </w:t>
      </w:r>
      <w:r w:rsidR="003D3884">
        <w:rPr>
          <w:rFonts w:ascii="Cambria" w:hAnsi="Cambria"/>
          <w:sz w:val="22"/>
          <w:szCs w:val="22"/>
        </w:rPr>
        <w:t>to</w:t>
      </w:r>
      <w:r w:rsidR="00AB62F7" w:rsidRPr="009B0063">
        <w:rPr>
          <w:rFonts w:ascii="Cambria" w:hAnsi="Cambria"/>
          <w:sz w:val="22"/>
          <w:szCs w:val="22"/>
        </w:rPr>
        <w:t xml:space="preserve"> the reconci</w:t>
      </w:r>
      <w:r w:rsidR="00A05449" w:rsidRPr="009B0063">
        <w:rPr>
          <w:rFonts w:ascii="Cambria" w:hAnsi="Cambria"/>
          <w:sz w:val="22"/>
          <w:szCs w:val="22"/>
        </w:rPr>
        <w:softHyphen/>
      </w:r>
      <w:r w:rsidR="00AB62F7" w:rsidRPr="009B0063">
        <w:rPr>
          <w:rFonts w:ascii="Cambria" w:hAnsi="Cambria"/>
          <w:sz w:val="22"/>
          <w:szCs w:val="22"/>
        </w:rPr>
        <w:t>liatio</w:t>
      </w:r>
      <w:r w:rsidR="00E50361" w:rsidRPr="009B0063">
        <w:rPr>
          <w:rFonts w:ascii="Cambria" w:hAnsi="Cambria"/>
          <w:sz w:val="22"/>
          <w:szCs w:val="22"/>
        </w:rPr>
        <w:t>n of economic and social values</w:t>
      </w:r>
      <w:r w:rsidR="00452F48" w:rsidRPr="009B0063">
        <w:rPr>
          <w:rFonts w:ascii="Cambria" w:hAnsi="Cambria"/>
          <w:sz w:val="22"/>
          <w:szCs w:val="22"/>
        </w:rPr>
        <w:t>,</w:t>
      </w:r>
      <w:r w:rsidR="00AB62F7" w:rsidRPr="009B0063">
        <w:rPr>
          <w:rFonts w:ascii="Cambria" w:hAnsi="Cambria"/>
          <w:sz w:val="22"/>
          <w:szCs w:val="22"/>
        </w:rPr>
        <w:t xml:space="preserve"> especially </w:t>
      </w:r>
      <w:r w:rsidR="00AB62F7" w:rsidRPr="009B0063">
        <w:rPr>
          <w:rFonts w:ascii="Cambria" w:hAnsi="Cambria"/>
          <w:i/>
          <w:sz w:val="22"/>
          <w:szCs w:val="22"/>
        </w:rPr>
        <w:t>Viking &amp; Laval</w:t>
      </w:r>
      <w:r w:rsidR="00AB62F7" w:rsidRPr="002E2605">
        <w:rPr>
          <w:rFonts w:ascii="Cambria" w:hAnsi="Cambria"/>
          <w:sz w:val="22"/>
          <w:szCs w:val="22"/>
        </w:rPr>
        <w:t xml:space="preserve"> </w:t>
      </w:r>
      <w:r w:rsidR="00E50361" w:rsidRPr="00254580">
        <w:rPr>
          <w:rFonts w:ascii="Cambria" w:hAnsi="Cambria"/>
          <w:sz w:val="22"/>
          <w:szCs w:val="22"/>
        </w:rPr>
        <w:t xml:space="preserve">cannot be completely disregarded </w:t>
      </w:r>
      <w:r w:rsidR="008723F3" w:rsidRPr="00254580">
        <w:rPr>
          <w:rFonts w:ascii="Cambria" w:hAnsi="Cambria"/>
          <w:sz w:val="22"/>
          <w:szCs w:val="22"/>
        </w:rPr>
        <w:t xml:space="preserve">because </w:t>
      </w:r>
      <w:r w:rsidR="00A33326" w:rsidRPr="00254580">
        <w:rPr>
          <w:rFonts w:ascii="Cambria" w:hAnsi="Cambria"/>
          <w:sz w:val="22"/>
          <w:szCs w:val="22"/>
        </w:rPr>
        <w:t>these cases</w:t>
      </w:r>
      <w:r w:rsidR="005C45BC" w:rsidRPr="00254580">
        <w:rPr>
          <w:rFonts w:ascii="Cambria" w:hAnsi="Cambria"/>
          <w:sz w:val="22"/>
          <w:szCs w:val="22"/>
        </w:rPr>
        <w:t xml:space="preserve"> </w:t>
      </w:r>
      <w:r w:rsidR="00E50361" w:rsidRPr="00254580">
        <w:rPr>
          <w:rFonts w:ascii="Cambria" w:hAnsi="Cambria"/>
          <w:sz w:val="22"/>
          <w:szCs w:val="22"/>
        </w:rPr>
        <w:t xml:space="preserve">so </w:t>
      </w:r>
      <w:r w:rsidR="004573CA" w:rsidRPr="006C481F">
        <w:rPr>
          <w:rFonts w:ascii="Cambria" w:hAnsi="Cambria"/>
          <w:sz w:val="22"/>
          <w:szCs w:val="22"/>
        </w:rPr>
        <w:t xml:space="preserve">pre-eminently represent the </w:t>
      </w:r>
      <w:r w:rsidR="005C45BC" w:rsidRPr="006C481F">
        <w:rPr>
          <w:rFonts w:ascii="Cambria" w:hAnsi="Cambria"/>
          <w:sz w:val="22"/>
          <w:szCs w:val="22"/>
        </w:rPr>
        <w:t xml:space="preserve">classical </w:t>
      </w:r>
      <w:r w:rsidR="00202282" w:rsidRPr="006C481F">
        <w:rPr>
          <w:rFonts w:ascii="Cambria" w:hAnsi="Cambria"/>
          <w:sz w:val="22"/>
          <w:szCs w:val="22"/>
        </w:rPr>
        <w:t xml:space="preserve">tension </w:t>
      </w:r>
      <w:r w:rsidR="008723F3" w:rsidRPr="00B333C0">
        <w:rPr>
          <w:rFonts w:ascii="Cambria" w:hAnsi="Cambria"/>
          <w:sz w:val="22"/>
          <w:szCs w:val="22"/>
        </w:rPr>
        <w:t xml:space="preserve">between market-making and </w:t>
      </w:r>
      <w:r w:rsidR="009059F7" w:rsidRPr="00B333C0">
        <w:rPr>
          <w:rFonts w:ascii="Cambria" w:hAnsi="Cambria"/>
          <w:sz w:val="22"/>
          <w:szCs w:val="22"/>
        </w:rPr>
        <w:t>market-correcting policies.</w:t>
      </w:r>
      <w:r w:rsidR="00202282" w:rsidRPr="00B333C0">
        <w:rPr>
          <w:rFonts w:ascii="Cambria" w:hAnsi="Cambria"/>
          <w:sz w:val="22"/>
          <w:szCs w:val="22"/>
        </w:rPr>
        <w:t xml:space="preserve"> </w:t>
      </w:r>
    </w:p>
    <w:p w:rsidR="0068342B" w:rsidRDefault="00A33326" w:rsidP="00B25E82">
      <w:pPr>
        <w:pStyle w:val="Lijstalinea"/>
        <w:ind w:left="0"/>
        <w:jc w:val="both"/>
        <w:rPr>
          <w:rFonts w:ascii="Cambria" w:hAnsi="Cambria"/>
          <w:sz w:val="22"/>
          <w:lang w:val="en-US"/>
        </w:rPr>
      </w:pPr>
      <w:r>
        <w:rPr>
          <w:rFonts w:ascii="Cambria" w:hAnsi="Cambria"/>
          <w:sz w:val="22"/>
        </w:rPr>
        <w:t>As stated</w:t>
      </w:r>
      <w:r w:rsidR="008723F3">
        <w:rPr>
          <w:rFonts w:ascii="Cambria" w:hAnsi="Cambria"/>
          <w:sz w:val="22"/>
        </w:rPr>
        <w:t xml:space="preserve"> before</w:t>
      </w:r>
      <w:r>
        <w:rPr>
          <w:rFonts w:ascii="Cambria" w:hAnsi="Cambria"/>
          <w:sz w:val="22"/>
        </w:rPr>
        <w:t xml:space="preserve">, </w:t>
      </w:r>
      <w:r w:rsidR="00202282">
        <w:rPr>
          <w:rFonts w:ascii="Cambria" w:hAnsi="Cambria"/>
          <w:sz w:val="22"/>
        </w:rPr>
        <w:t xml:space="preserve">it is the express policy purpose of </w:t>
      </w:r>
      <w:r>
        <w:rPr>
          <w:rFonts w:ascii="Cambria" w:hAnsi="Cambria"/>
          <w:sz w:val="22"/>
        </w:rPr>
        <w:t xml:space="preserve">national </w:t>
      </w:r>
      <w:r w:rsidR="00202282">
        <w:rPr>
          <w:rFonts w:ascii="Cambria" w:hAnsi="Cambria"/>
          <w:sz w:val="22"/>
        </w:rPr>
        <w:t xml:space="preserve">collective labour law to curtail competition </w:t>
      </w:r>
      <w:r w:rsidR="003D3884">
        <w:rPr>
          <w:rFonts w:ascii="Cambria" w:hAnsi="Cambria"/>
          <w:sz w:val="22"/>
        </w:rPr>
        <w:t>c</w:t>
      </w:r>
      <w:r>
        <w:rPr>
          <w:rFonts w:ascii="Cambria" w:hAnsi="Cambria"/>
          <w:sz w:val="22"/>
        </w:rPr>
        <w:t>on</w:t>
      </w:r>
      <w:r w:rsidR="003D3884">
        <w:rPr>
          <w:rFonts w:ascii="Cambria" w:hAnsi="Cambria"/>
          <w:sz w:val="22"/>
        </w:rPr>
        <w:t>cerning</w:t>
      </w:r>
      <w:r>
        <w:rPr>
          <w:rFonts w:ascii="Cambria" w:hAnsi="Cambria"/>
          <w:sz w:val="22"/>
        </w:rPr>
        <w:t xml:space="preserve"> employment conditions. And by granting the fundamental right to</w:t>
      </w:r>
      <w:r w:rsidR="003D3884">
        <w:rPr>
          <w:rFonts w:ascii="Cambria" w:hAnsi="Cambria"/>
          <w:sz w:val="22"/>
        </w:rPr>
        <w:t xml:space="preserve"> take</w:t>
      </w:r>
      <w:r>
        <w:rPr>
          <w:rFonts w:ascii="Cambria" w:hAnsi="Cambria"/>
          <w:sz w:val="22"/>
        </w:rPr>
        <w:t xml:space="preserve"> collective action</w:t>
      </w:r>
      <w:r w:rsidR="00036CBD">
        <w:rPr>
          <w:rFonts w:ascii="Cambria" w:hAnsi="Cambria"/>
          <w:sz w:val="22"/>
        </w:rPr>
        <w:t xml:space="preserve">, </w:t>
      </w:r>
      <w:r w:rsidR="003D3884">
        <w:rPr>
          <w:rFonts w:ascii="Cambria" w:hAnsi="Cambria"/>
          <w:sz w:val="22"/>
        </w:rPr>
        <w:t xml:space="preserve">the </w:t>
      </w:r>
      <w:r w:rsidR="00202282">
        <w:rPr>
          <w:rFonts w:ascii="Cambria" w:hAnsi="Cambria"/>
          <w:sz w:val="22"/>
        </w:rPr>
        <w:t xml:space="preserve">bargaining positions of workers </w:t>
      </w:r>
      <w:r w:rsidR="00C47B24">
        <w:rPr>
          <w:rFonts w:ascii="Cambria" w:hAnsi="Cambria"/>
          <w:sz w:val="22"/>
        </w:rPr>
        <w:t xml:space="preserve">and employers </w:t>
      </w:r>
      <w:r w:rsidR="00CA3A76">
        <w:rPr>
          <w:rFonts w:ascii="Cambria" w:hAnsi="Cambria"/>
          <w:sz w:val="22"/>
        </w:rPr>
        <w:t>are levelled</w:t>
      </w:r>
      <w:r w:rsidR="00C30851">
        <w:rPr>
          <w:rFonts w:ascii="Cambria" w:hAnsi="Cambria"/>
          <w:sz w:val="22"/>
        </w:rPr>
        <w:t xml:space="preserve"> in order to ensure fair terms of employment</w:t>
      </w:r>
      <w:r>
        <w:rPr>
          <w:rFonts w:ascii="Cambria" w:hAnsi="Cambria"/>
          <w:sz w:val="22"/>
        </w:rPr>
        <w:t>. Both necessarily restrict trade and business</w:t>
      </w:r>
      <w:r w:rsidRPr="00A33326">
        <w:rPr>
          <w:rFonts w:ascii="Cambria" w:eastAsiaTheme="minorHAnsi" w:hAnsi="Cambria" w:cstheme="minorBidi"/>
          <w:sz w:val="22"/>
          <w:szCs w:val="22"/>
        </w:rPr>
        <w:t xml:space="preserve"> </w:t>
      </w:r>
      <w:r w:rsidRPr="00A33326">
        <w:rPr>
          <w:rFonts w:ascii="Cambria" w:hAnsi="Cambria"/>
          <w:sz w:val="22"/>
        </w:rPr>
        <w:t>severely</w:t>
      </w:r>
      <w:r>
        <w:rPr>
          <w:rFonts w:ascii="Cambria" w:hAnsi="Cambria"/>
          <w:sz w:val="22"/>
        </w:rPr>
        <w:t xml:space="preserve"> in any given case</w:t>
      </w:r>
      <w:r w:rsidR="009065D3">
        <w:rPr>
          <w:rFonts w:ascii="Cambria" w:hAnsi="Cambria"/>
          <w:sz w:val="22"/>
        </w:rPr>
        <w:t xml:space="preserve"> and</w:t>
      </w:r>
      <w:r w:rsidR="00CA3A76">
        <w:rPr>
          <w:rFonts w:ascii="Cambria" w:hAnsi="Cambria"/>
          <w:sz w:val="22"/>
        </w:rPr>
        <w:t xml:space="preserve"> irrespective </w:t>
      </w:r>
      <w:r w:rsidR="003D3884">
        <w:rPr>
          <w:rFonts w:ascii="Cambria" w:hAnsi="Cambria"/>
          <w:sz w:val="22"/>
        </w:rPr>
        <w:t xml:space="preserve">of </w:t>
      </w:r>
      <w:r w:rsidR="00CA3A76">
        <w:rPr>
          <w:rFonts w:ascii="Cambria" w:hAnsi="Cambria"/>
          <w:sz w:val="22"/>
        </w:rPr>
        <w:t xml:space="preserve">whether </w:t>
      </w:r>
      <w:r w:rsidR="00C30851">
        <w:rPr>
          <w:rFonts w:ascii="Cambria" w:hAnsi="Cambria"/>
          <w:sz w:val="22"/>
        </w:rPr>
        <w:t xml:space="preserve">it concerns </w:t>
      </w:r>
      <w:r>
        <w:rPr>
          <w:rFonts w:ascii="Cambria" w:hAnsi="Cambria"/>
          <w:sz w:val="22"/>
        </w:rPr>
        <w:t xml:space="preserve">domestic or foreign </w:t>
      </w:r>
      <w:r w:rsidR="00C30851">
        <w:rPr>
          <w:rFonts w:ascii="Cambria" w:hAnsi="Cambria"/>
          <w:sz w:val="22"/>
        </w:rPr>
        <w:t xml:space="preserve">firms. </w:t>
      </w:r>
      <w:r w:rsidR="004573CA">
        <w:rPr>
          <w:rFonts w:ascii="Cambria" w:hAnsi="Cambria"/>
          <w:sz w:val="22"/>
        </w:rPr>
        <w:t>In social market economies</w:t>
      </w:r>
      <w:r w:rsidR="008723F3">
        <w:rPr>
          <w:rFonts w:ascii="Cambria" w:hAnsi="Cambria"/>
          <w:sz w:val="22"/>
        </w:rPr>
        <w:t>,</w:t>
      </w:r>
      <w:r w:rsidR="004573CA">
        <w:rPr>
          <w:rFonts w:ascii="Cambria" w:hAnsi="Cambria"/>
          <w:sz w:val="22"/>
        </w:rPr>
        <w:t xml:space="preserve"> </w:t>
      </w:r>
      <w:r w:rsidR="00C30851">
        <w:rPr>
          <w:rFonts w:ascii="Cambria" w:hAnsi="Cambria"/>
          <w:sz w:val="22"/>
        </w:rPr>
        <w:t xml:space="preserve">the </w:t>
      </w:r>
      <w:r w:rsidR="00121054">
        <w:rPr>
          <w:rFonts w:ascii="Cambria" w:hAnsi="Cambria"/>
          <w:sz w:val="22"/>
        </w:rPr>
        <w:t xml:space="preserve">inherent </w:t>
      </w:r>
      <w:r w:rsidR="00C47B24">
        <w:rPr>
          <w:rFonts w:ascii="Cambria" w:hAnsi="Cambria"/>
          <w:sz w:val="22"/>
        </w:rPr>
        <w:t>incompatibility</w:t>
      </w:r>
      <w:r w:rsidR="004573CA">
        <w:rPr>
          <w:rFonts w:ascii="Cambria" w:hAnsi="Cambria"/>
          <w:sz w:val="22"/>
        </w:rPr>
        <w:t xml:space="preserve"> </w:t>
      </w:r>
      <w:r w:rsidR="00C30851">
        <w:rPr>
          <w:rFonts w:ascii="Cambria" w:hAnsi="Cambria"/>
          <w:sz w:val="22"/>
        </w:rPr>
        <w:t>of market-making and</w:t>
      </w:r>
      <w:r w:rsidR="008723F3">
        <w:rPr>
          <w:rFonts w:ascii="Cambria" w:hAnsi="Cambria"/>
          <w:sz w:val="22"/>
        </w:rPr>
        <w:t xml:space="preserve"> market-correcting policies, therefore, </w:t>
      </w:r>
      <w:r w:rsidR="004573CA">
        <w:rPr>
          <w:rFonts w:ascii="Cambria" w:hAnsi="Cambria"/>
          <w:sz w:val="22"/>
        </w:rPr>
        <w:t xml:space="preserve">implies </w:t>
      </w:r>
      <w:r w:rsidR="00C30851">
        <w:rPr>
          <w:rFonts w:ascii="Cambria" w:hAnsi="Cambria"/>
          <w:sz w:val="22"/>
        </w:rPr>
        <w:t xml:space="preserve">that at most </w:t>
      </w:r>
      <w:r w:rsidR="009059F7" w:rsidRPr="004573CA">
        <w:rPr>
          <w:rFonts w:ascii="Cambria" w:hAnsi="Cambria"/>
          <w:sz w:val="22"/>
          <w:lang w:val="en-US"/>
        </w:rPr>
        <w:t xml:space="preserve">an equilibrium </w:t>
      </w:r>
      <w:r w:rsidR="00C30851">
        <w:rPr>
          <w:rFonts w:ascii="Cambria" w:hAnsi="Cambria"/>
          <w:sz w:val="22"/>
          <w:lang w:val="en-US"/>
        </w:rPr>
        <w:t xml:space="preserve">can be established. </w:t>
      </w:r>
      <w:r w:rsidR="005A5CC3">
        <w:rPr>
          <w:rFonts w:ascii="Cambria" w:hAnsi="Cambria"/>
          <w:sz w:val="22"/>
          <w:lang w:val="en-US"/>
        </w:rPr>
        <w:t>This would normally belong to the realm of political legislation</w:t>
      </w:r>
      <w:r w:rsidR="004573CA">
        <w:rPr>
          <w:rFonts w:ascii="Cambria" w:hAnsi="Cambria"/>
          <w:sz w:val="22"/>
          <w:lang w:val="en-US"/>
        </w:rPr>
        <w:t xml:space="preserve">, but because of </w:t>
      </w:r>
      <w:r w:rsidR="005A5CC3">
        <w:rPr>
          <w:rFonts w:ascii="Cambria" w:hAnsi="Cambria"/>
          <w:sz w:val="22"/>
          <w:lang w:val="en-US"/>
        </w:rPr>
        <w:t xml:space="preserve">the EU institutional </w:t>
      </w:r>
      <w:r w:rsidR="00E50361">
        <w:rPr>
          <w:rFonts w:ascii="Cambria" w:hAnsi="Cambria"/>
          <w:sz w:val="22"/>
          <w:lang w:val="en-US"/>
        </w:rPr>
        <w:t>impediments</w:t>
      </w:r>
      <w:r w:rsidR="005A5CC3">
        <w:rPr>
          <w:rFonts w:ascii="Cambria" w:hAnsi="Cambria"/>
          <w:sz w:val="22"/>
          <w:lang w:val="en-US"/>
        </w:rPr>
        <w:t xml:space="preserve"> in the socio-economic</w:t>
      </w:r>
      <w:r w:rsidR="00121054">
        <w:rPr>
          <w:rFonts w:ascii="Cambria" w:hAnsi="Cambria"/>
          <w:sz w:val="22"/>
          <w:lang w:val="en-US"/>
        </w:rPr>
        <w:t xml:space="preserve"> field</w:t>
      </w:r>
      <w:r w:rsidR="005A5CC3">
        <w:rPr>
          <w:rFonts w:ascii="Cambria" w:hAnsi="Cambria"/>
          <w:sz w:val="22"/>
          <w:lang w:val="en-US"/>
        </w:rPr>
        <w:t xml:space="preserve">, </w:t>
      </w:r>
      <w:r w:rsidR="00CA3A76">
        <w:rPr>
          <w:rFonts w:ascii="Cambria" w:hAnsi="Cambria"/>
          <w:sz w:val="22"/>
          <w:lang w:val="en-US"/>
        </w:rPr>
        <w:t xml:space="preserve">the buck is passed on to the </w:t>
      </w:r>
      <w:r w:rsidR="00366BA4">
        <w:rPr>
          <w:rFonts w:ascii="Cambria" w:hAnsi="Cambria"/>
          <w:sz w:val="22"/>
          <w:lang w:val="en-US"/>
        </w:rPr>
        <w:t xml:space="preserve">Court. </w:t>
      </w:r>
      <w:r w:rsidR="00E50361">
        <w:rPr>
          <w:rFonts w:ascii="Cambria" w:hAnsi="Cambria"/>
          <w:sz w:val="22"/>
          <w:lang w:val="en-US"/>
        </w:rPr>
        <w:t xml:space="preserve">One could say </w:t>
      </w:r>
      <w:r w:rsidR="003D3884">
        <w:rPr>
          <w:rFonts w:ascii="Cambria" w:hAnsi="Cambria"/>
          <w:sz w:val="22"/>
          <w:lang w:val="en-US"/>
        </w:rPr>
        <w:t xml:space="preserve">that </w:t>
      </w:r>
      <w:r w:rsidR="00E50361">
        <w:rPr>
          <w:rFonts w:ascii="Cambria" w:hAnsi="Cambria"/>
          <w:sz w:val="22"/>
          <w:lang w:val="en-US"/>
        </w:rPr>
        <w:t>t</w:t>
      </w:r>
      <w:r w:rsidR="00121054">
        <w:rPr>
          <w:rFonts w:ascii="Cambria" w:hAnsi="Cambria"/>
          <w:sz w:val="22"/>
          <w:lang w:val="en-US"/>
        </w:rPr>
        <w:t>he Albany</w:t>
      </w:r>
      <w:r w:rsidR="003D3884">
        <w:rPr>
          <w:rFonts w:ascii="Cambria" w:hAnsi="Cambria"/>
          <w:sz w:val="22"/>
          <w:lang w:val="en-US"/>
        </w:rPr>
        <w:t xml:space="preserve"> </w:t>
      </w:r>
      <w:r w:rsidR="00121054">
        <w:rPr>
          <w:rFonts w:ascii="Cambria" w:hAnsi="Cambria"/>
          <w:sz w:val="22"/>
          <w:lang w:val="en-US"/>
        </w:rPr>
        <w:t>decision represents in this the one far</w:t>
      </w:r>
      <w:r w:rsidR="003D3884">
        <w:rPr>
          <w:rFonts w:ascii="Cambria" w:hAnsi="Cambria"/>
          <w:sz w:val="22"/>
          <w:lang w:val="en-US"/>
        </w:rPr>
        <w:t>-</w:t>
      </w:r>
      <w:r w:rsidR="008C6086">
        <w:rPr>
          <w:rFonts w:ascii="Cambria" w:hAnsi="Cambria"/>
          <w:sz w:val="22"/>
          <w:lang w:val="en-US"/>
        </w:rPr>
        <w:t xml:space="preserve">end solution a court </w:t>
      </w:r>
      <w:r w:rsidR="009065D3">
        <w:rPr>
          <w:rFonts w:ascii="Cambria" w:hAnsi="Cambria"/>
          <w:sz w:val="22"/>
          <w:lang w:val="en-US"/>
        </w:rPr>
        <w:t xml:space="preserve">of law </w:t>
      </w:r>
      <w:r w:rsidR="008C6086">
        <w:rPr>
          <w:rFonts w:ascii="Cambria" w:hAnsi="Cambria"/>
          <w:sz w:val="22"/>
          <w:lang w:val="en-US"/>
        </w:rPr>
        <w:t>can possibly reach</w:t>
      </w:r>
      <w:r w:rsidR="00121054">
        <w:rPr>
          <w:rFonts w:ascii="Cambria" w:hAnsi="Cambria"/>
          <w:sz w:val="22"/>
          <w:lang w:val="en-US"/>
        </w:rPr>
        <w:t xml:space="preserve">: </w:t>
      </w:r>
      <w:r w:rsidR="003D3884">
        <w:rPr>
          <w:rFonts w:ascii="Cambria" w:hAnsi="Cambria"/>
          <w:sz w:val="22"/>
          <w:lang w:val="en-US"/>
        </w:rPr>
        <w:t xml:space="preserve">the </w:t>
      </w:r>
      <w:r w:rsidR="00CA3A76">
        <w:rPr>
          <w:rFonts w:ascii="Cambria" w:hAnsi="Cambria"/>
          <w:sz w:val="22"/>
          <w:lang w:val="en-US"/>
        </w:rPr>
        <w:t xml:space="preserve">incompatibility of collective bargaining and </w:t>
      </w:r>
      <w:r w:rsidR="005F4B07">
        <w:rPr>
          <w:rFonts w:ascii="Cambria" w:hAnsi="Cambria"/>
          <w:sz w:val="22"/>
          <w:lang w:val="en-US"/>
        </w:rPr>
        <w:t xml:space="preserve">free </w:t>
      </w:r>
      <w:r w:rsidR="00121054">
        <w:rPr>
          <w:rFonts w:ascii="Cambria" w:hAnsi="Cambria"/>
          <w:sz w:val="22"/>
          <w:lang w:val="en-US"/>
        </w:rPr>
        <w:t>markets makes collective bargaining fall outside the scope of the Union’s economic law.</w:t>
      </w:r>
      <w:r w:rsidR="0068342B">
        <w:rPr>
          <w:rFonts w:ascii="Cambria" w:hAnsi="Cambria"/>
          <w:sz w:val="22"/>
          <w:lang w:val="en-US"/>
        </w:rPr>
        <w:t xml:space="preserve"> </w:t>
      </w:r>
      <w:r w:rsidR="00121054" w:rsidRPr="00121054">
        <w:rPr>
          <w:rFonts w:ascii="Cambria" w:hAnsi="Cambria"/>
          <w:i/>
          <w:sz w:val="22"/>
          <w:lang w:val="en-US"/>
        </w:rPr>
        <w:t>Viking &amp; Laval</w:t>
      </w:r>
      <w:r w:rsidR="0068342B">
        <w:rPr>
          <w:rFonts w:ascii="Cambria" w:hAnsi="Cambria"/>
          <w:sz w:val="22"/>
          <w:lang w:val="en-US"/>
        </w:rPr>
        <w:t xml:space="preserve"> represent</w:t>
      </w:r>
      <w:r w:rsidR="00121054">
        <w:rPr>
          <w:rFonts w:ascii="Cambria" w:hAnsi="Cambria"/>
          <w:sz w:val="22"/>
          <w:lang w:val="en-US"/>
        </w:rPr>
        <w:t xml:space="preserve"> the other far</w:t>
      </w:r>
      <w:r w:rsidR="003D3884">
        <w:rPr>
          <w:rFonts w:ascii="Cambria" w:hAnsi="Cambria"/>
          <w:sz w:val="22"/>
          <w:lang w:val="en-US"/>
        </w:rPr>
        <w:t>-</w:t>
      </w:r>
      <w:r w:rsidR="00121054">
        <w:rPr>
          <w:rFonts w:ascii="Cambria" w:hAnsi="Cambria"/>
          <w:sz w:val="22"/>
          <w:lang w:val="en-US"/>
        </w:rPr>
        <w:t>end</w:t>
      </w:r>
      <w:r w:rsidR="008723F3">
        <w:rPr>
          <w:rFonts w:ascii="Cambria" w:hAnsi="Cambria"/>
          <w:sz w:val="22"/>
          <w:lang w:val="en-US"/>
        </w:rPr>
        <w:t xml:space="preserve"> solution</w:t>
      </w:r>
      <w:r w:rsidR="00E50361">
        <w:rPr>
          <w:rFonts w:ascii="Cambria" w:hAnsi="Cambria"/>
          <w:sz w:val="22"/>
          <w:lang w:val="en-US"/>
        </w:rPr>
        <w:t xml:space="preserve"> that can be reached by law</w:t>
      </w:r>
      <w:r w:rsidR="00121054">
        <w:rPr>
          <w:rFonts w:ascii="Cambria" w:hAnsi="Cambria"/>
          <w:sz w:val="22"/>
          <w:lang w:val="en-US"/>
        </w:rPr>
        <w:t>; opting</w:t>
      </w:r>
      <w:r w:rsidR="00CA3A76">
        <w:rPr>
          <w:rFonts w:ascii="Cambria" w:hAnsi="Cambria"/>
          <w:sz w:val="22"/>
          <w:lang w:val="en-US"/>
        </w:rPr>
        <w:t xml:space="preserve"> for </w:t>
      </w:r>
      <w:r w:rsidR="003D3884">
        <w:rPr>
          <w:rFonts w:ascii="Cambria" w:hAnsi="Cambria"/>
          <w:sz w:val="22"/>
          <w:lang w:val="en-US"/>
        </w:rPr>
        <w:t xml:space="preserve">a </w:t>
      </w:r>
      <w:r w:rsidR="00CA3A76">
        <w:rPr>
          <w:rFonts w:ascii="Cambria" w:hAnsi="Cambria"/>
          <w:sz w:val="22"/>
          <w:lang w:val="en-US"/>
        </w:rPr>
        <w:t xml:space="preserve">strict </w:t>
      </w:r>
      <w:r w:rsidR="00366BA4">
        <w:rPr>
          <w:rFonts w:ascii="Cambria" w:hAnsi="Cambria"/>
          <w:sz w:val="22"/>
          <w:lang w:val="en-US"/>
        </w:rPr>
        <w:t>scrutiny of any res</w:t>
      </w:r>
      <w:r w:rsidR="00121054">
        <w:rPr>
          <w:rFonts w:ascii="Cambria" w:hAnsi="Cambria"/>
          <w:sz w:val="22"/>
          <w:lang w:val="en-US"/>
        </w:rPr>
        <w:t xml:space="preserve">triction of </w:t>
      </w:r>
      <w:r w:rsidR="00A47CCB">
        <w:rPr>
          <w:rFonts w:ascii="Cambria" w:hAnsi="Cambria"/>
          <w:sz w:val="22"/>
          <w:lang w:val="en-US"/>
        </w:rPr>
        <w:t>cross-border</w:t>
      </w:r>
      <w:r w:rsidR="0068342B">
        <w:rPr>
          <w:rFonts w:ascii="Cambria" w:hAnsi="Cambria"/>
          <w:sz w:val="22"/>
          <w:lang w:val="en-US"/>
        </w:rPr>
        <w:t xml:space="preserve"> </w:t>
      </w:r>
      <w:r w:rsidR="00121054">
        <w:rPr>
          <w:rFonts w:ascii="Cambria" w:hAnsi="Cambria"/>
          <w:sz w:val="22"/>
          <w:lang w:val="en-US"/>
        </w:rPr>
        <w:t>trade</w:t>
      </w:r>
      <w:r w:rsidR="00F45505">
        <w:rPr>
          <w:rFonts w:ascii="Cambria" w:hAnsi="Cambria"/>
          <w:sz w:val="22"/>
          <w:lang w:val="en-US"/>
        </w:rPr>
        <w:t xml:space="preserve"> according to </w:t>
      </w:r>
      <w:r w:rsidR="003D3884">
        <w:rPr>
          <w:rFonts w:ascii="Cambria" w:hAnsi="Cambria"/>
          <w:sz w:val="22"/>
          <w:lang w:val="en-US"/>
        </w:rPr>
        <w:t xml:space="preserve">the </w:t>
      </w:r>
      <w:r w:rsidR="00F45505">
        <w:rPr>
          <w:rFonts w:ascii="Cambria" w:hAnsi="Cambria"/>
          <w:sz w:val="22"/>
          <w:lang w:val="en-US"/>
        </w:rPr>
        <w:t>applicable law</w:t>
      </w:r>
      <w:r w:rsidR="00121054">
        <w:rPr>
          <w:rFonts w:ascii="Cambria" w:hAnsi="Cambria"/>
          <w:sz w:val="22"/>
          <w:lang w:val="en-US"/>
        </w:rPr>
        <w:t>.</w:t>
      </w:r>
      <w:r w:rsidR="00F45505">
        <w:rPr>
          <w:rFonts w:ascii="Cambria" w:hAnsi="Cambria"/>
          <w:sz w:val="22"/>
          <w:lang w:val="en-US"/>
        </w:rPr>
        <w:t xml:space="preserve"> </w:t>
      </w:r>
    </w:p>
    <w:p w:rsidR="00D117D1" w:rsidRPr="000B14B8" w:rsidRDefault="00D117D1" w:rsidP="00D117D1">
      <w:pPr>
        <w:spacing w:after="0" w:line="240" w:lineRule="auto"/>
        <w:jc w:val="both"/>
        <w:rPr>
          <w:rFonts w:ascii="Cambria" w:hAnsi="Cambria" w:cs="Times New Roman"/>
          <w:sz w:val="22"/>
          <w:lang w:val="en-US"/>
        </w:rPr>
      </w:pPr>
    </w:p>
    <w:p w:rsidR="00DB4E71" w:rsidRDefault="00DB4E71" w:rsidP="00D117D1">
      <w:pPr>
        <w:spacing w:after="0" w:line="240" w:lineRule="auto"/>
        <w:jc w:val="both"/>
        <w:rPr>
          <w:rFonts w:ascii="Cambria" w:hAnsi="Cambria" w:cs="Times New Roman"/>
          <w:b/>
          <w:sz w:val="22"/>
          <w:lang w:val="en-US"/>
        </w:rPr>
      </w:pPr>
    </w:p>
    <w:p w:rsidR="00D117D1" w:rsidRPr="000B14B8" w:rsidRDefault="000A4798" w:rsidP="00065F9B">
      <w:pPr>
        <w:spacing w:after="0" w:line="240" w:lineRule="auto"/>
        <w:jc w:val="both"/>
        <w:outlineLvl w:val="0"/>
        <w:rPr>
          <w:rFonts w:ascii="Cambria" w:hAnsi="Cambria" w:cs="Times New Roman"/>
          <w:sz w:val="22"/>
          <w:lang w:val="en-US"/>
        </w:rPr>
      </w:pPr>
      <w:r>
        <w:rPr>
          <w:rFonts w:ascii="Cambria" w:hAnsi="Cambria" w:cs="Times New Roman"/>
          <w:b/>
          <w:sz w:val="22"/>
          <w:lang w:val="en-US"/>
        </w:rPr>
        <w:lastRenderedPageBreak/>
        <w:t xml:space="preserve">5 </w:t>
      </w:r>
      <w:r w:rsidR="007433C2">
        <w:rPr>
          <w:rFonts w:ascii="Cambria" w:hAnsi="Cambria" w:cs="Times New Roman"/>
          <w:b/>
          <w:sz w:val="22"/>
          <w:lang w:val="en-US"/>
        </w:rPr>
        <w:t>EU Charter: new horizon</w:t>
      </w:r>
      <w:r w:rsidR="00845290" w:rsidRPr="00845290">
        <w:rPr>
          <w:rFonts w:ascii="Cambria" w:hAnsi="Cambria" w:cs="Times New Roman"/>
          <w:b/>
          <w:sz w:val="22"/>
          <w:lang w:val="en-US"/>
        </w:rPr>
        <w:t xml:space="preserve"> for </w:t>
      </w:r>
      <w:r w:rsidR="007433C2">
        <w:rPr>
          <w:rFonts w:ascii="Cambria" w:hAnsi="Cambria" w:cs="Times New Roman"/>
          <w:b/>
          <w:sz w:val="22"/>
          <w:lang w:val="en-US"/>
        </w:rPr>
        <w:t>reconciling</w:t>
      </w:r>
      <w:r w:rsidR="00845290" w:rsidRPr="00845290">
        <w:rPr>
          <w:rFonts w:ascii="Cambria" w:hAnsi="Cambria" w:cs="Times New Roman"/>
          <w:b/>
          <w:sz w:val="22"/>
          <w:lang w:val="en-US"/>
        </w:rPr>
        <w:t xml:space="preserve"> social and economic</w:t>
      </w:r>
      <w:r w:rsidR="00A47CCB">
        <w:rPr>
          <w:rFonts w:ascii="Cambria" w:hAnsi="Cambria" w:cs="Times New Roman"/>
          <w:b/>
          <w:sz w:val="22"/>
          <w:lang w:val="en-US"/>
        </w:rPr>
        <w:t xml:space="preserve"> values</w:t>
      </w:r>
      <w:r w:rsidR="00845290" w:rsidRPr="00845290">
        <w:rPr>
          <w:rFonts w:ascii="Cambria" w:hAnsi="Cambria" w:cs="Times New Roman"/>
          <w:b/>
          <w:sz w:val="22"/>
          <w:lang w:val="en-US"/>
        </w:rPr>
        <w:t>?</w:t>
      </w:r>
    </w:p>
    <w:p w:rsidR="002D0F1C" w:rsidRDefault="002D0F1C" w:rsidP="002D0F1C">
      <w:pPr>
        <w:spacing w:after="0" w:line="240" w:lineRule="auto"/>
        <w:jc w:val="both"/>
        <w:rPr>
          <w:rFonts w:ascii="Cambria" w:hAnsi="Cambria" w:cs="Times New Roman"/>
          <w:sz w:val="22"/>
          <w:lang w:val="en-US"/>
        </w:rPr>
      </w:pPr>
    </w:p>
    <w:p w:rsidR="00A154AA" w:rsidRDefault="00071043" w:rsidP="004459F8">
      <w:pPr>
        <w:spacing w:after="0" w:line="240" w:lineRule="auto"/>
        <w:jc w:val="both"/>
        <w:rPr>
          <w:rFonts w:ascii="Cambria" w:hAnsi="Cambria" w:cs="Times New Roman"/>
          <w:sz w:val="22"/>
        </w:rPr>
      </w:pPr>
      <w:r>
        <w:rPr>
          <w:rFonts w:ascii="Cambria" w:hAnsi="Cambria" w:cs="Times New Roman"/>
          <w:sz w:val="22"/>
        </w:rPr>
        <w:t xml:space="preserve">Free movement law, as can be </w:t>
      </w:r>
      <w:r w:rsidR="008F673B">
        <w:rPr>
          <w:rFonts w:ascii="Cambria" w:hAnsi="Cambria" w:cs="Times New Roman"/>
          <w:sz w:val="22"/>
        </w:rPr>
        <w:t>concluded</w:t>
      </w:r>
      <w:r>
        <w:rPr>
          <w:rFonts w:ascii="Cambria" w:hAnsi="Cambria" w:cs="Times New Roman"/>
          <w:sz w:val="22"/>
        </w:rPr>
        <w:t xml:space="preserve"> </w:t>
      </w:r>
      <w:r w:rsidR="00415ECF">
        <w:rPr>
          <w:rFonts w:ascii="Cambria" w:hAnsi="Cambria" w:cs="Times New Roman"/>
          <w:sz w:val="22"/>
        </w:rPr>
        <w:t>from the above, can accommodate public interest</w:t>
      </w:r>
      <w:r w:rsidR="0096776E">
        <w:rPr>
          <w:rFonts w:ascii="Cambria" w:hAnsi="Cambria" w:cs="Times New Roman"/>
          <w:sz w:val="22"/>
        </w:rPr>
        <w:t xml:space="preserve">s </w:t>
      </w:r>
      <w:r w:rsidR="000F3FC2">
        <w:rPr>
          <w:rFonts w:ascii="Cambria" w:hAnsi="Cambria" w:cs="Times New Roman"/>
          <w:sz w:val="22"/>
        </w:rPr>
        <w:t xml:space="preserve">that are </w:t>
      </w:r>
      <w:r w:rsidR="0096776E">
        <w:rPr>
          <w:rFonts w:ascii="Cambria" w:hAnsi="Cambria" w:cs="Times New Roman"/>
          <w:sz w:val="22"/>
        </w:rPr>
        <w:t>furthered by national policy</w:t>
      </w:r>
      <w:r w:rsidR="00415ECF">
        <w:rPr>
          <w:rFonts w:ascii="Cambria" w:hAnsi="Cambria" w:cs="Times New Roman"/>
          <w:sz w:val="22"/>
        </w:rPr>
        <w:t>.</w:t>
      </w:r>
      <w:r w:rsidR="0096776E">
        <w:rPr>
          <w:rFonts w:ascii="Cambria" w:hAnsi="Cambria" w:cs="Times New Roman"/>
          <w:sz w:val="22"/>
        </w:rPr>
        <w:t xml:space="preserve"> </w:t>
      </w:r>
      <w:r w:rsidR="008544D3">
        <w:rPr>
          <w:rFonts w:ascii="Cambria" w:hAnsi="Cambria" w:cs="Times New Roman"/>
          <w:sz w:val="22"/>
        </w:rPr>
        <w:t>It is clearly acknowledged, start</w:t>
      </w:r>
      <w:r w:rsidR="008F673B">
        <w:rPr>
          <w:rFonts w:ascii="Cambria" w:hAnsi="Cambria" w:cs="Times New Roman"/>
          <w:sz w:val="22"/>
        </w:rPr>
        <w:t>ing</w:t>
      </w:r>
      <w:r w:rsidR="008544D3">
        <w:rPr>
          <w:rFonts w:ascii="Cambria" w:hAnsi="Cambria" w:cs="Times New Roman"/>
          <w:sz w:val="22"/>
        </w:rPr>
        <w:t xml:space="preserve"> </w:t>
      </w:r>
      <w:r w:rsidR="0096776E">
        <w:rPr>
          <w:rFonts w:ascii="Cambria" w:hAnsi="Cambria" w:cs="Times New Roman"/>
          <w:sz w:val="22"/>
        </w:rPr>
        <w:t xml:space="preserve">already </w:t>
      </w:r>
      <w:r w:rsidR="000F3FC2">
        <w:rPr>
          <w:rFonts w:ascii="Cambria" w:hAnsi="Cambria" w:cs="Times New Roman"/>
          <w:sz w:val="22"/>
        </w:rPr>
        <w:t xml:space="preserve">in the </w:t>
      </w:r>
      <w:r w:rsidR="00DF1693">
        <w:rPr>
          <w:rFonts w:ascii="Cambria" w:hAnsi="Cambria" w:cs="Times New Roman"/>
          <w:sz w:val="22"/>
        </w:rPr>
        <w:t>19</w:t>
      </w:r>
      <w:r w:rsidR="000F3FC2">
        <w:rPr>
          <w:rFonts w:ascii="Cambria" w:hAnsi="Cambria" w:cs="Times New Roman"/>
          <w:sz w:val="22"/>
        </w:rPr>
        <w:t xml:space="preserve">70s </w:t>
      </w:r>
      <w:r w:rsidR="0096776E">
        <w:rPr>
          <w:rFonts w:ascii="Cambria" w:hAnsi="Cambria" w:cs="Times New Roman"/>
          <w:sz w:val="22"/>
        </w:rPr>
        <w:t xml:space="preserve">with </w:t>
      </w:r>
      <w:proofErr w:type="spellStart"/>
      <w:r w:rsidR="0096776E" w:rsidRPr="0096776E">
        <w:rPr>
          <w:rFonts w:ascii="Cambria" w:hAnsi="Cambria" w:cs="Times New Roman"/>
          <w:i/>
          <w:sz w:val="22"/>
        </w:rPr>
        <w:t>Defrenne</w:t>
      </w:r>
      <w:proofErr w:type="spellEnd"/>
      <w:r w:rsidR="008544D3">
        <w:rPr>
          <w:rFonts w:ascii="Cambria" w:hAnsi="Cambria" w:cs="Times New Roman"/>
          <w:i/>
          <w:sz w:val="22"/>
        </w:rPr>
        <w:t xml:space="preserve">, </w:t>
      </w:r>
      <w:r w:rsidR="0096776E">
        <w:rPr>
          <w:rFonts w:ascii="Cambria" w:hAnsi="Cambria" w:cs="Times New Roman"/>
          <w:sz w:val="22"/>
        </w:rPr>
        <w:t xml:space="preserve">that the EU is </w:t>
      </w:r>
      <w:r w:rsidR="0096776E" w:rsidRPr="0096776E">
        <w:rPr>
          <w:rFonts w:ascii="Cambria" w:hAnsi="Cambria" w:cs="Times New Roman"/>
          <w:sz w:val="22"/>
        </w:rPr>
        <w:t xml:space="preserve">not merely an economic union, but at the same time </w:t>
      </w:r>
      <w:r w:rsidR="00DF1693">
        <w:rPr>
          <w:rFonts w:ascii="Cambria" w:hAnsi="Cambria" w:cs="Times New Roman"/>
          <w:sz w:val="22"/>
        </w:rPr>
        <w:t xml:space="preserve">is </w:t>
      </w:r>
      <w:r w:rsidR="0096776E" w:rsidRPr="0096776E">
        <w:rPr>
          <w:rFonts w:ascii="Cambria" w:hAnsi="Cambria" w:cs="Times New Roman"/>
          <w:sz w:val="22"/>
        </w:rPr>
        <w:t>intended</w:t>
      </w:r>
      <w:r w:rsidR="0096776E">
        <w:rPr>
          <w:rFonts w:ascii="Cambria" w:hAnsi="Cambria" w:cs="Times New Roman"/>
          <w:sz w:val="22"/>
        </w:rPr>
        <w:t xml:space="preserve"> </w:t>
      </w:r>
      <w:r w:rsidR="0096776E" w:rsidRPr="0096776E">
        <w:rPr>
          <w:rFonts w:ascii="Cambria" w:hAnsi="Cambria" w:cs="Times New Roman"/>
          <w:sz w:val="22"/>
        </w:rPr>
        <w:t>to ensure</w:t>
      </w:r>
      <w:r w:rsidR="00DF1693">
        <w:rPr>
          <w:rFonts w:ascii="Cambria" w:hAnsi="Cambria" w:cs="Times New Roman"/>
          <w:sz w:val="22"/>
        </w:rPr>
        <w:t xml:space="preserve"> the</w:t>
      </w:r>
      <w:r w:rsidR="0096776E" w:rsidRPr="0096776E">
        <w:rPr>
          <w:rFonts w:ascii="Cambria" w:hAnsi="Cambria" w:cs="Times New Roman"/>
          <w:sz w:val="22"/>
        </w:rPr>
        <w:t xml:space="preserve"> social progress</w:t>
      </w:r>
      <w:r w:rsidR="007433C2">
        <w:rPr>
          <w:rFonts w:ascii="Cambria" w:hAnsi="Cambria" w:cs="Times New Roman"/>
          <w:sz w:val="22"/>
        </w:rPr>
        <w:t xml:space="preserve"> of its peoples</w:t>
      </w:r>
      <w:r w:rsidR="008544D3">
        <w:rPr>
          <w:rFonts w:ascii="Cambria" w:hAnsi="Cambria" w:cs="Times New Roman"/>
          <w:sz w:val="22"/>
        </w:rPr>
        <w:t>.</w:t>
      </w:r>
      <w:r w:rsidR="0096776E" w:rsidRPr="0096776E">
        <w:rPr>
          <w:rFonts w:ascii="Cambria" w:hAnsi="Cambria" w:cs="Times New Roman"/>
          <w:sz w:val="22"/>
        </w:rPr>
        <w:t xml:space="preserve"> </w:t>
      </w:r>
      <w:r w:rsidR="00F53216" w:rsidRPr="00F53216">
        <w:rPr>
          <w:rFonts w:ascii="Cambria" w:hAnsi="Cambria" w:cs="Times New Roman"/>
          <w:sz w:val="22"/>
        </w:rPr>
        <w:t>For that matter, the realisation of an internal market and the liberalisation of trade are not ends in themselves, but important tools to increase welfare and promote sustainable development.</w:t>
      </w:r>
      <w:r w:rsidR="00F53216" w:rsidRPr="00F53216">
        <w:rPr>
          <w:rFonts w:ascii="Cambria" w:hAnsi="Cambria" w:cs="Times New Roman"/>
          <w:sz w:val="22"/>
          <w:vertAlign w:val="superscript"/>
        </w:rPr>
        <w:footnoteReference w:id="90"/>
      </w:r>
      <w:r w:rsidR="00981192">
        <w:rPr>
          <w:rFonts w:ascii="Cambria" w:hAnsi="Cambria" w:cs="Times New Roman"/>
          <w:sz w:val="22"/>
        </w:rPr>
        <w:t xml:space="preserve"> </w:t>
      </w:r>
      <w:r w:rsidR="0096776E">
        <w:rPr>
          <w:rFonts w:ascii="Cambria" w:hAnsi="Cambria" w:cs="Times New Roman"/>
          <w:sz w:val="22"/>
        </w:rPr>
        <w:t>Nonetheless, t</w:t>
      </w:r>
      <w:r w:rsidR="00F53216" w:rsidRPr="00F53216">
        <w:rPr>
          <w:rFonts w:ascii="Cambria" w:hAnsi="Cambria" w:cs="Times New Roman"/>
          <w:sz w:val="22"/>
        </w:rPr>
        <w:t>he fact that market integrat</w:t>
      </w:r>
      <w:r w:rsidR="0096776E">
        <w:rPr>
          <w:rFonts w:ascii="Cambria" w:hAnsi="Cambria" w:cs="Times New Roman"/>
          <w:sz w:val="22"/>
        </w:rPr>
        <w:t xml:space="preserve">ion is not pursued in isolation </w:t>
      </w:r>
      <w:r w:rsidR="00C32372">
        <w:rPr>
          <w:rFonts w:ascii="Cambria" w:hAnsi="Cambria" w:cs="Times New Roman"/>
          <w:sz w:val="22"/>
        </w:rPr>
        <w:t xml:space="preserve">does not </w:t>
      </w:r>
      <w:r w:rsidR="008A1819">
        <w:rPr>
          <w:rFonts w:ascii="Cambria" w:hAnsi="Cambria" w:cs="Times New Roman"/>
          <w:sz w:val="22"/>
        </w:rPr>
        <w:t xml:space="preserve">always </w:t>
      </w:r>
      <w:r w:rsidR="00C32372">
        <w:rPr>
          <w:rFonts w:ascii="Cambria" w:hAnsi="Cambria" w:cs="Times New Roman"/>
          <w:sz w:val="22"/>
        </w:rPr>
        <w:t xml:space="preserve">necessarily guarantee </w:t>
      </w:r>
      <w:r w:rsidR="00DF1693">
        <w:rPr>
          <w:rFonts w:ascii="Cambria" w:hAnsi="Cambria" w:cs="Times New Roman"/>
          <w:sz w:val="22"/>
        </w:rPr>
        <w:t xml:space="preserve">that </w:t>
      </w:r>
      <w:r w:rsidR="00C32372">
        <w:rPr>
          <w:rFonts w:ascii="Cambria" w:hAnsi="Cambria" w:cs="Times New Roman"/>
          <w:sz w:val="22"/>
        </w:rPr>
        <w:t xml:space="preserve">economic and social values </w:t>
      </w:r>
      <w:r w:rsidR="00DF1693">
        <w:rPr>
          <w:rFonts w:ascii="Cambria" w:hAnsi="Cambria" w:cs="Times New Roman"/>
          <w:sz w:val="22"/>
        </w:rPr>
        <w:t>are</w:t>
      </w:r>
      <w:r w:rsidR="00C32372">
        <w:rPr>
          <w:rFonts w:ascii="Cambria" w:hAnsi="Cambria" w:cs="Times New Roman"/>
          <w:sz w:val="22"/>
        </w:rPr>
        <w:t xml:space="preserve"> weighed on an equal footing, as</w:t>
      </w:r>
      <w:r w:rsidR="00DF1693">
        <w:rPr>
          <w:rFonts w:ascii="Cambria" w:hAnsi="Cambria" w:cs="Times New Roman"/>
          <w:sz w:val="22"/>
        </w:rPr>
        <w:t xml:space="preserve"> is</w:t>
      </w:r>
      <w:r w:rsidR="00C32372">
        <w:rPr>
          <w:rFonts w:ascii="Cambria" w:hAnsi="Cambria" w:cs="Times New Roman"/>
          <w:sz w:val="22"/>
        </w:rPr>
        <w:t xml:space="preserve"> shown by the case law discussed</w:t>
      </w:r>
      <w:r w:rsidR="00DB4E71">
        <w:rPr>
          <w:rFonts w:ascii="Cambria" w:hAnsi="Cambria" w:cs="Times New Roman"/>
          <w:sz w:val="22"/>
        </w:rPr>
        <w:t xml:space="preserve"> above</w:t>
      </w:r>
      <w:r w:rsidR="00C32372">
        <w:rPr>
          <w:rFonts w:ascii="Cambria" w:hAnsi="Cambria" w:cs="Times New Roman"/>
          <w:sz w:val="22"/>
        </w:rPr>
        <w:t xml:space="preserve">. </w:t>
      </w:r>
    </w:p>
    <w:p w:rsidR="00600F4B" w:rsidRPr="009301E1" w:rsidRDefault="00600F4B" w:rsidP="004459F8">
      <w:pPr>
        <w:spacing w:after="0" w:line="240" w:lineRule="auto"/>
        <w:jc w:val="both"/>
        <w:rPr>
          <w:rFonts w:ascii="Cambria" w:hAnsi="Cambria" w:cs="Times New Roman"/>
          <w:sz w:val="22"/>
          <w:lang w:val="en-US"/>
        </w:rPr>
      </w:pPr>
      <w:r>
        <w:rPr>
          <w:rFonts w:ascii="Cambria" w:hAnsi="Cambria" w:cs="Times New Roman"/>
          <w:sz w:val="22"/>
        </w:rPr>
        <w:t xml:space="preserve">Could </w:t>
      </w:r>
      <w:r w:rsidR="00270036">
        <w:rPr>
          <w:rFonts w:ascii="Cambria" w:hAnsi="Cambria" w:cs="Times New Roman"/>
          <w:sz w:val="22"/>
        </w:rPr>
        <w:t>new prospects</w:t>
      </w:r>
      <w:r w:rsidR="009065D3">
        <w:rPr>
          <w:rFonts w:ascii="Cambria" w:hAnsi="Cambria" w:cs="Times New Roman"/>
          <w:sz w:val="22"/>
        </w:rPr>
        <w:t xml:space="preserve"> </w:t>
      </w:r>
      <w:r w:rsidR="00270036">
        <w:rPr>
          <w:rFonts w:ascii="Cambria" w:hAnsi="Cambria" w:cs="Times New Roman"/>
          <w:sz w:val="22"/>
        </w:rPr>
        <w:t xml:space="preserve">arise out of the EU Charter </w:t>
      </w:r>
      <w:r w:rsidR="009065D3">
        <w:rPr>
          <w:rFonts w:ascii="Cambria" w:hAnsi="Cambria" w:cs="Times New Roman"/>
          <w:sz w:val="22"/>
        </w:rPr>
        <w:t>on human rights in this respect</w:t>
      </w:r>
      <w:r>
        <w:rPr>
          <w:rFonts w:ascii="Cambria" w:hAnsi="Cambria" w:cs="Times New Roman"/>
          <w:sz w:val="22"/>
        </w:rPr>
        <w:t>?</w:t>
      </w:r>
      <w:r>
        <w:rPr>
          <w:rFonts w:ascii="Cambria" w:hAnsi="Cambria" w:cs="Times New Roman"/>
          <w:sz w:val="22"/>
          <w:lang w:val="en-US"/>
        </w:rPr>
        <w:t xml:space="preserve"> </w:t>
      </w:r>
      <w:r w:rsidR="00DF1693">
        <w:rPr>
          <w:rFonts w:ascii="Cambria" w:hAnsi="Cambria" w:cs="Times New Roman"/>
          <w:sz w:val="22"/>
          <w:lang w:val="en-US"/>
        </w:rPr>
        <w:t>On</w:t>
      </w:r>
      <w:r w:rsidR="00DB4E71">
        <w:rPr>
          <w:rFonts w:ascii="Cambria" w:hAnsi="Cambria" w:cs="Times New Roman"/>
          <w:sz w:val="22"/>
          <w:lang w:val="en-US"/>
        </w:rPr>
        <w:t xml:space="preserve"> the face of it, </w:t>
      </w:r>
      <w:r w:rsidRPr="00600F4B">
        <w:rPr>
          <w:rFonts w:ascii="Cambria" w:hAnsi="Cambria" w:cs="Times New Roman"/>
          <w:sz w:val="22"/>
          <w:lang w:val="en-US"/>
        </w:rPr>
        <w:t xml:space="preserve">the Charter </w:t>
      </w:r>
      <w:r w:rsidR="00DB4E71">
        <w:rPr>
          <w:rFonts w:ascii="Cambria" w:hAnsi="Cambria" w:cs="Times New Roman"/>
          <w:sz w:val="22"/>
          <w:lang w:val="en-US"/>
        </w:rPr>
        <w:t xml:space="preserve">can </w:t>
      </w:r>
      <w:r w:rsidRPr="00600F4B">
        <w:rPr>
          <w:rFonts w:ascii="Cambria" w:hAnsi="Cambria" w:cs="Times New Roman"/>
          <w:sz w:val="22"/>
          <w:lang w:val="en-US"/>
        </w:rPr>
        <w:t>strengthen fundamental social rights vis-à-vis conflicting EU free movement law with a view to enhanc</w:t>
      </w:r>
      <w:r w:rsidR="00DF1693">
        <w:rPr>
          <w:rFonts w:ascii="Cambria" w:hAnsi="Cambria" w:cs="Times New Roman"/>
          <w:sz w:val="22"/>
          <w:lang w:val="en-US"/>
        </w:rPr>
        <w:t>ing</w:t>
      </w:r>
      <w:r w:rsidRPr="00600F4B">
        <w:rPr>
          <w:rFonts w:ascii="Cambria" w:hAnsi="Cambria" w:cs="Times New Roman"/>
          <w:sz w:val="22"/>
          <w:lang w:val="en-US"/>
        </w:rPr>
        <w:t xml:space="preserve"> and p</w:t>
      </w:r>
      <w:r w:rsidR="00DB4E71">
        <w:rPr>
          <w:rFonts w:ascii="Cambria" w:hAnsi="Cambria" w:cs="Times New Roman"/>
          <w:sz w:val="22"/>
          <w:lang w:val="en-US"/>
        </w:rPr>
        <w:t>rotect</w:t>
      </w:r>
      <w:r w:rsidR="00DF1693">
        <w:rPr>
          <w:rFonts w:ascii="Cambria" w:hAnsi="Cambria" w:cs="Times New Roman"/>
          <w:sz w:val="22"/>
          <w:lang w:val="en-US"/>
        </w:rPr>
        <w:t>ing</w:t>
      </w:r>
      <w:r w:rsidR="00DB4E71">
        <w:rPr>
          <w:rFonts w:ascii="Cambria" w:hAnsi="Cambria" w:cs="Times New Roman"/>
          <w:sz w:val="22"/>
          <w:lang w:val="en-US"/>
        </w:rPr>
        <w:t xml:space="preserve"> national social policies</w:t>
      </w:r>
      <w:r w:rsidR="009301E1">
        <w:rPr>
          <w:rFonts w:ascii="Cambria" w:hAnsi="Cambria" w:cs="Times New Roman"/>
          <w:sz w:val="22"/>
          <w:lang w:val="en-US"/>
        </w:rPr>
        <w:t>,</w:t>
      </w:r>
      <w:r w:rsidR="00DB4E71">
        <w:rPr>
          <w:rFonts w:ascii="Cambria" w:hAnsi="Cambria" w:cs="Times New Roman"/>
          <w:sz w:val="22"/>
          <w:lang w:val="en-US"/>
        </w:rPr>
        <w:t xml:space="preserve"> exactly because</w:t>
      </w:r>
      <w:r w:rsidR="009301E1">
        <w:rPr>
          <w:rFonts w:ascii="Cambria" w:hAnsi="Cambria" w:cs="Times New Roman"/>
          <w:sz w:val="22"/>
          <w:lang w:val="en-US"/>
        </w:rPr>
        <w:t xml:space="preserve"> </w:t>
      </w:r>
      <w:r w:rsidRPr="00600F4B">
        <w:rPr>
          <w:rFonts w:ascii="Cambria" w:hAnsi="Cambria" w:cs="Times New Roman"/>
          <w:sz w:val="22"/>
          <w:lang w:val="en-US"/>
        </w:rPr>
        <w:t xml:space="preserve">the Charter </w:t>
      </w:r>
      <w:r w:rsidR="009301E1">
        <w:rPr>
          <w:rFonts w:ascii="Cambria" w:hAnsi="Cambria" w:cs="Times New Roman"/>
          <w:sz w:val="22"/>
          <w:lang w:val="en-US"/>
        </w:rPr>
        <w:t xml:space="preserve">places </w:t>
      </w:r>
      <w:r w:rsidRPr="00600F4B">
        <w:rPr>
          <w:rFonts w:ascii="Cambria" w:hAnsi="Cambria" w:cs="Times New Roman"/>
          <w:sz w:val="22"/>
          <w:lang w:val="en-US"/>
        </w:rPr>
        <w:t>social rights in principle on an equal footing with economic, civil and political rights</w:t>
      </w:r>
      <w:r w:rsidR="00DB4E71">
        <w:rPr>
          <w:rFonts w:ascii="Cambria" w:hAnsi="Cambria" w:cs="Times New Roman"/>
          <w:sz w:val="22"/>
          <w:lang w:val="en-US"/>
        </w:rPr>
        <w:t>.</w:t>
      </w:r>
      <w:r w:rsidR="009301E1">
        <w:rPr>
          <w:rFonts w:ascii="Cambria" w:hAnsi="Cambria" w:cs="Times New Roman"/>
          <w:sz w:val="22"/>
          <w:lang w:val="en-US"/>
        </w:rPr>
        <w:t xml:space="preserve"> It </w:t>
      </w:r>
      <w:r w:rsidRPr="00600F4B">
        <w:rPr>
          <w:rFonts w:ascii="Cambria" w:hAnsi="Cambria" w:cs="Times New Roman"/>
          <w:sz w:val="22"/>
          <w:lang w:val="en-US"/>
        </w:rPr>
        <w:t>certainly requires more engagement on the part of the Court on issues related to the Charter’s social rights.</w:t>
      </w:r>
    </w:p>
    <w:p w:rsidR="00F10960" w:rsidRDefault="00F10960" w:rsidP="00F10960">
      <w:pPr>
        <w:spacing w:after="0" w:line="240" w:lineRule="auto"/>
        <w:jc w:val="both"/>
        <w:rPr>
          <w:rFonts w:ascii="Cambria" w:hAnsi="Cambria" w:cs="Times New Roman"/>
          <w:sz w:val="22"/>
        </w:rPr>
      </w:pPr>
    </w:p>
    <w:p w:rsidR="00A56942" w:rsidRDefault="00A154AA" w:rsidP="00FA707B">
      <w:pPr>
        <w:spacing w:after="0" w:line="240" w:lineRule="auto"/>
        <w:jc w:val="both"/>
        <w:rPr>
          <w:rFonts w:ascii="Cambria" w:hAnsi="Cambria" w:cs="Times New Roman"/>
          <w:sz w:val="22"/>
        </w:rPr>
      </w:pPr>
      <w:r>
        <w:rPr>
          <w:rFonts w:ascii="Cambria" w:hAnsi="Cambria" w:cs="Times New Roman"/>
          <w:sz w:val="22"/>
        </w:rPr>
        <w:t xml:space="preserve">Of course, </w:t>
      </w:r>
      <w:r w:rsidR="000F3FC2">
        <w:rPr>
          <w:rFonts w:ascii="Cambria" w:hAnsi="Cambria" w:cs="Times New Roman"/>
          <w:sz w:val="22"/>
        </w:rPr>
        <w:t xml:space="preserve">the case law on </w:t>
      </w:r>
      <w:r w:rsidR="00DF1693">
        <w:rPr>
          <w:rFonts w:ascii="Cambria" w:hAnsi="Cambria" w:cs="Times New Roman"/>
          <w:sz w:val="22"/>
        </w:rPr>
        <w:t xml:space="preserve">the </w:t>
      </w:r>
      <w:r w:rsidR="000F3FC2">
        <w:rPr>
          <w:rFonts w:ascii="Cambria" w:hAnsi="Cambria" w:cs="Times New Roman"/>
          <w:sz w:val="22"/>
        </w:rPr>
        <w:t xml:space="preserve">reconciliation of economic and social values discussed in </w:t>
      </w:r>
      <w:r w:rsidR="00DF1693">
        <w:rPr>
          <w:rFonts w:ascii="Cambria" w:hAnsi="Cambria" w:cs="Times New Roman"/>
          <w:sz w:val="22"/>
        </w:rPr>
        <w:t>section</w:t>
      </w:r>
      <w:r w:rsidR="000F3FC2">
        <w:rPr>
          <w:rFonts w:ascii="Cambria" w:hAnsi="Cambria" w:cs="Times New Roman"/>
          <w:sz w:val="22"/>
        </w:rPr>
        <w:t xml:space="preserve"> 4 </w:t>
      </w:r>
      <w:r>
        <w:rPr>
          <w:rFonts w:ascii="Cambria" w:hAnsi="Cambria" w:cs="Times New Roman"/>
          <w:sz w:val="22"/>
        </w:rPr>
        <w:t xml:space="preserve">showed us </w:t>
      </w:r>
      <w:r w:rsidR="00F10960">
        <w:rPr>
          <w:rFonts w:ascii="Cambria" w:hAnsi="Cambria" w:cs="Times New Roman"/>
          <w:sz w:val="22"/>
        </w:rPr>
        <w:t xml:space="preserve">that, </w:t>
      </w:r>
      <w:r w:rsidR="00896567">
        <w:rPr>
          <w:rFonts w:ascii="Cambria" w:hAnsi="Cambria" w:cs="Times New Roman"/>
          <w:sz w:val="22"/>
        </w:rPr>
        <w:t xml:space="preserve">already </w:t>
      </w:r>
      <w:r w:rsidR="00F10960">
        <w:rPr>
          <w:rFonts w:ascii="Cambria" w:hAnsi="Cambria" w:cs="Times New Roman"/>
          <w:sz w:val="22"/>
        </w:rPr>
        <w:t>before the ent</w:t>
      </w:r>
      <w:r w:rsidR="00DF1693">
        <w:rPr>
          <w:rFonts w:ascii="Cambria" w:hAnsi="Cambria" w:cs="Times New Roman"/>
          <w:sz w:val="22"/>
        </w:rPr>
        <w:t>ry</w:t>
      </w:r>
      <w:r w:rsidR="00F10960">
        <w:rPr>
          <w:rFonts w:ascii="Cambria" w:hAnsi="Cambria" w:cs="Times New Roman"/>
          <w:sz w:val="22"/>
        </w:rPr>
        <w:t xml:space="preserve"> into force of the Charter, </w:t>
      </w:r>
      <w:r w:rsidR="000F3FC2" w:rsidRPr="000F3FC2">
        <w:rPr>
          <w:rFonts w:ascii="Cambria" w:hAnsi="Cambria" w:cs="Times New Roman"/>
          <w:sz w:val="22"/>
        </w:rPr>
        <w:t>human rights</w:t>
      </w:r>
      <w:r w:rsidR="004D0FD3">
        <w:rPr>
          <w:rFonts w:ascii="Cambria" w:hAnsi="Cambria" w:cs="Times New Roman"/>
          <w:sz w:val="22"/>
        </w:rPr>
        <w:t xml:space="preserve"> for long</w:t>
      </w:r>
      <w:r w:rsidR="000F3FC2" w:rsidRPr="000F3FC2">
        <w:rPr>
          <w:rFonts w:ascii="Cambria" w:hAnsi="Cambria" w:cs="Times New Roman"/>
          <w:sz w:val="22"/>
        </w:rPr>
        <w:t xml:space="preserve"> </w:t>
      </w:r>
      <w:r w:rsidR="00DF1693">
        <w:rPr>
          <w:rFonts w:ascii="Cambria" w:hAnsi="Cambria" w:cs="Times New Roman"/>
          <w:sz w:val="22"/>
        </w:rPr>
        <w:t>formed</w:t>
      </w:r>
      <w:r w:rsidR="00F10960">
        <w:rPr>
          <w:rFonts w:ascii="Cambria" w:hAnsi="Cambria" w:cs="Times New Roman"/>
          <w:sz w:val="22"/>
        </w:rPr>
        <w:t xml:space="preserve">  part of the </w:t>
      </w:r>
      <w:r w:rsidR="000F3FC2">
        <w:rPr>
          <w:rFonts w:ascii="Cambria" w:hAnsi="Cambria" w:cs="Times New Roman"/>
          <w:sz w:val="22"/>
        </w:rPr>
        <w:t>Union</w:t>
      </w:r>
      <w:r w:rsidR="00DF1693">
        <w:rPr>
          <w:rFonts w:ascii="Cambria" w:hAnsi="Cambria" w:cs="Times New Roman"/>
          <w:sz w:val="22"/>
        </w:rPr>
        <w:t>’</w:t>
      </w:r>
      <w:r w:rsidR="000F3FC2">
        <w:rPr>
          <w:rFonts w:ascii="Cambria" w:hAnsi="Cambria" w:cs="Times New Roman"/>
          <w:sz w:val="22"/>
        </w:rPr>
        <w:t xml:space="preserve">s </w:t>
      </w:r>
      <w:r w:rsidR="004459F8" w:rsidRPr="000B14B8">
        <w:rPr>
          <w:rFonts w:ascii="Cambria" w:hAnsi="Cambria" w:cs="Times New Roman"/>
          <w:sz w:val="22"/>
        </w:rPr>
        <w:t>constitutional architecture</w:t>
      </w:r>
      <w:r w:rsidR="000F3FC2">
        <w:rPr>
          <w:rFonts w:ascii="Cambria" w:hAnsi="Cambria" w:cs="Times New Roman"/>
          <w:sz w:val="22"/>
        </w:rPr>
        <w:t xml:space="preserve">. </w:t>
      </w:r>
      <w:r w:rsidR="00F10960">
        <w:rPr>
          <w:rFonts w:ascii="Cambria" w:hAnsi="Cambria" w:cs="Times New Roman"/>
          <w:sz w:val="22"/>
        </w:rPr>
        <w:t>Still, this architecture</w:t>
      </w:r>
      <w:r w:rsidR="004459F8" w:rsidRPr="000B14B8">
        <w:rPr>
          <w:rFonts w:ascii="Cambria" w:hAnsi="Cambria" w:cs="Times New Roman"/>
          <w:sz w:val="22"/>
        </w:rPr>
        <w:t xml:space="preserve"> originates from economic integra</w:t>
      </w:r>
      <w:r w:rsidR="000F3FC2">
        <w:rPr>
          <w:rFonts w:ascii="Cambria" w:hAnsi="Cambria" w:cs="Times New Roman"/>
          <w:sz w:val="22"/>
        </w:rPr>
        <w:softHyphen/>
      </w:r>
      <w:r w:rsidR="004459F8" w:rsidRPr="000B14B8">
        <w:rPr>
          <w:rFonts w:ascii="Cambria" w:hAnsi="Cambria" w:cs="Times New Roman"/>
          <w:sz w:val="22"/>
        </w:rPr>
        <w:t>tion, whereby the internal market has provided the very foundation of the autonomous inter</w:t>
      </w:r>
      <w:r w:rsidR="000F3FC2">
        <w:rPr>
          <w:rFonts w:ascii="Cambria" w:hAnsi="Cambria" w:cs="Times New Roman"/>
          <w:sz w:val="22"/>
        </w:rPr>
        <w:softHyphen/>
      </w:r>
      <w:r w:rsidR="004459F8" w:rsidRPr="000B14B8">
        <w:rPr>
          <w:rFonts w:ascii="Cambria" w:hAnsi="Cambria" w:cs="Times New Roman"/>
          <w:sz w:val="22"/>
        </w:rPr>
        <w:t xml:space="preserve">pretation of fundamental rights, including social rights. </w:t>
      </w:r>
      <w:r w:rsidR="00F10960" w:rsidRPr="000B14B8">
        <w:rPr>
          <w:rFonts w:ascii="Cambria" w:hAnsi="Cambria" w:cs="Times New Roman"/>
          <w:sz w:val="22"/>
        </w:rPr>
        <w:t>Should this be seen as problematic, also in the light of other, international regimes, like the ILO or the Council of Europe?</w:t>
      </w:r>
      <w:r w:rsidR="00F10960" w:rsidRPr="000B14B8">
        <w:rPr>
          <w:rFonts w:ascii="Cambria" w:hAnsi="Cambria" w:cs="Times New Roman"/>
          <w:sz w:val="22"/>
          <w:vertAlign w:val="superscript"/>
        </w:rPr>
        <w:footnoteReference w:id="91"/>
      </w:r>
      <w:r w:rsidR="00F10960" w:rsidRPr="000B14B8">
        <w:rPr>
          <w:rFonts w:ascii="Cambria" w:hAnsi="Cambria" w:cs="Times New Roman"/>
          <w:sz w:val="22"/>
        </w:rPr>
        <w:t xml:space="preserve"> Could the Court’s mentality in this respect be characterised as </w:t>
      </w:r>
      <w:r w:rsidR="00DF1693">
        <w:rPr>
          <w:rFonts w:ascii="Cambria" w:hAnsi="Cambria" w:cs="Times New Roman"/>
          <w:sz w:val="22"/>
        </w:rPr>
        <w:t xml:space="preserve">being </w:t>
      </w:r>
      <w:r w:rsidR="00F10960" w:rsidRPr="000B14B8">
        <w:rPr>
          <w:rFonts w:ascii="Cambria" w:hAnsi="Cambria" w:cs="Times New Roman"/>
          <w:sz w:val="22"/>
        </w:rPr>
        <w:t>too instrumental or market-led? Should the Court now</w:t>
      </w:r>
      <w:r w:rsidR="00DF1693">
        <w:rPr>
          <w:rFonts w:ascii="Cambria" w:hAnsi="Cambria" w:cs="Times New Roman"/>
          <w:sz w:val="22"/>
        </w:rPr>
        <w:t>,</w:t>
      </w:r>
      <w:r w:rsidR="00F10960" w:rsidRPr="000B14B8">
        <w:rPr>
          <w:rFonts w:ascii="Cambria" w:hAnsi="Cambria" w:cs="Times New Roman"/>
          <w:sz w:val="22"/>
        </w:rPr>
        <w:t xml:space="preserve"> as a result of the ent</w:t>
      </w:r>
      <w:r w:rsidR="00DF1693">
        <w:rPr>
          <w:rFonts w:ascii="Cambria" w:hAnsi="Cambria" w:cs="Times New Roman"/>
          <w:sz w:val="22"/>
        </w:rPr>
        <w:t>ry</w:t>
      </w:r>
      <w:r w:rsidR="00F10960" w:rsidRPr="000B14B8">
        <w:rPr>
          <w:rFonts w:ascii="Cambria" w:hAnsi="Cambria" w:cs="Times New Roman"/>
          <w:sz w:val="22"/>
        </w:rPr>
        <w:t xml:space="preserve"> into force of the EU Charter</w:t>
      </w:r>
      <w:r w:rsidR="00DF1693">
        <w:rPr>
          <w:rFonts w:ascii="Cambria" w:hAnsi="Cambria" w:cs="Times New Roman"/>
          <w:sz w:val="22"/>
        </w:rPr>
        <w:t>,</w:t>
      </w:r>
      <w:r w:rsidR="00F10960" w:rsidRPr="000B14B8">
        <w:rPr>
          <w:rFonts w:ascii="Cambria" w:hAnsi="Cambria" w:cs="Times New Roman"/>
          <w:sz w:val="22"/>
        </w:rPr>
        <w:t xml:space="preserve"> move bey</w:t>
      </w:r>
      <w:r w:rsidR="000A4798">
        <w:rPr>
          <w:rFonts w:ascii="Cambria" w:hAnsi="Cambria" w:cs="Times New Roman"/>
          <w:sz w:val="22"/>
        </w:rPr>
        <w:t>ond this mentality and develop ‘</w:t>
      </w:r>
      <w:r w:rsidR="00F10960" w:rsidRPr="000B14B8">
        <w:rPr>
          <w:rFonts w:ascii="Cambria" w:hAnsi="Cambria" w:cs="Times New Roman"/>
          <w:sz w:val="22"/>
        </w:rPr>
        <w:t>a mature conception of fundamenta</w:t>
      </w:r>
      <w:r w:rsidR="000A4798">
        <w:rPr>
          <w:rFonts w:ascii="Cambria" w:hAnsi="Cambria" w:cs="Times New Roman"/>
          <w:sz w:val="22"/>
        </w:rPr>
        <w:t>l rights as goods in themselves’</w:t>
      </w:r>
      <w:r w:rsidR="00F10960" w:rsidRPr="000B14B8">
        <w:rPr>
          <w:rFonts w:ascii="Cambria" w:hAnsi="Cambria" w:cs="Times New Roman"/>
          <w:sz w:val="22"/>
        </w:rPr>
        <w:t>?</w:t>
      </w:r>
      <w:r w:rsidR="00F10960" w:rsidRPr="000B14B8">
        <w:rPr>
          <w:rFonts w:ascii="Cambria" w:hAnsi="Cambria" w:cs="Times New Roman"/>
          <w:sz w:val="22"/>
          <w:vertAlign w:val="superscript"/>
        </w:rPr>
        <w:footnoteReference w:id="92"/>
      </w:r>
      <w:r w:rsidR="000F3FC2">
        <w:rPr>
          <w:rFonts w:ascii="Cambria" w:hAnsi="Cambria" w:cs="Times New Roman"/>
          <w:sz w:val="22"/>
        </w:rPr>
        <w:t xml:space="preserve"> </w:t>
      </w:r>
    </w:p>
    <w:p w:rsidR="00920517" w:rsidRPr="00920517" w:rsidRDefault="009B77ED" w:rsidP="00FA707B">
      <w:pPr>
        <w:spacing w:after="0" w:line="240" w:lineRule="auto"/>
        <w:jc w:val="both"/>
        <w:rPr>
          <w:rFonts w:ascii="Cambria" w:hAnsi="Cambria" w:cs="Times New Roman"/>
          <w:sz w:val="22"/>
        </w:rPr>
      </w:pPr>
      <w:r>
        <w:rPr>
          <w:rFonts w:ascii="Cambria" w:hAnsi="Cambria" w:cs="Times New Roman"/>
          <w:sz w:val="22"/>
        </w:rPr>
        <w:t xml:space="preserve">For the Court to be able to do so, </w:t>
      </w:r>
      <w:r w:rsidR="001A5044">
        <w:rPr>
          <w:rFonts w:ascii="Cambria" w:hAnsi="Cambria" w:cs="Times New Roman"/>
          <w:sz w:val="22"/>
        </w:rPr>
        <w:t xml:space="preserve">however, </w:t>
      </w:r>
      <w:r>
        <w:rPr>
          <w:rFonts w:ascii="Cambria" w:hAnsi="Cambria" w:cs="Times New Roman"/>
          <w:sz w:val="22"/>
        </w:rPr>
        <w:t xml:space="preserve">this will highly depend on the content of the rights afforded by </w:t>
      </w:r>
      <w:r w:rsidR="004E41EE">
        <w:rPr>
          <w:rFonts w:ascii="Cambria" w:hAnsi="Cambria" w:cs="Times New Roman"/>
          <w:sz w:val="22"/>
        </w:rPr>
        <w:t xml:space="preserve">the Charter, their liability to </w:t>
      </w:r>
      <w:r>
        <w:rPr>
          <w:rFonts w:ascii="Cambria" w:hAnsi="Cambria" w:cs="Times New Roman"/>
          <w:sz w:val="22"/>
        </w:rPr>
        <w:t>judic</w:t>
      </w:r>
      <w:r w:rsidR="00B5761E">
        <w:rPr>
          <w:rFonts w:ascii="Cambria" w:hAnsi="Cambria" w:cs="Times New Roman"/>
          <w:sz w:val="22"/>
        </w:rPr>
        <w:t xml:space="preserve">ial review and, </w:t>
      </w:r>
      <w:r w:rsidR="004E41EE">
        <w:rPr>
          <w:rFonts w:ascii="Cambria" w:hAnsi="Cambria" w:cs="Times New Roman"/>
          <w:sz w:val="22"/>
        </w:rPr>
        <w:t xml:space="preserve">especially </w:t>
      </w:r>
      <w:r w:rsidR="00B5761E">
        <w:rPr>
          <w:rFonts w:ascii="Cambria" w:hAnsi="Cambria" w:cs="Times New Roman"/>
          <w:sz w:val="22"/>
        </w:rPr>
        <w:t>when industrial relations are involved, the</w:t>
      </w:r>
      <w:r w:rsidR="00A56942">
        <w:rPr>
          <w:rFonts w:ascii="Cambria" w:hAnsi="Cambria" w:cs="Times New Roman"/>
          <w:sz w:val="22"/>
        </w:rPr>
        <w:t xml:space="preserve">ir potential </w:t>
      </w:r>
      <w:r w:rsidR="00B5761E">
        <w:rPr>
          <w:rFonts w:ascii="Cambria" w:hAnsi="Cambria" w:cs="Times New Roman"/>
          <w:sz w:val="22"/>
        </w:rPr>
        <w:t>horizontal effect.</w:t>
      </w:r>
      <w:r w:rsidR="00920517">
        <w:rPr>
          <w:rFonts w:ascii="Cambria" w:hAnsi="Cambria" w:cs="Times New Roman"/>
          <w:sz w:val="22"/>
        </w:rPr>
        <w:t xml:space="preserve"> </w:t>
      </w:r>
      <w:r w:rsidR="000F3FC2">
        <w:rPr>
          <w:rFonts w:ascii="Cambria" w:hAnsi="Cambria" w:cs="Times New Roman"/>
          <w:sz w:val="22"/>
          <w:lang w:val="en-US"/>
        </w:rPr>
        <w:t xml:space="preserve">Possibly </w:t>
      </w:r>
      <w:r w:rsidR="00DF1693">
        <w:rPr>
          <w:rFonts w:ascii="Cambria" w:hAnsi="Cambria" w:cs="Times New Roman"/>
          <w:sz w:val="22"/>
          <w:lang w:val="en-US"/>
        </w:rPr>
        <w:t>with</w:t>
      </w:r>
      <w:r w:rsidR="000F3FC2">
        <w:rPr>
          <w:rFonts w:ascii="Cambria" w:hAnsi="Cambria" w:cs="Times New Roman"/>
          <w:sz w:val="22"/>
          <w:lang w:val="en-US"/>
        </w:rPr>
        <w:t xml:space="preserve"> regard </w:t>
      </w:r>
      <w:r w:rsidR="00DF1693">
        <w:rPr>
          <w:rFonts w:ascii="Cambria" w:hAnsi="Cambria" w:cs="Times New Roman"/>
          <w:sz w:val="22"/>
          <w:lang w:val="en-US"/>
        </w:rPr>
        <w:t>to</w:t>
      </w:r>
      <w:r w:rsidR="000F3FC2">
        <w:rPr>
          <w:rFonts w:ascii="Cambria" w:hAnsi="Cambria" w:cs="Times New Roman"/>
          <w:sz w:val="22"/>
          <w:lang w:val="en-US"/>
        </w:rPr>
        <w:t xml:space="preserve"> all three aspects, </w:t>
      </w:r>
      <w:r w:rsidR="002207F0">
        <w:rPr>
          <w:rFonts w:ascii="Cambria" w:hAnsi="Cambria" w:cs="Times New Roman"/>
          <w:sz w:val="22"/>
          <w:lang w:val="en-US"/>
        </w:rPr>
        <w:t xml:space="preserve">the Charter shows an ambivalent relationship with social rights. </w:t>
      </w:r>
    </w:p>
    <w:p w:rsidR="00920517" w:rsidRDefault="00920517" w:rsidP="00FA707B">
      <w:pPr>
        <w:spacing w:after="0" w:line="240" w:lineRule="auto"/>
        <w:jc w:val="both"/>
        <w:rPr>
          <w:rFonts w:ascii="Cambria" w:hAnsi="Cambria" w:cs="Times New Roman"/>
          <w:sz w:val="22"/>
          <w:lang w:val="en-US"/>
        </w:rPr>
      </w:pPr>
    </w:p>
    <w:p w:rsidR="00AF3E5A" w:rsidRDefault="00484856" w:rsidP="00FA707B">
      <w:pPr>
        <w:spacing w:after="0" w:line="240" w:lineRule="auto"/>
        <w:jc w:val="both"/>
        <w:rPr>
          <w:rFonts w:ascii="Cambria" w:hAnsi="Cambria" w:cs="Times New Roman"/>
          <w:sz w:val="22"/>
          <w:lang w:val="en-US"/>
        </w:rPr>
      </w:pPr>
      <w:r>
        <w:rPr>
          <w:rFonts w:ascii="Cambria" w:hAnsi="Cambria" w:cs="Times New Roman"/>
          <w:sz w:val="22"/>
          <w:lang w:val="en-US"/>
        </w:rPr>
        <w:t>First,</w:t>
      </w:r>
      <w:r w:rsidR="001E0F8E">
        <w:rPr>
          <w:rFonts w:ascii="Cambria" w:hAnsi="Cambria" w:cs="Times New Roman"/>
          <w:sz w:val="22"/>
          <w:lang w:val="en-US"/>
        </w:rPr>
        <w:t xml:space="preserve"> in respect of the </w:t>
      </w:r>
      <w:r w:rsidR="003D3685">
        <w:rPr>
          <w:rFonts w:ascii="Cambria" w:hAnsi="Cambria" w:cs="Times New Roman"/>
          <w:sz w:val="22"/>
          <w:lang w:val="en-US"/>
        </w:rPr>
        <w:t xml:space="preserve">content and </w:t>
      </w:r>
      <w:r w:rsidR="001E0F8E">
        <w:rPr>
          <w:rFonts w:ascii="Cambria" w:hAnsi="Cambria" w:cs="Times New Roman"/>
          <w:sz w:val="22"/>
          <w:lang w:val="en-US"/>
        </w:rPr>
        <w:t xml:space="preserve">selection of </w:t>
      </w:r>
      <w:r w:rsidR="004222CE">
        <w:rPr>
          <w:rFonts w:ascii="Cambria" w:hAnsi="Cambria" w:cs="Times New Roman"/>
          <w:sz w:val="22"/>
          <w:lang w:val="en-US"/>
        </w:rPr>
        <w:t xml:space="preserve">especially social </w:t>
      </w:r>
      <w:r w:rsidR="004E41EE">
        <w:rPr>
          <w:rFonts w:ascii="Cambria" w:hAnsi="Cambria" w:cs="Times New Roman"/>
          <w:sz w:val="22"/>
          <w:lang w:val="en-US"/>
        </w:rPr>
        <w:t xml:space="preserve">and economic </w:t>
      </w:r>
      <w:r w:rsidR="001E0F8E">
        <w:rPr>
          <w:rFonts w:ascii="Cambria" w:hAnsi="Cambria" w:cs="Times New Roman"/>
          <w:sz w:val="22"/>
          <w:lang w:val="en-US"/>
        </w:rPr>
        <w:t xml:space="preserve">rights, the Charter shows a </w:t>
      </w:r>
      <w:r w:rsidR="003D3685">
        <w:rPr>
          <w:rFonts w:ascii="Cambria" w:hAnsi="Cambria" w:cs="Times New Roman"/>
          <w:sz w:val="22"/>
          <w:lang w:val="en-US"/>
        </w:rPr>
        <w:t>miscellaneous</w:t>
      </w:r>
      <w:r w:rsidR="00AF3E5A">
        <w:rPr>
          <w:rFonts w:ascii="Cambria" w:hAnsi="Cambria" w:cs="Times New Roman"/>
          <w:sz w:val="22"/>
          <w:lang w:val="en-US"/>
        </w:rPr>
        <w:t xml:space="preserve"> set</w:t>
      </w:r>
      <w:r w:rsidR="001E0F8E">
        <w:rPr>
          <w:rFonts w:ascii="Cambria" w:hAnsi="Cambria" w:cs="Times New Roman"/>
          <w:sz w:val="22"/>
          <w:lang w:val="en-US"/>
        </w:rPr>
        <w:t xml:space="preserve"> of </w:t>
      </w:r>
      <w:r w:rsidR="003D3685">
        <w:rPr>
          <w:rFonts w:ascii="Cambria" w:hAnsi="Cambria" w:cs="Times New Roman"/>
          <w:sz w:val="22"/>
          <w:lang w:val="en-US"/>
        </w:rPr>
        <w:t>rights accepted in international human rights law</w:t>
      </w:r>
      <w:r w:rsidR="00DE2A38">
        <w:rPr>
          <w:rFonts w:ascii="Cambria" w:hAnsi="Cambria" w:cs="Times New Roman"/>
          <w:sz w:val="22"/>
          <w:lang w:val="en-US"/>
        </w:rPr>
        <w:t xml:space="preserve">, while their phrasing </w:t>
      </w:r>
      <w:r w:rsidR="004E41EE">
        <w:rPr>
          <w:rFonts w:ascii="Cambria" w:hAnsi="Cambria" w:cs="Times New Roman"/>
          <w:sz w:val="22"/>
          <w:lang w:val="en-US"/>
        </w:rPr>
        <w:t xml:space="preserve">is often </w:t>
      </w:r>
      <w:r w:rsidR="00DE2A38">
        <w:rPr>
          <w:rFonts w:ascii="Cambria" w:hAnsi="Cambria" w:cs="Times New Roman"/>
          <w:sz w:val="22"/>
          <w:lang w:val="en-US"/>
        </w:rPr>
        <w:t>sup</w:t>
      </w:r>
      <w:r w:rsidR="00062EF5">
        <w:rPr>
          <w:rFonts w:ascii="Cambria" w:hAnsi="Cambria" w:cs="Times New Roman"/>
          <w:sz w:val="22"/>
          <w:lang w:val="en-US"/>
        </w:rPr>
        <w:t>plemented</w:t>
      </w:r>
      <w:r w:rsidR="00DE2A38">
        <w:rPr>
          <w:rFonts w:ascii="Cambria" w:hAnsi="Cambria" w:cs="Times New Roman"/>
          <w:sz w:val="22"/>
          <w:lang w:val="en-US"/>
        </w:rPr>
        <w:t xml:space="preserve"> or </w:t>
      </w:r>
      <w:r w:rsidR="00062EF5">
        <w:rPr>
          <w:rFonts w:ascii="Cambria" w:hAnsi="Cambria" w:cs="Times New Roman"/>
          <w:sz w:val="22"/>
          <w:lang w:val="en-US"/>
        </w:rPr>
        <w:t xml:space="preserve">adjusted </w:t>
      </w:r>
      <w:r w:rsidR="00DE2A38">
        <w:rPr>
          <w:rFonts w:ascii="Cambria" w:hAnsi="Cambria" w:cs="Times New Roman"/>
          <w:sz w:val="22"/>
          <w:lang w:val="en-US"/>
        </w:rPr>
        <w:t>from a</w:t>
      </w:r>
      <w:r w:rsidR="004E41EE">
        <w:rPr>
          <w:rFonts w:ascii="Cambria" w:hAnsi="Cambria" w:cs="Times New Roman"/>
          <w:sz w:val="22"/>
          <w:lang w:val="en-US"/>
        </w:rPr>
        <w:t>n</w:t>
      </w:r>
      <w:r w:rsidR="00DE2A38">
        <w:rPr>
          <w:rFonts w:ascii="Cambria" w:hAnsi="Cambria" w:cs="Times New Roman"/>
          <w:sz w:val="22"/>
          <w:lang w:val="en-US"/>
        </w:rPr>
        <w:t xml:space="preserve"> </w:t>
      </w:r>
      <w:r w:rsidR="00062EF5">
        <w:rPr>
          <w:rFonts w:ascii="Cambria" w:hAnsi="Cambria" w:cs="Times New Roman"/>
          <w:sz w:val="22"/>
          <w:lang w:val="en-US"/>
        </w:rPr>
        <w:t xml:space="preserve">autonomous </w:t>
      </w:r>
      <w:r w:rsidR="00DE2A38">
        <w:rPr>
          <w:rFonts w:ascii="Cambria" w:hAnsi="Cambria" w:cs="Times New Roman"/>
          <w:sz w:val="22"/>
          <w:lang w:val="en-US"/>
        </w:rPr>
        <w:t>Union law perspective</w:t>
      </w:r>
      <w:r w:rsidR="003D3685">
        <w:rPr>
          <w:rFonts w:ascii="Cambria" w:hAnsi="Cambria" w:cs="Times New Roman"/>
          <w:sz w:val="22"/>
          <w:lang w:val="en-US"/>
        </w:rPr>
        <w:t xml:space="preserve">. </w:t>
      </w:r>
      <w:r w:rsidR="004222CE">
        <w:rPr>
          <w:rFonts w:ascii="Cambria" w:hAnsi="Cambria" w:cs="Times New Roman"/>
          <w:sz w:val="22"/>
          <w:lang w:val="en-US"/>
        </w:rPr>
        <w:t>The</w:t>
      </w:r>
      <w:r w:rsidR="00DE2A38">
        <w:rPr>
          <w:rFonts w:ascii="Cambria" w:hAnsi="Cambria" w:cs="Times New Roman"/>
          <w:sz w:val="22"/>
          <w:lang w:val="en-US"/>
        </w:rPr>
        <w:t xml:space="preserve"> right to work </w:t>
      </w:r>
      <w:r w:rsidR="00DF1693">
        <w:rPr>
          <w:rFonts w:ascii="Cambria" w:hAnsi="Cambria" w:cs="Times New Roman"/>
          <w:sz w:val="22"/>
          <w:lang w:val="en-US"/>
        </w:rPr>
        <w:t>under</w:t>
      </w:r>
      <w:r w:rsidR="00DE2A38">
        <w:rPr>
          <w:rFonts w:ascii="Cambria" w:hAnsi="Cambria" w:cs="Times New Roman"/>
          <w:sz w:val="22"/>
          <w:lang w:val="en-US"/>
        </w:rPr>
        <w:t xml:space="preserve"> Article 15</w:t>
      </w:r>
      <w:r w:rsidR="00065F9B">
        <w:rPr>
          <w:rFonts w:ascii="Cambria" w:hAnsi="Cambria" w:cs="Times New Roman"/>
          <w:sz w:val="22"/>
          <w:lang w:val="en-US"/>
        </w:rPr>
        <w:t>,</w:t>
      </w:r>
      <w:r w:rsidR="00DE2A38">
        <w:rPr>
          <w:rFonts w:ascii="Cambria" w:hAnsi="Cambria" w:cs="Times New Roman"/>
          <w:sz w:val="22"/>
          <w:lang w:val="en-US"/>
        </w:rPr>
        <w:t xml:space="preserve"> for example,</w:t>
      </w:r>
      <w:r w:rsidR="00DE2A38">
        <w:rPr>
          <w:rStyle w:val="Voetnootmarkering"/>
          <w:rFonts w:ascii="Cambria" w:hAnsi="Cambria" w:cs="Times New Roman"/>
          <w:sz w:val="22"/>
          <w:lang w:val="en-US"/>
        </w:rPr>
        <w:footnoteReference w:id="93"/>
      </w:r>
      <w:r w:rsidR="00DE2A38">
        <w:rPr>
          <w:rFonts w:ascii="Cambria" w:hAnsi="Cambria" w:cs="Times New Roman"/>
          <w:sz w:val="22"/>
          <w:lang w:val="en-US"/>
        </w:rPr>
        <w:t xml:space="preserve"> </w:t>
      </w:r>
      <w:r w:rsidR="002F4489">
        <w:rPr>
          <w:rFonts w:ascii="Cambria" w:hAnsi="Cambria" w:cs="Times New Roman"/>
          <w:sz w:val="22"/>
          <w:lang w:val="en-US"/>
        </w:rPr>
        <w:t xml:space="preserve">reinstates in section 2 </w:t>
      </w:r>
      <w:r w:rsidR="00F5301E">
        <w:rPr>
          <w:rFonts w:ascii="Cambria" w:hAnsi="Cambria" w:cs="Times New Roman"/>
          <w:sz w:val="22"/>
          <w:lang w:val="en-US"/>
        </w:rPr>
        <w:t>for EU</w:t>
      </w:r>
      <w:r w:rsidR="00DF1693">
        <w:rPr>
          <w:rFonts w:ascii="Cambria" w:hAnsi="Cambria" w:cs="Times New Roman"/>
          <w:sz w:val="22"/>
          <w:lang w:val="en-US"/>
        </w:rPr>
        <w:t xml:space="preserve"> </w:t>
      </w:r>
      <w:r w:rsidR="00F5301E">
        <w:rPr>
          <w:rFonts w:ascii="Cambria" w:hAnsi="Cambria" w:cs="Times New Roman"/>
          <w:sz w:val="22"/>
          <w:lang w:val="en-US"/>
        </w:rPr>
        <w:t xml:space="preserve">citizens </w:t>
      </w:r>
      <w:r w:rsidR="002F4489">
        <w:rPr>
          <w:rFonts w:ascii="Cambria" w:hAnsi="Cambria" w:cs="Times New Roman"/>
          <w:sz w:val="22"/>
          <w:lang w:val="en-US"/>
        </w:rPr>
        <w:t xml:space="preserve">the economic </w:t>
      </w:r>
      <w:r w:rsidR="00F5301E">
        <w:rPr>
          <w:rFonts w:ascii="Cambria" w:hAnsi="Cambria" w:cs="Times New Roman"/>
          <w:sz w:val="22"/>
          <w:lang w:val="en-US"/>
        </w:rPr>
        <w:t xml:space="preserve">(cross-border) </w:t>
      </w:r>
      <w:r w:rsidR="002F4489">
        <w:rPr>
          <w:rFonts w:ascii="Cambria" w:hAnsi="Cambria" w:cs="Times New Roman"/>
          <w:sz w:val="22"/>
          <w:lang w:val="en-US"/>
        </w:rPr>
        <w:t xml:space="preserve">freedoms of </w:t>
      </w:r>
      <w:r w:rsidR="002F4489" w:rsidRPr="002F4489">
        <w:rPr>
          <w:rFonts w:ascii="Cambria" w:hAnsi="Cambria" w:cs="Times New Roman"/>
          <w:sz w:val="22"/>
          <w:lang w:val="en-US"/>
        </w:rPr>
        <w:t>workers, services</w:t>
      </w:r>
      <w:r w:rsidR="002F4489">
        <w:rPr>
          <w:rFonts w:ascii="Cambria" w:hAnsi="Cambria" w:cs="Times New Roman"/>
          <w:sz w:val="22"/>
          <w:lang w:val="en-US"/>
        </w:rPr>
        <w:t xml:space="preserve"> and establishment (see </w:t>
      </w:r>
      <w:r w:rsidR="00062EF5">
        <w:rPr>
          <w:rFonts w:ascii="Cambria" w:hAnsi="Cambria" w:cs="Times New Roman"/>
          <w:sz w:val="22"/>
          <w:lang w:val="en-US"/>
        </w:rPr>
        <w:t xml:space="preserve">also </w:t>
      </w:r>
      <w:r w:rsidR="002F4489">
        <w:rPr>
          <w:rFonts w:ascii="Cambria" w:hAnsi="Cambria" w:cs="Times New Roman"/>
          <w:sz w:val="22"/>
          <w:lang w:val="en-US"/>
        </w:rPr>
        <w:t>supra, 2.1), whilst the same right recognized in</w:t>
      </w:r>
      <w:r w:rsidR="00DF1693">
        <w:rPr>
          <w:rFonts w:ascii="Cambria" w:hAnsi="Cambria" w:cs="Times New Roman"/>
          <w:sz w:val="22"/>
          <w:lang w:val="en-US"/>
        </w:rPr>
        <w:t xml:space="preserve"> </w:t>
      </w:r>
      <w:r w:rsidR="002F4489">
        <w:rPr>
          <w:rFonts w:ascii="Cambria" w:hAnsi="Cambria" w:cs="Times New Roman"/>
          <w:sz w:val="22"/>
          <w:lang w:val="en-US"/>
        </w:rPr>
        <w:t xml:space="preserve">ILO, Council of Europe and UN instruments tend to emphasize the freedom of coercion, </w:t>
      </w:r>
      <w:r w:rsidR="00DF1693">
        <w:rPr>
          <w:rFonts w:ascii="Cambria" w:hAnsi="Cambria" w:cs="Times New Roman"/>
          <w:sz w:val="22"/>
          <w:lang w:val="en-US"/>
        </w:rPr>
        <w:t xml:space="preserve">the </w:t>
      </w:r>
      <w:r w:rsidR="002F4489">
        <w:rPr>
          <w:rFonts w:ascii="Cambria" w:hAnsi="Cambria" w:cs="Times New Roman"/>
          <w:sz w:val="22"/>
          <w:lang w:val="en-US"/>
        </w:rPr>
        <w:t xml:space="preserve">state’s duties to </w:t>
      </w:r>
      <w:r w:rsidR="00F5301E">
        <w:rPr>
          <w:rFonts w:ascii="Cambria" w:hAnsi="Cambria" w:cs="Times New Roman"/>
          <w:sz w:val="22"/>
          <w:lang w:val="en-US"/>
        </w:rPr>
        <w:t>maintain a high and stable level of employment</w:t>
      </w:r>
      <w:r w:rsidR="002F4489">
        <w:rPr>
          <w:rFonts w:ascii="Cambria" w:hAnsi="Cambria" w:cs="Times New Roman"/>
          <w:sz w:val="22"/>
          <w:lang w:val="en-US"/>
        </w:rPr>
        <w:t xml:space="preserve"> and</w:t>
      </w:r>
      <w:r w:rsidR="00F5301E">
        <w:rPr>
          <w:rFonts w:ascii="Cambria" w:hAnsi="Cambria" w:cs="Times New Roman"/>
          <w:sz w:val="22"/>
          <w:lang w:val="en-US"/>
        </w:rPr>
        <w:t xml:space="preserve"> </w:t>
      </w:r>
      <w:r w:rsidR="00AF3E5A">
        <w:rPr>
          <w:rFonts w:ascii="Cambria" w:hAnsi="Cambria" w:cs="Times New Roman"/>
          <w:sz w:val="22"/>
          <w:lang w:val="en-US"/>
        </w:rPr>
        <w:t>the right to decent work and fair working conditions</w:t>
      </w:r>
      <w:r w:rsidR="00F5301E">
        <w:rPr>
          <w:rFonts w:ascii="Cambria" w:hAnsi="Cambria" w:cs="Times New Roman"/>
          <w:sz w:val="22"/>
          <w:lang w:val="en-US"/>
        </w:rPr>
        <w:t>.</w:t>
      </w:r>
      <w:bookmarkStart w:id="14" w:name="_Ref420513033"/>
      <w:r w:rsidR="000340A6">
        <w:rPr>
          <w:rStyle w:val="Voetnootmarkering"/>
          <w:rFonts w:ascii="Cambria" w:hAnsi="Cambria" w:cs="Times New Roman"/>
          <w:sz w:val="22"/>
          <w:lang w:val="en-US"/>
        </w:rPr>
        <w:footnoteReference w:id="94"/>
      </w:r>
      <w:bookmarkEnd w:id="14"/>
      <w:r w:rsidR="000340A6">
        <w:rPr>
          <w:rFonts w:ascii="Cambria" w:hAnsi="Cambria" w:cs="Times New Roman"/>
          <w:sz w:val="22"/>
          <w:lang w:val="en-US"/>
        </w:rPr>
        <w:t xml:space="preserve"> Article 16 on entrepreneurial freedo</w:t>
      </w:r>
      <w:r w:rsidR="00536BB4">
        <w:rPr>
          <w:rFonts w:ascii="Cambria" w:hAnsi="Cambria" w:cs="Times New Roman"/>
          <w:sz w:val="22"/>
          <w:lang w:val="en-US"/>
        </w:rPr>
        <w:t>m</w:t>
      </w:r>
      <w:r w:rsidR="00366062">
        <w:rPr>
          <w:rFonts w:ascii="Cambria" w:hAnsi="Cambria" w:cs="Times New Roman"/>
          <w:sz w:val="22"/>
          <w:lang w:val="en-US"/>
        </w:rPr>
        <w:t xml:space="preserve">, </w:t>
      </w:r>
      <w:r w:rsidR="00767BE3">
        <w:rPr>
          <w:rFonts w:ascii="Cambria" w:hAnsi="Cambria" w:cs="Times New Roman"/>
          <w:sz w:val="22"/>
          <w:lang w:val="en-US"/>
        </w:rPr>
        <w:t xml:space="preserve">to </w:t>
      </w:r>
      <w:r w:rsidR="00DF1693">
        <w:rPr>
          <w:rFonts w:ascii="Cambria" w:hAnsi="Cambria" w:cs="Times New Roman"/>
          <w:sz w:val="22"/>
          <w:lang w:val="en-US"/>
        </w:rPr>
        <w:t xml:space="preserve">give </w:t>
      </w:r>
      <w:r w:rsidR="00767BE3">
        <w:rPr>
          <w:rFonts w:ascii="Cambria" w:hAnsi="Cambria" w:cs="Times New Roman"/>
          <w:sz w:val="22"/>
          <w:lang w:val="en-US"/>
        </w:rPr>
        <w:t>a</w:t>
      </w:r>
      <w:r w:rsidR="00366062">
        <w:rPr>
          <w:rFonts w:ascii="Cambria" w:hAnsi="Cambria" w:cs="Times New Roman"/>
          <w:sz w:val="22"/>
          <w:lang w:val="en-US"/>
        </w:rPr>
        <w:t>n</w:t>
      </w:r>
      <w:r w:rsidR="00767BE3">
        <w:rPr>
          <w:rFonts w:ascii="Cambria" w:hAnsi="Cambria" w:cs="Times New Roman"/>
          <w:sz w:val="22"/>
          <w:lang w:val="en-US"/>
        </w:rPr>
        <w:t>other exam</w:t>
      </w:r>
      <w:r w:rsidR="00366062">
        <w:rPr>
          <w:rFonts w:ascii="Cambria" w:hAnsi="Cambria" w:cs="Times New Roman"/>
          <w:sz w:val="22"/>
          <w:lang w:val="en-US"/>
        </w:rPr>
        <w:softHyphen/>
      </w:r>
      <w:r w:rsidR="00767BE3">
        <w:rPr>
          <w:rFonts w:ascii="Cambria" w:hAnsi="Cambria" w:cs="Times New Roman"/>
          <w:sz w:val="22"/>
          <w:lang w:val="en-US"/>
        </w:rPr>
        <w:t xml:space="preserve">ple, is </w:t>
      </w:r>
      <w:r w:rsidR="004B0AAB">
        <w:rPr>
          <w:rFonts w:ascii="Cambria" w:hAnsi="Cambria" w:cs="Times New Roman"/>
          <w:sz w:val="22"/>
          <w:lang w:val="en-US"/>
        </w:rPr>
        <w:t>controversial</w:t>
      </w:r>
      <w:r w:rsidR="00757B58">
        <w:rPr>
          <w:rFonts w:ascii="Cambria" w:hAnsi="Cambria" w:cs="Times New Roman"/>
          <w:sz w:val="22"/>
          <w:lang w:val="en-US"/>
        </w:rPr>
        <w:t xml:space="preserve"> in itself</w:t>
      </w:r>
      <w:r w:rsidR="004B0AAB">
        <w:rPr>
          <w:rFonts w:ascii="Cambria" w:hAnsi="Cambria" w:cs="Times New Roman"/>
          <w:sz w:val="22"/>
          <w:lang w:val="en-US"/>
        </w:rPr>
        <w:t>.</w:t>
      </w:r>
      <w:r w:rsidR="004B0AAB">
        <w:rPr>
          <w:rStyle w:val="Voetnootmarkering"/>
          <w:rFonts w:ascii="Cambria" w:hAnsi="Cambria" w:cs="Times New Roman"/>
          <w:sz w:val="22"/>
          <w:lang w:val="en-US"/>
        </w:rPr>
        <w:footnoteReference w:id="95"/>
      </w:r>
      <w:r w:rsidR="004B0AAB">
        <w:rPr>
          <w:rFonts w:ascii="Cambria" w:hAnsi="Cambria" w:cs="Times New Roman"/>
          <w:sz w:val="22"/>
          <w:lang w:val="en-US"/>
        </w:rPr>
        <w:t xml:space="preserve"> </w:t>
      </w:r>
      <w:r w:rsidR="004E41EE">
        <w:rPr>
          <w:rFonts w:ascii="Cambria" w:hAnsi="Cambria" w:cs="Times New Roman"/>
          <w:sz w:val="22"/>
          <w:lang w:val="en-US"/>
        </w:rPr>
        <w:t xml:space="preserve">This economic right </w:t>
      </w:r>
      <w:r w:rsidR="00366062">
        <w:rPr>
          <w:rFonts w:ascii="Cambria" w:hAnsi="Cambria" w:cs="Times New Roman"/>
          <w:sz w:val="22"/>
          <w:lang w:val="en-US"/>
        </w:rPr>
        <w:t>is sourced, not from among inter</w:t>
      </w:r>
      <w:r w:rsidR="00896567">
        <w:rPr>
          <w:rFonts w:ascii="Cambria" w:hAnsi="Cambria" w:cs="Times New Roman"/>
          <w:sz w:val="22"/>
          <w:lang w:val="en-US"/>
        </w:rPr>
        <w:softHyphen/>
      </w:r>
      <w:r w:rsidR="00366062">
        <w:rPr>
          <w:rFonts w:ascii="Cambria" w:hAnsi="Cambria" w:cs="Times New Roman"/>
          <w:sz w:val="22"/>
          <w:lang w:val="en-US"/>
        </w:rPr>
        <w:t xml:space="preserve">national human rights </w:t>
      </w:r>
      <w:r w:rsidR="004B0AAB">
        <w:rPr>
          <w:rFonts w:ascii="Cambria" w:hAnsi="Cambria" w:cs="Times New Roman"/>
          <w:sz w:val="22"/>
          <w:lang w:val="en-US"/>
        </w:rPr>
        <w:t>standards</w:t>
      </w:r>
      <w:r w:rsidR="00366062">
        <w:rPr>
          <w:rFonts w:ascii="Cambria" w:hAnsi="Cambria" w:cs="Times New Roman"/>
          <w:sz w:val="22"/>
          <w:lang w:val="en-US"/>
        </w:rPr>
        <w:t xml:space="preserve">, in which it is </w:t>
      </w:r>
      <w:r w:rsidR="004B0AAB">
        <w:rPr>
          <w:rFonts w:ascii="Cambria" w:hAnsi="Cambria" w:cs="Times New Roman"/>
          <w:sz w:val="22"/>
          <w:lang w:val="en-US"/>
        </w:rPr>
        <w:t xml:space="preserve">noticeably </w:t>
      </w:r>
      <w:r w:rsidR="00366062">
        <w:rPr>
          <w:rFonts w:ascii="Cambria" w:hAnsi="Cambria" w:cs="Times New Roman"/>
          <w:sz w:val="22"/>
          <w:lang w:val="en-US"/>
        </w:rPr>
        <w:t xml:space="preserve">absent, but from </w:t>
      </w:r>
      <w:r w:rsidR="004B0AAB" w:rsidRPr="004B0AAB">
        <w:rPr>
          <w:rFonts w:ascii="Cambria" w:hAnsi="Cambria" w:cs="Times New Roman"/>
          <w:sz w:val="22"/>
          <w:lang w:val="en-US"/>
        </w:rPr>
        <w:t xml:space="preserve">the </w:t>
      </w:r>
      <w:r w:rsidR="00065F9B">
        <w:rPr>
          <w:rFonts w:ascii="Cambria" w:hAnsi="Cambria" w:cs="Times New Roman"/>
          <w:sz w:val="22"/>
          <w:lang w:val="en-US"/>
        </w:rPr>
        <w:t>CJEU</w:t>
      </w:r>
      <w:r w:rsidR="004E41EE">
        <w:rPr>
          <w:rFonts w:ascii="Cambria" w:hAnsi="Cambria" w:cs="Times New Roman"/>
          <w:sz w:val="22"/>
          <w:lang w:val="en-US"/>
        </w:rPr>
        <w:t xml:space="preserve">’s </w:t>
      </w:r>
      <w:r w:rsidR="00366062">
        <w:rPr>
          <w:rFonts w:ascii="Cambria" w:hAnsi="Cambria" w:cs="Times New Roman"/>
          <w:sz w:val="22"/>
          <w:lang w:val="en-US"/>
        </w:rPr>
        <w:t>founding human rights jurispru</w:t>
      </w:r>
      <w:r w:rsidR="00C7453E">
        <w:rPr>
          <w:rFonts w:ascii="Cambria" w:hAnsi="Cambria" w:cs="Times New Roman"/>
          <w:sz w:val="22"/>
          <w:lang w:val="en-US"/>
        </w:rPr>
        <w:softHyphen/>
      </w:r>
      <w:r w:rsidR="00366062">
        <w:rPr>
          <w:rFonts w:ascii="Cambria" w:hAnsi="Cambria" w:cs="Times New Roman"/>
          <w:sz w:val="22"/>
          <w:lang w:val="en-US"/>
        </w:rPr>
        <w:t>dence</w:t>
      </w:r>
      <w:r w:rsidR="000A4798">
        <w:rPr>
          <w:rFonts w:ascii="Cambria" w:hAnsi="Cambria" w:cs="Times New Roman"/>
          <w:sz w:val="22"/>
          <w:lang w:val="en-US"/>
        </w:rPr>
        <w:t>,</w:t>
      </w:r>
      <w:r w:rsidR="000C3D9A">
        <w:rPr>
          <w:rFonts w:ascii="Cambria" w:hAnsi="Cambria" w:cs="Times New Roman"/>
          <w:sz w:val="22"/>
          <w:lang w:val="en-US"/>
        </w:rPr>
        <w:t xml:space="preserve"> based on the constitutional traditions of some </w:t>
      </w:r>
      <w:r w:rsidR="005A57F0">
        <w:rPr>
          <w:rFonts w:ascii="Cambria" w:hAnsi="Cambria" w:cs="Times New Roman"/>
          <w:sz w:val="22"/>
          <w:lang w:val="en-US"/>
        </w:rPr>
        <w:t xml:space="preserve">of the </w:t>
      </w:r>
      <w:r w:rsidR="000C3D9A">
        <w:rPr>
          <w:rFonts w:ascii="Cambria" w:hAnsi="Cambria" w:cs="Times New Roman"/>
          <w:sz w:val="22"/>
          <w:lang w:val="en-US"/>
        </w:rPr>
        <w:t>Member States</w:t>
      </w:r>
      <w:r w:rsidR="004B0AAB">
        <w:rPr>
          <w:rFonts w:ascii="Cambria" w:hAnsi="Cambria" w:cs="Times New Roman"/>
          <w:sz w:val="22"/>
          <w:lang w:val="en-US"/>
        </w:rPr>
        <w:t>.</w:t>
      </w:r>
      <w:r w:rsidR="004B0AAB" w:rsidRPr="004B0AAB">
        <w:rPr>
          <w:rFonts w:ascii="Cambria" w:hAnsi="Cambria" w:cs="Times New Roman"/>
          <w:sz w:val="22"/>
          <w:vertAlign w:val="superscript"/>
          <w:lang w:val="en-US"/>
        </w:rPr>
        <w:footnoteReference w:id="96"/>
      </w:r>
    </w:p>
    <w:p w:rsidR="00971243" w:rsidRDefault="00062EF5" w:rsidP="00FA707B">
      <w:pPr>
        <w:spacing w:after="0" w:line="240" w:lineRule="auto"/>
        <w:jc w:val="both"/>
        <w:rPr>
          <w:rFonts w:ascii="Cambria" w:hAnsi="Cambria" w:cs="Times New Roman"/>
          <w:sz w:val="22"/>
        </w:rPr>
      </w:pPr>
      <w:r>
        <w:rPr>
          <w:rFonts w:ascii="Cambria" w:hAnsi="Cambria" w:cs="Times New Roman"/>
          <w:sz w:val="22"/>
          <w:lang w:val="en-US"/>
        </w:rPr>
        <w:lastRenderedPageBreak/>
        <w:t xml:space="preserve">In </w:t>
      </w:r>
      <w:r w:rsidR="008A1819" w:rsidRPr="00C7453E">
        <w:rPr>
          <w:rFonts w:ascii="Cambria" w:hAnsi="Cambria" w:cs="Times New Roman"/>
          <w:i/>
          <w:sz w:val="22"/>
        </w:rPr>
        <w:t>Alemo Herron</w:t>
      </w:r>
      <w:r w:rsidR="008A1819">
        <w:rPr>
          <w:rFonts w:ascii="Cambria" w:hAnsi="Cambria" w:cs="Times New Roman"/>
          <w:sz w:val="22"/>
        </w:rPr>
        <w:t>, already discussed</w:t>
      </w:r>
      <w:r w:rsidR="00C74807">
        <w:rPr>
          <w:rFonts w:ascii="Cambria" w:hAnsi="Cambria" w:cs="Times New Roman"/>
          <w:sz w:val="22"/>
        </w:rPr>
        <w:t xml:space="preserve"> above</w:t>
      </w:r>
      <w:r w:rsidR="008A1819">
        <w:rPr>
          <w:rFonts w:ascii="Cambria" w:hAnsi="Cambria" w:cs="Times New Roman"/>
          <w:sz w:val="22"/>
        </w:rPr>
        <w:t xml:space="preserve">, </w:t>
      </w:r>
      <w:r w:rsidR="005B1D63">
        <w:rPr>
          <w:rFonts w:ascii="Cambria" w:hAnsi="Cambria" w:cs="Times New Roman"/>
          <w:sz w:val="22"/>
        </w:rPr>
        <w:t xml:space="preserve">the freedom to conduct a business </w:t>
      </w:r>
      <w:r w:rsidR="008A1819">
        <w:rPr>
          <w:rFonts w:ascii="Cambria" w:hAnsi="Cambria" w:cs="Times New Roman"/>
          <w:sz w:val="22"/>
        </w:rPr>
        <w:t>was rel</w:t>
      </w:r>
      <w:r w:rsidR="000A4798">
        <w:rPr>
          <w:rFonts w:ascii="Cambria" w:hAnsi="Cambria" w:cs="Times New Roman"/>
          <w:sz w:val="22"/>
        </w:rPr>
        <w:t>ied upon by the Court to give a</w:t>
      </w:r>
      <w:r w:rsidR="008A1819">
        <w:rPr>
          <w:rFonts w:ascii="Cambria" w:hAnsi="Cambria" w:cs="Times New Roman"/>
          <w:sz w:val="22"/>
        </w:rPr>
        <w:t xml:space="preserve"> </w:t>
      </w:r>
      <w:r w:rsidR="004E41EE">
        <w:rPr>
          <w:rFonts w:ascii="Cambria" w:hAnsi="Cambria" w:cs="Times New Roman"/>
          <w:sz w:val="22"/>
        </w:rPr>
        <w:t xml:space="preserve">very </w:t>
      </w:r>
      <w:r w:rsidR="008A1819">
        <w:rPr>
          <w:rFonts w:ascii="Cambria" w:hAnsi="Cambria" w:cs="Times New Roman"/>
          <w:sz w:val="22"/>
        </w:rPr>
        <w:t xml:space="preserve">narrow interpretation of </w:t>
      </w:r>
      <w:r w:rsidR="005B1D63">
        <w:rPr>
          <w:rFonts w:ascii="Cambria" w:hAnsi="Cambria" w:cs="Times New Roman"/>
          <w:sz w:val="22"/>
        </w:rPr>
        <w:t>t</w:t>
      </w:r>
      <w:r w:rsidR="00F97B94">
        <w:rPr>
          <w:rFonts w:ascii="Cambria" w:hAnsi="Cambria" w:cs="Times New Roman"/>
          <w:sz w:val="22"/>
        </w:rPr>
        <w:t>he</w:t>
      </w:r>
      <w:r w:rsidR="005B1D63">
        <w:rPr>
          <w:rFonts w:ascii="Cambria" w:hAnsi="Cambria" w:cs="Times New Roman"/>
          <w:sz w:val="22"/>
        </w:rPr>
        <w:t xml:space="preserve"> Tr</w:t>
      </w:r>
      <w:r w:rsidR="00F97B94">
        <w:rPr>
          <w:rFonts w:ascii="Cambria" w:hAnsi="Cambria" w:cs="Times New Roman"/>
          <w:sz w:val="22"/>
        </w:rPr>
        <w:t xml:space="preserve">ansfer </w:t>
      </w:r>
      <w:r w:rsidR="005B1D63">
        <w:rPr>
          <w:rFonts w:ascii="Cambria" w:hAnsi="Cambria" w:cs="Times New Roman"/>
          <w:sz w:val="22"/>
        </w:rPr>
        <w:t xml:space="preserve">of Undertaking </w:t>
      </w:r>
      <w:r w:rsidR="00C74807">
        <w:rPr>
          <w:rFonts w:ascii="Cambria" w:hAnsi="Cambria" w:cs="Times New Roman"/>
          <w:sz w:val="22"/>
        </w:rPr>
        <w:t>D</w:t>
      </w:r>
      <w:r w:rsidR="008A1819">
        <w:rPr>
          <w:rFonts w:ascii="Cambria" w:hAnsi="Cambria" w:cs="Times New Roman"/>
          <w:sz w:val="22"/>
        </w:rPr>
        <w:t>irective’s provision</w:t>
      </w:r>
      <w:r w:rsidR="008A7744">
        <w:rPr>
          <w:rFonts w:ascii="Cambria" w:hAnsi="Cambria" w:cs="Times New Roman"/>
          <w:sz w:val="22"/>
        </w:rPr>
        <w:t xml:space="preserve"> </w:t>
      </w:r>
      <w:r w:rsidR="00C74807">
        <w:rPr>
          <w:rFonts w:ascii="Cambria" w:hAnsi="Cambria" w:cs="Times New Roman"/>
          <w:sz w:val="22"/>
        </w:rPr>
        <w:t xml:space="preserve">allowing for laws or </w:t>
      </w:r>
      <w:r w:rsidR="008A1819">
        <w:rPr>
          <w:rFonts w:ascii="Cambria" w:hAnsi="Cambria" w:cs="Times New Roman"/>
          <w:sz w:val="22"/>
        </w:rPr>
        <w:t>collective agreement</w:t>
      </w:r>
      <w:r w:rsidR="00C74807">
        <w:rPr>
          <w:rFonts w:ascii="Cambria" w:hAnsi="Cambria" w:cs="Times New Roman"/>
          <w:sz w:val="22"/>
        </w:rPr>
        <w:t>s</w:t>
      </w:r>
      <w:r w:rsidR="00384F0A">
        <w:rPr>
          <w:rFonts w:ascii="Cambria" w:hAnsi="Cambria" w:cs="Times New Roman"/>
          <w:sz w:val="22"/>
        </w:rPr>
        <w:t xml:space="preserve"> which are</w:t>
      </w:r>
      <w:r w:rsidR="008A1819">
        <w:rPr>
          <w:rFonts w:ascii="Cambria" w:hAnsi="Cambria" w:cs="Times New Roman"/>
          <w:sz w:val="22"/>
        </w:rPr>
        <w:t xml:space="preserve"> more favourable to employ</w:t>
      </w:r>
      <w:r w:rsidR="00C74807">
        <w:rPr>
          <w:rFonts w:ascii="Cambria" w:hAnsi="Cambria" w:cs="Times New Roman"/>
          <w:sz w:val="22"/>
        </w:rPr>
        <w:t>ees.</w:t>
      </w:r>
      <w:r w:rsidR="005B1D63">
        <w:rPr>
          <w:rFonts w:ascii="Cambria" w:hAnsi="Cambria" w:cs="Times New Roman"/>
          <w:sz w:val="22"/>
        </w:rPr>
        <w:t xml:space="preserve"> </w:t>
      </w:r>
      <w:r w:rsidR="00384F0A">
        <w:rPr>
          <w:rFonts w:ascii="Cambria" w:hAnsi="Cambria" w:cs="Times New Roman"/>
          <w:sz w:val="22"/>
        </w:rPr>
        <w:t>Alt</w:t>
      </w:r>
      <w:r w:rsidR="005B1D63">
        <w:rPr>
          <w:rFonts w:ascii="Cambria" w:hAnsi="Cambria" w:cs="Times New Roman"/>
          <w:sz w:val="22"/>
        </w:rPr>
        <w:t xml:space="preserve">hough the </w:t>
      </w:r>
      <w:r w:rsidR="00F97B94">
        <w:rPr>
          <w:rFonts w:ascii="Cambria" w:hAnsi="Cambria" w:cs="Times New Roman"/>
          <w:sz w:val="22"/>
        </w:rPr>
        <w:t xml:space="preserve">particular </w:t>
      </w:r>
      <w:r w:rsidR="005B1D63">
        <w:rPr>
          <w:rFonts w:ascii="Cambria" w:hAnsi="Cambria" w:cs="Times New Roman"/>
          <w:sz w:val="22"/>
        </w:rPr>
        <w:t xml:space="preserve">outcome </w:t>
      </w:r>
      <w:r w:rsidR="00AC519C">
        <w:rPr>
          <w:rFonts w:ascii="Cambria" w:hAnsi="Cambria" w:cs="Times New Roman"/>
          <w:sz w:val="22"/>
        </w:rPr>
        <w:t>may appear</w:t>
      </w:r>
      <w:r w:rsidR="005B1D63">
        <w:rPr>
          <w:rFonts w:ascii="Cambria" w:hAnsi="Cambria" w:cs="Times New Roman"/>
          <w:sz w:val="22"/>
        </w:rPr>
        <w:t xml:space="preserve"> </w:t>
      </w:r>
      <w:r w:rsidR="00384F0A">
        <w:rPr>
          <w:rFonts w:ascii="Cambria" w:hAnsi="Cambria" w:cs="Times New Roman"/>
          <w:sz w:val="22"/>
        </w:rPr>
        <w:t xml:space="preserve">to be </w:t>
      </w:r>
      <w:r w:rsidR="005B1D63">
        <w:rPr>
          <w:rFonts w:ascii="Cambria" w:hAnsi="Cambria" w:cs="Times New Roman"/>
          <w:sz w:val="22"/>
        </w:rPr>
        <w:t xml:space="preserve">acceptable because the court </w:t>
      </w:r>
      <w:r w:rsidR="00A966CF">
        <w:rPr>
          <w:rFonts w:ascii="Cambria" w:hAnsi="Cambria" w:cs="Times New Roman"/>
          <w:sz w:val="22"/>
        </w:rPr>
        <w:t xml:space="preserve">did not prevent the safeguarding of </w:t>
      </w:r>
      <w:r w:rsidR="003A7E0F">
        <w:rPr>
          <w:rFonts w:ascii="Cambria" w:hAnsi="Cambria" w:cs="Times New Roman"/>
          <w:sz w:val="22"/>
        </w:rPr>
        <w:t xml:space="preserve">the </w:t>
      </w:r>
      <w:r w:rsidR="00A966CF">
        <w:rPr>
          <w:rFonts w:ascii="Cambria" w:hAnsi="Cambria" w:cs="Times New Roman"/>
          <w:sz w:val="22"/>
        </w:rPr>
        <w:t xml:space="preserve">rights of workers in case of </w:t>
      </w:r>
      <w:r w:rsidR="00384F0A">
        <w:rPr>
          <w:rFonts w:ascii="Cambria" w:hAnsi="Cambria" w:cs="Times New Roman"/>
          <w:sz w:val="22"/>
        </w:rPr>
        <w:t xml:space="preserve">a </w:t>
      </w:r>
      <w:r w:rsidR="00A966CF">
        <w:rPr>
          <w:rFonts w:ascii="Cambria" w:hAnsi="Cambria" w:cs="Times New Roman"/>
          <w:sz w:val="22"/>
        </w:rPr>
        <w:t>transfer</w:t>
      </w:r>
      <w:r w:rsidR="00C7453E">
        <w:rPr>
          <w:rFonts w:ascii="Cambria" w:hAnsi="Cambria" w:cs="Times New Roman"/>
          <w:sz w:val="22"/>
        </w:rPr>
        <w:t xml:space="preserve"> of </w:t>
      </w:r>
      <w:r w:rsidR="00384F0A">
        <w:rPr>
          <w:rFonts w:ascii="Cambria" w:hAnsi="Cambria" w:cs="Times New Roman"/>
          <w:sz w:val="22"/>
        </w:rPr>
        <w:t xml:space="preserve">an </w:t>
      </w:r>
      <w:r w:rsidR="00C7453E">
        <w:rPr>
          <w:rFonts w:ascii="Cambria" w:hAnsi="Cambria" w:cs="Times New Roman"/>
          <w:sz w:val="22"/>
        </w:rPr>
        <w:t>undertaking</w:t>
      </w:r>
      <w:r w:rsidR="00AC519C">
        <w:rPr>
          <w:rFonts w:ascii="Cambria" w:hAnsi="Cambria" w:cs="Times New Roman"/>
          <w:sz w:val="22"/>
        </w:rPr>
        <w:t>,</w:t>
      </w:r>
      <w:r w:rsidR="00A966CF">
        <w:rPr>
          <w:rFonts w:ascii="Cambria" w:hAnsi="Cambria" w:cs="Times New Roman"/>
          <w:sz w:val="22"/>
        </w:rPr>
        <w:t xml:space="preserve"> but </w:t>
      </w:r>
      <w:r w:rsidR="00AC519C">
        <w:rPr>
          <w:rFonts w:ascii="Cambria" w:hAnsi="Cambria" w:cs="Times New Roman"/>
          <w:sz w:val="22"/>
        </w:rPr>
        <w:t xml:space="preserve">only </w:t>
      </w:r>
      <w:r w:rsidR="00A966CF">
        <w:rPr>
          <w:rFonts w:ascii="Cambria" w:hAnsi="Cambria" w:cs="Times New Roman"/>
          <w:sz w:val="22"/>
        </w:rPr>
        <w:t xml:space="preserve">the progress of these rights (especially </w:t>
      </w:r>
      <w:r w:rsidR="00384F0A">
        <w:rPr>
          <w:rFonts w:ascii="Cambria" w:hAnsi="Cambria" w:cs="Times New Roman"/>
          <w:sz w:val="22"/>
        </w:rPr>
        <w:t xml:space="preserve">an </w:t>
      </w:r>
      <w:r w:rsidR="003A7E0F">
        <w:rPr>
          <w:rFonts w:ascii="Cambria" w:hAnsi="Cambria" w:cs="Times New Roman"/>
          <w:sz w:val="22"/>
        </w:rPr>
        <w:t xml:space="preserve">increase </w:t>
      </w:r>
      <w:r w:rsidR="00384F0A">
        <w:rPr>
          <w:rFonts w:ascii="Cambria" w:hAnsi="Cambria" w:cs="Times New Roman"/>
          <w:sz w:val="22"/>
        </w:rPr>
        <w:t>in</w:t>
      </w:r>
      <w:r w:rsidR="003A7E0F">
        <w:rPr>
          <w:rFonts w:ascii="Cambria" w:hAnsi="Cambria" w:cs="Times New Roman"/>
          <w:sz w:val="22"/>
        </w:rPr>
        <w:t xml:space="preserve"> </w:t>
      </w:r>
      <w:r w:rsidR="00A966CF">
        <w:rPr>
          <w:rFonts w:ascii="Cambria" w:hAnsi="Cambria" w:cs="Times New Roman"/>
          <w:sz w:val="22"/>
        </w:rPr>
        <w:t xml:space="preserve">wages) flowing from any </w:t>
      </w:r>
      <w:r w:rsidR="00AC519C">
        <w:rPr>
          <w:rFonts w:ascii="Cambria" w:hAnsi="Cambria" w:cs="Times New Roman"/>
          <w:sz w:val="22"/>
        </w:rPr>
        <w:t>successive</w:t>
      </w:r>
      <w:r w:rsidR="00A966CF" w:rsidRPr="00A966CF">
        <w:rPr>
          <w:rFonts w:ascii="Cambria" w:hAnsi="Cambria" w:cs="Times New Roman"/>
          <w:sz w:val="22"/>
        </w:rPr>
        <w:t xml:space="preserve"> </w:t>
      </w:r>
      <w:r w:rsidR="00A966CF">
        <w:rPr>
          <w:rFonts w:ascii="Cambria" w:hAnsi="Cambria" w:cs="Times New Roman"/>
          <w:sz w:val="22"/>
        </w:rPr>
        <w:t>collective agreement concluded by the trans</w:t>
      </w:r>
      <w:r w:rsidR="00AC519C">
        <w:rPr>
          <w:rFonts w:ascii="Cambria" w:hAnsi="Cambria" w:cs="Times New Roman"/>
          <w:sz w:val="22"/>
        </w:rPr>
        <w:softHyphen/>
      </w:r>
      <w:r w:rsidR="004E41EE">
        <w:rPr>
          <w:rFonts w:ascii="Cambria" w:hAnsi="Cambria" w:cs="Times New Roman"/>
          <w:sz w:val="22"/>
        </w:rPr>
        <w:t xml:space="preserve">feror </w:t>
      </w:r>
      <w:r w:rsidR="004E41EE" w:rsidRPr="004E41EE">
        <w:rPr>
          <w:rFonts w:ascii="Cambria" w:hAnsi="Cambria" w:cs="Times New Roman"/>
          <w:sz w:val="22"/>
        </w:rPr>
        <w:t>after the date of transfer</w:t>
      </w:r>
      <w:r w:rsidR="004E41EE">
        <w:rPr>
          <w:rFonts w:ascii="Cambria" w:hAnsi="Cambria" w:cs="Times New Roman"/>
          <w:sz w:val="22"/>
        </w:rPr>
        <w:t xml:space="preserve">. </w:t>
      </w:r>
      <w:r w:rsidR="00AC519C">
        <w:rPr>
          <w:rFonts w:ascii="Cambria" w:hAnsi="Cambria" w:cs="Times New Roman"/>
          <w:sz w:val="22"/>
        </w:rPr>
        <w:t>Never</w:t>
      </w:r>
      <w:r w:rsidR="00C7453E">
        <w:rPr>
          <w:rFonts w:ascii="Cambria" w:hAnsi="Cambria" w:cs="Times New Roman"/>
          <w:sz w:val="22"/>
        </w:rPr>
        <w:softHyphen/>
      </w:r>
      <w:r w:rsidR="00AC519C">
        <w:rPr>
          <w:rFonts w:ascii="Cambria" w:hAnsi="Cambria" w:cs="Times New Roman"/>
          <w:sz w:val="22"/>
        </w:rPr>
        <w:t>the</w:t>
      </w:r>
      <w:r w:rsidR="00C7453E">
        <w:rPr>
          <w:rFonts w:ascii="Cambria" w:hAnsi="Cambria" w:cs="Times New Roman"/>
          <w:sz w:val="22"/>
        </w:rPr>
        <w:softHyphen/>
      </w:r>
      <w:r w:rsidR="00AC519C">
        <w:rPr>
          <w:rFonts w:ascii="Cambria" w:hAnsi="Cambria" w:cs="Times New Roman"/>
          <w:sz w:val="22"/>
        </w:rPr>
        <w:t xml:space="preserve">less, cases like </w:t>
      </w:r>
      <w:r w:rsidR="00AC519C" w:rsidRPr="00AC519C">
        <w:rPr>
          <w:rFonts w:ascii="Cambria" w:hAnsi="Cambria" w:cs="Times New Roman"/>
          <w:i/>
          <w:sz w:val="22"/>
        </w:rPr>
        <w:t>Alemo Herron</w:t>
      </w:r>
      <w:r w:rsidR="00AC519C" w:rsidRPr="00AC519C">
        <w:rPr>
          <w:rFonts w:ascii="Cambria" w:hAnsi="Cambria" w:cs="Times New Roman"/>
          <w:sz w:val="22"/>
        </w:rPr>
        <w:t xml:space="preserve"> </w:t>
      </w:r>
      <w:r w:rsidR="004E41EE">
        <w:rPr>
          <w:rFonts w:ascii="Cambria" w:hAnsi="Cambria" w:cs="Times New Roman"/>
          <w:sz w:val="22"/>
        </w:rPr>
        <w:t xml:space="preserve">and also </w:t>
      </w:r>
      <w:r w:rsidR="00AC519C" w:rsidRPr="00AC519C">
        <w:rPr>
          <w:rFonts w:ascii="Cambria" w:hAnsi="Cambria" w:cs="Times New Roman"/>
          <w:i/>
          <w:sz w:val="22"/>
        </w:rPr>
        <w:t>Scarlet Extended</w:t>
      </w:r>
      <w:r w:rsidR="00AC519C">
        <w:rPr>
          <w:rStyle w:val="Voetnootmarkering"/>
          <w:rFonts w:ascii="Cambria" w:hAnsi="Cambria" w:cs="Times New Roman"/>
          <w:i/>
          <w:sz w:val="22"/>
        </w:rPr>
        <w:footnoteReference w:id="97"/>
      </w:r>
      <w:r w:rsidR="00AC519C" w:rsidRPr="00AC519C">
        <w:rPr>
          <w:rFonts w:ascii="Cambria" w:hAnsi="Cambria" w:cs="Times New Roman"/>
          <w:sz w:val="22"/>
        </w:rPr>
        <w:t xml:space="preserve"> </w:t>
      </w:r>
      <w:r w:rsidR="00AC519C">
        <w:rPr>
          <w:rFonts w:ascii="Cambria" w:hAnsi="Cambria" w:cs="Times New Roman"/>
          <w:sz w:val="22"/>
        </w:rPr>
        <w:t xml:space="preserve">might suggest that </w:t>
      </w:r>
      <w:r w:rsidR="00757B58">
        <w:rPr>
          <w:rFonts w:ascii="Cambria" w:hAnsi="Cambria" w:cs="Times New Roman"/>
          <w:sz w:val="22"/>
        </w:rPr>
        <w:t>funda</w:t>
      </w:r>
      <w:r w:rsidR="00AC519C">
        <w:rPr>
          <w:rFonts w:ascii="Cambria" w:hAnsi="Cambria" w:cs="Times New Roman"/>
          <w:sz w:val="22"/>
        </w:rPr>
        <w:softHyphen/>
      </w:r>
      <w:r w:rsidR="00757B58">
        <w:rPr>
          <w:rFonts w:ascii="Cambria" w:hAnsi="Cambria" w:cs="Times New Roman"/>
          <w:sz w:val="22"/>
        </w:rPr>
        <w:t xml:space="preserve">mental </w:t>
      </w:r>
      <w:r w:rsidR="008A7744">
        <w:rPr>
          <w:rFonts w:ascii="Cambria" w:hAnsi="Cambria" w:cs="Times New Roman"/>
          <w:sz w:val="22"/>
        </w:rPr>
        <w:t>econ</w:t>
      </w:r>
      <w:r w:rsidR="00757B58">
        <w:rPr>
          <w:rFonts w:ascii="Cambria" w:hAnsi="Cambria" w:cs="Times New Roman"/>
          <w:sz w:val="22"/>
        </w:rPr>
        <w:t xml:space="preserve">omic freedoms, such as the freedom to conduct a business, are </w:t>
      </w:r>
      <w:r w:rsidR="00AC519C">
        <w:rPr>
          <w:rFonts w:ascii="Cambria" w:hAnsi="Cambria" w:cs="Times New Roman"/>
          <w:sz w:val="22"/>
        </w:rPr>
        <w:t xml:space="preserve">being </w:t>
      </w:r>
      <w:r w:rsidR="00757B58">
        <w:rPr>
          <w:rFonts w:ascii="Cambria" w:hAnsi="Cambria" w:cs="Times New Roman"/>
          <w:sz w:val="22"/>
        </w:rPr>
        <w:t>overstretched</w:t>
      </w:r>
      <w:r w:rsidR="006C4C6B">
        <w:rPr>
          <w:rFonts w:ascii="Cambria" w:hAnsi="Cambria" w:cs="Times New Roman"/>
          <w:sz w:val="22"/>
        </w:rPr>
        <w:t>.</w:t>
      </w:r>
      <w:r w:rsidR="006C4C6B">
        <w:rPr>
          <w:rStyle w:val="Voetnootmarkering"/>
          <w:rFonts w:ascii="Cambria" w:hAnsi="Cambria" w:cs="Times New Roman"/>
          <w:sz w:val="22"/>
        </w:rPr>
        <w:footnoteReference w:id="98"/>
      </w:r>
      <w:r w:rsidR="006C4C6B">
        <w:rPr>
          <w:rFonts w:ascii="Cambria" w:hAnsi="Cambria" w:cs="Times New Roman"/>
          <w:sz w:val="22"/>
        </w:rPr>
        <w:t xml:space="preserve"> </w:t>
      </w:r>
      <w:r w:rsidR="00757B58" w:rsidRPr="00757B58">
        <w:rPr>
          <w:rFonts w:ascii="Cambria" w:hAnsi="Cambria" w:cs="Times New Roman"/>
          <w:sz w:val="22"/>
        </w:rPr>
        <w:t xml:space="preserve">In </w:t>
      </w:r>
      <w:r w:rsidR="00757B58" w:rsidRPr="00757B58">
        <w:rPr>
          <w:rFonts w:ascii="Cambria" w:hAnsi="Cambria" w:cs="Times New Roman"/>
          <w:i/>
          <w:sz w:val="22"/>
        </w:rPr>
        <w:t>Alemo-Herron</w:t>
      </w:r>
      <w:r w:rsidR="00757B58" w:rsidRPr="00757B58">
        <w:rPr>
          <w:rFonts w:ascii="Cambria" w:hAnsi="Cambria" w:cs="Times New Roman"/>
          <w:sz w:val="22"/>
        </w:rPr>
        <w:t xml:space="preserve"> the Court ruled that Article 16 precluded a national law without considering </w:t>
      </w:r>
      <w:r w:rsidR="00AF3E5A">
        <w:rPr>
          <w:rFonts w:ascii="Cambria" w:hAnsi="Cambria" w:cs="Times New Roman"/>
          <w:sz w:val="22"/>
        </w:rPr>
        <w:t xml:space="preserve">whether </w:t>
      </w:r>
      <w:r w:rsidR="00757B58" w:rsidRPr="00757B58">
        <w:rPr>
          <w:rFonts w:ascii="Cambria" w:hAnsi="Cambria" w:cs="Times New Roman"/>
          <w:sz w:val="22"/>
        </w:rPr>
        <w:t>funda</w:t>
      </w:r>
      <w:r w:rsidR="00C7453E">
        <w:rPr>
          <w:rFonts w:ascii="Cambria" w:hAnsi="Cambria" w:cs="Times New Roman"/>
          <w:sz w:val="22"/>
        </w:rPr>
        <w:softHyphen/>
      </w:r>
      <w:r w:rsidR="00757B58" w:rsidRPr="00757B58">
        <w:rPr>
          <w:rFonts w:ascii="Cambria" w:hAnsi="Cambria" w:cs="Times New Roman"/>
          <w:sz w:val="22"/>
        </w:rPr>
        <w:t xml:space="preserve">mental social rights </w:t>
      </w:r>
      <w:r w:rsidR="00C7453E">
        <w:rPr>
          <w:rFonts w:ascii="Cambria" w:hAnsi="Cambria" w:cs="Times New Roman"/>
          <w:sz w:val="22"/>
        </w:rPr>
        <w:t xml:space="preserve">of the Charter </w:t>
      </w:r>
      <w:r w:rsidR="00757B58" w:rsidRPr="00757B58">
        <w:rPr>
          <w:rFonts w:ascii="Cambria" w:hAnsi="Cambria" w:cs="Times New Roman"/>
          <w:sz w:val="22"/>
        </w:rPr>
        <w:t>could serve as a counter</w:t>
      </w:r>
      <w:r w:rsidR="003A7E0F">
        <w:rPr>
          <w:rFonts w:ascii="Cambria" w:hAnsi="Cambria" w:cs="Times New Roman"/>
          <w:sz w:val="22"/>
        </w:rPr>
        <w:softHyphen/>
      </w:r>
      <w:r w:rsidR="00757B58" w:rsidRPr="00757B58">
        <w:rPr>
          <w:rFonts w:ascii="Cambria" w:hAnsi="Cambria" w:cs="Times New Roman"/>
          <w:sz w:val="22"/>
        </w:rPr>
        <w:t>weight.</w:t>
      </w:r>
      <w:r w:rsidR="00AF3E5A">
        <w:rPr>
          <w:rFonts w:ascii="Cambria" w:hAnsi="Cambria" w:cs="Times New Roman"/>
          <w:sz w:val="22"/>
        </w:rPr>
        <w:t xml:space="preserve"> </w:t>
      </w:r>
      <w:r w:rsidR="00971243">
        <w:rPr>
          <w:rFonts w:ascii="Cambria" w:hAnsi="Cambria" w:cs="Times New Roman"/>
          <w:sz w:val="22"/>
        </w:rPr>
        <w:t xml:space="preserve">Then again, the </w:t>
      </w:r>
      <w:r w:rsidR="00971243" w:rsidRPr="00971243">
        <w:rPr>
          <w:rFonts w:ascii="Cambria" w:hAnsi="Cambria" w:cs="Times New Roman"/>
          <w:sz w:val="22"/>
          <w:lang w:val="en-US"/>
        </w:rPr>
        <w:t>miscel</w:t>
      </w:r>
      <w:r w:rsidR="00AC519C">
        <w:rPr>
          <w:rFonts w:ascii="Cambria" w:hAnsi="Cambria" w:cs="Times New Roman"/>
          <w:sz w:val="22"/>
          <w:lang w:val="en-US"/>
        </w:rPr>
        <w:softHyphen/>
      </w:r>
      <w:r w:rsidR="00971243" w:rsidRPr="00971243">
        <w:rPr>
          <w:rFonts w:ascii="Cambria" w:hAnsi="Cambria" w:cs="Times New Roman"/>
          <w:sz w:val="22"/>
          <w:lang w:val="en-US"/>
        </w:rPr>
        <w:t xml:space="preserve">laneous set of rights </w:t>
      </w:r>
      <w:r w:rsidR="00C7453E">
        <w:rPr>
          <w:rFonts w:ascii="Cambria" w:hAnsi="Cambria" w:cs="Times New Roman"/>
          <w:sz w:val="22"/>
          <w:lang w:val="en-US"/>
        </w:rPr>
        <w:t xml:space="preserve">offered </w:t>
      </w:r>
      <w:r w:rsidR="00971243">
        <w:rPr>
          <w:rFonts w:ascii="Cambria" w:hAnsi="Cambria" w:cs="Times New Roman"/>
          <w:sz w:val="22"/>
        </w:rPr>
        <w:t>is not very helpful</w:t>
      </w:r>
      <w:r w:rsidR="003C6020">
        <w:rPr>
          <w:rFonts w:ascii="Cambria" w:hAnsi="Cambria" w:cs="Times New Roman"/>
          <w:sz w:val="22"/>
        </w:rPr>
        <w:t xml:space="preserve"> in this respect. The right to </w:t>
      </w:r>
      <w:r w:rsidR="00971243">
        <w:rPr>
          <w:rFonts w:ascii="Cambria" w:hAnsi="Cambria" w:cs="Times New Roman"/>
          <w:sz w:val="22"/>
        </w:rPr>
        <w:t>f</w:t>
      </w:r>
      <w:r w:rsidR="00971243" w:rsidRPr="00971243">
        <w:rPr>
          <w:rFonts w:ascii="Cambria" w:hAnsi="Cambria" w:cs="Times New Roman"/>
          <w:sz w:val="22"/>
        </w:rPr>
        <w:t xml:space="preserve">air and just working conditions </w:t>
      </w:r>
      <w:r w:rsidR="00971243">
        <w:rPr>
          <w:rFonts w:ascii="Cambria" w:hAnsi="Cambria" w:cs="Times New Roman"/>
          <w:sz w:val="22"/>
        </w:rPr>
        <w:t xml:space="preserve">(Article 31) </w:t>
      </w:r>
      <w:r w:rsidR="00A966CF">
        <w:rPr>
          <w:rFonts w:ascii="Cambria" w:hAnsi="Cambria" w:cs="Times New Roman"/>
          <w:sz w:val="22"/>
        </w:rPr>
        <w:t xml:space="preserve">could come </w:t>
      </w:r>
      <w:r w:rsidR="000F6497">
        <w:rPr>
          <w:rFonts w:ascii="Cambria" w:hAnsi="Cambria" w:cs="Times New Roman"/>
          <w:sz w:val="22"/>
        </w:rPr>
        <w:t xml:space="preserve">to mind, but, despite its broad label, </w:t>
      </w:r>
      <w:r w:rsidR="00971243">
        <w:rPr>
          <w:rFonts w:ascii="Cambria" w:hAnsi="Cambria" w:cs="Times New Roman"/>
          <w:sz w:val="22"/>
        </w:rPr>
        <w:t>the provision</w:t>
      </w:r>
      <w:r w:rsidR="000F6497">
        <w:rPr>
          <w:rFonts w:ascii="Cambria" w:hAnsi="Cambria" w:cs="Times New Roman"/>
          <w:sz w:val="22"/>
        </w:rPr>
        <w:t>s</w:t>
      </w:r>
      <w:r w:rsidR="00177033">
        <w:rPr>
          <w:rFonts w:ascii="Cambria" w:hAnsi="Cambria" w:cs="Times New Roman"/>
          <w:sz w:val="22"/>
        </w:rPr>
        <w:t xml:space="preserve"> seem</w:t>
      </w:r>
      <w:r w:rsidR="00971243">
        <w:rPr>
          <w:rFonts w:ascii="Cambria" w:hAnsi="Cambria" w:cs="Times New Roman"/>
          <w:sz w:val="22"/>
        </w:rPr>
        <w:t xml:space="preserve"> </w:t>
      </w:r>
      <w:r w:rsidR="00F26D88">
        <w:rPr>
          <w:rFonts w:ascii="Cambria" w:hAnsi="Cambria" w:cs="Times New Roman"/>
          <w:sz w:val="22"/>
        </w:rPr>
        <w:t xml:space="preserve">to be </w:t>
      </w:r>
      <w:r w:rsidR="00971243">
        <w:rPr>
          <w:rFonts w:ascii="Cambria" w:hAnsi="Cambria" w:cs="Times New Roman"/>
          <w:sz w:val="22"/>
        </w:rPr>
        <w:t>limited to working conditions</w:t>
      </w:r>
      <w:r w:rsidR="00A966CF">
        <w:rPr>
          <w:rFonts w:ascii="Cambria" w:hAnsi="Cambria" w:cs="Times New Roman"/>
          <w:sz w:val="22"/>
        </w:rPr>
        <w:t xml:space="preserve"> in the one area</w:t>
      </w:r>
      <w:r w:rsidR="00971243">
        <w:rPr>
          <w:rFonts w:ascii="Cambria" w:hAnsi="Cambria" w:cs="Times New Roman"/>
          <w:sz w:val="22"/>
        </w:rPr>
        <w:t xml:space="preserve"> harmonised by EU law</w:t>
      </w:r>
      <w:r w:rsidR="00A966CF">
        <w:rPr>
          <w:rFonts w:ascii="Cambria" w:hAnsi="Cambria" w:cs="Times New Roman"/>
          <w:sz w:val="22"/>
        </w:rPr>
        <w:t xml:space="preserve"> (health and safety)</w:t>
      </w:r>
      <w:r w:rsidR="00971243">
        <w:rPr>
          <w:rFonts w:ascii="Cambria" w:hAnsi="Cambria" w:cs="Times New Roman"/>
          <w:sz w:val="22"/>
        </w:rPr>
        <w:t xml:space="preserve">, </w:t>
      </w:r>
      <w:r w:rsidR="00F26D88">
        <w:rPr>
          <w:rFonts w:ascii="Cambria" w:hAnsi="Cambria" w:cs="Times New Roman"/>
          <w:sz w:val="22"/>
        </w:rPr>
        <w:t>thereby omitting</w:t>
      </w:r>
      <w:r w:rsidR="00971243">
        <w:rPr>
          <w:rFonts w:ascii="Cambria" w:hAnsi="Cambria" w:cs="Times New Roman"/>
          <w:sz w:val="22"/>
        </w:rPr>
        <w:t xml:space="preserve"> </w:t>
      </w:r>
      <w:r w:rsidR="00AC519C">
        <w:rPr>
          <w:rFonts w:ascii="Cambria" w:hAnsi="Cambria" w:cs="Times New Roman"/>
          <w:sz w:val="22"/>
        </w:rPr>
        <w:t>other employment conditions, most im</w:t>
      </w:r>
      <w:r w:rsidR="003A7E0F">
        <w:rPr>
          <w:rFonts w:ascii="Cambria" w:hAnsi="Cambria" w:cs="Times New Roman"/>
          <w:sz w:val="22"/>
        </w:rPr>
        <w:softHyphen/>
      </w:r>
      <w:r w:rsidR="00AC519C">
        <w:rPr>
          <w:rFonts w:ascii="Cambria" w:hAnsi="Cambria" w:cs="Times New Roman"/>
          <w:sz w:val="22"/>
        </w:rPr>
        <w:t xml:space="preserve">portantly </w:t>
      </w:r>
      <w:r w:rsidR="00971243">
        <w:rPr>
          <w:rFonts w:ascii="Cambria" w:hAnsi="Cambria" w:cs="Times New Roman"/>
          <w:sz w:val="22"/>
        </w:rPr>
        <w:t xml:space="preserve">remuneration. </w:t>
      </w:r>
    </w:p>
    <w:p w:rsidR="00971243" w:rsidRDefault="00971243" w:rsidP="00FA707B">
      <w:pPr>
        <w:spacing w:after="0" w:line="240" w:lineRule="auto"/>
        <w:jc w:val="both"/>
        <w:rPr>
          <w:rFonts w:ascii="Cambria" w:hAnsi="Cambria" w:cs="Times New Roman"/>
          <w:sz w:val="22"/>
        </w:rPr>
      </w:pPr>
    </w:p>
    <w:p w:rsidR="00C301AE" w:rsidRDefault="00AC519C" w:rsidP="00FA707B">
      <w:pPr>
        <w:spacing w:after="0" w:line="240" w:lineRule="auto"/>
        <w:jc w:val="both"/>
        <w:rPr>
          <w:rFonts w:ascii="Cambria" w:hAnsi="Cambria" w:cs="Times New Roman"/>
          <w:sz w:val="22"/>
        </w:rPr>
      </w:pPr>
      <w:r>
        <w:rPr>
          <w:rFonts w:ascii="Cambria" w:hAnsi="Cambria" w:cs="Times New Roman"/>
          <w:sz w:val="22"/>
        </w:rPr>
        <w:t>Second</w:t>
      </w:r>
      <w:r w:rsidR="00F7108E">
        <w:rPr>
          <w:rFonts w:ascii="Cambria" w:hAnsi="Cambria" w:cs="Times New Roman"/>
          <w:sz w:val="22"/>
        </w:rPr>
        <w:t>,</w:t>
      </w:r>
      <w:r w:rsidR="00C301AE" w:rsidRPr="000B14B8">
        <w:rPr>
          <w:rFonts w:ascii="Cambria" w:hAnsi="Cambria" w:cs="Times New Roman"/>
          <w:sz w:val="22"/>
        </w:rPr>
        <w:t xml:space="preserve"> </w:t>
      </w:r>
      <w:r w:rsidR="00BB6AE7">
        <w:rPr>
          <w:rFonts w:ascii="Cambria" w:hAnsi="Cambria" w:cs="Times New Roman"/>
          <w:sz w:val="22"/>
        </w:rPr>
        <w:t xml:space="preserve">in respect of the </w:t>
      </w:r>
      <w:r w:rsidR="00BB6AE7" w:rsidRPr="00BB6AE7">
        <w:rPr>
          <w:rFonts w:ascii="Cambria" w:hAnsi="Cambria" w:cs="Times New Roman"/>
          <w:sz w:val="22"/>
        </w:rPr>
        <w:t xml:space="preserve">liability </w:t>
      </w:r>
      <w:r w:rsidR="00DE7DF7">
        <w:rPr>
          <w:rFonts w:ascii="Cambria" w:hAnsi="Cambria" w:cs="Times New Roman"/>
          <w:sz w:val="22"/>
        </w:rPr>
        <w:t xml:space="preserve">of the Charter’s fundamental rights </w:t>
      </w:r>
      <w:r w:rsidR="00BB6AE7" w:rsidRPr="00BB6AE7">
        <w:rPr>
          <w:rFonts w:ascii="Cambria" w:hAnsi="Cambria" w:cs="Times New Roman"/>
          <w:sz w:val="22"/>
        </w:rPr>
        <w:t>to judicial review</w:t>
      </w:r>
      <w:r w:rsidR="00BB6AE7">
        <w:rPr>
          <w:rFonts w:ascii="Cambria" w:hAnsi="Cambria" w:cs="Times New Roman"/>
          <w:sz w:val="22"/>
        </w:rPr>
        <w:t>,</w:t>
      </w:r>
      <w:r w:rsidR="00BB6AE7" w:rsidRPr="00BB6AE7">
        <w:rPr>
          <w:rFonts w:ascii="Cambria" w:hAnsi="Cambria" w:cs="Times New Roman"/>
          <w:sz w:val="22"/>
        </w:rPr>
        <w:t xml:space="preserve"> </w:t>
      </w:r>
      <w:r w:rsidR="00C301AE" w:rsidRPr="000B14B8">
        <w:rPr>
          <w:rFonts w:ascii="Cambria" w:hAnsi="Cambria" w:cs="Times New Roman"/>
          <w:sz w:val="22"/>
        </w:rPr>
        <w:t>there is, according to Article 52(5) of the Charter, a distinction between ‘rights’ and ‘principles’:</w:t>
      </w:r>
    </w:p>
    <w:p w:rsidR="000F6497" w:rsidRPr="000B14B8" w:rsidRDefault="000F6497" w:rsidP="00FA707B">
      <w:pPr>
        <w:spacing w:after="0" w:line="240" w:lineRule="auto"/>
        <w:jc w:val="both"/>
        <w:rPr>
          <w:rFonts w:ascii="Cambria" w:hAnsi="Cambria" w:cs="Times New Roman"/>
          <w:sz w:val="22"/>
        </w:rPr>
      </w:pPr>
    </w:p>
    <w:p w:rsidR="00DC2B0A" w:rsidRPr="000B14B8" w:rsidRDefault="00C301AE" w:rsidP="000F6497">
      <w:pPr>
        <w:spacing w:after="0" w:line="240" w:lineRule="auto"/>
        <w:ind w:left="708"/>
        <w:jc w:val="both"/>
        <w:rPr>
          <w:rFonts w:ascii="Cambria" w:hAnsi="Cambria" w:cs="Times New Roman"/>
          <w:sz w:val="22"/>
        </w:rPr>
      </w:pPr>
      <w:r w:rsidRPr="000B14B8">
        <w:rPr>
          <w:rFonts w:ascii="Cambria" w:hAnsi="Cambria" w:cs="Times New Roman"/>
          <w:sz w:val="22"/>
        </w:rPr>
        <w:t xml:space="preserve">‘[T]he provisions of this Charter which contain principles may be implemented by legislative and executive acts taken by institutions, bodies, offices and agencies of the Union, and by acts of Member States when they are implementing Union law, in the exercise of their respective powers. They shall be </w:t>
      </w:r>
      <w:r w:rsidRPr="000B14B8">
        <w:rPr>
          <w:rFonts w:ascii="Cambria" w:hAnsi="Cambria" w:cs="Times New Roman"/>
          <w:i/>
          <w:iCs/>
          <w:sz w:val="22"/>
        </w:rPr>
        <w:t>judicially cognisable</w:t>
      </w:r>
      <w:r w:rsidRPr="000B14B8">
        <w:rPr>
          <w:rFonts w:ascii="Cambria" w:hAnsi="Cambria" w:cs="Times New Roman"/>
          <w:sz w:val="22"/>
        </w:rPr>
        <w:t xml:space="preserve"> </w:t>
      </w:r>
      <w:r w:rsidRPr="000B14B8">
        <w:rPr>
          <w:rFonts w:ascii="Cambria" w:hAnsi="Cambria" w:cs="Times New Roman"/>
          <w:i/>
          <w:iCs/>
          <w:sz w:val="22"/>
        </w:rPr>
        <w:t>only</w:t>
      </w:r>
      <w:r w:rsidRPr="000B14B8">
        <w:rPr>
          <w:rFonts w:ascii="Cambria" w:hAnsi="Cambria" w:cs="Times New Roman"/>
          <w:sz w:val="22"/>
        </w:rPr>
        <w:t xml:space="preserve"> in the interpretation of such acts and in the ruling on the</w:t>
      </w:r>
      <w:r w:rsidR="000F6497">
        <w:rPr>
          <w:rFonts w:ascii="Cambria" w:hAnsi="Cambria" w:cs="Times New Roman"/>
          <w:sz w:val="22"/>
        </w:rPr>
        <w:t>ir legality [emphasis added].’</w:t>
      </w:r>
    </w:p>
    <w:p w:rsidR="00FA707B" w:rsidRDefault="00FA707B" w:rsidP="00C301AE">
      <w:pPr>
        <w:spacing w:after="0" w:line="240" w:lineRule="auto"/>
        <w:jc w:val="both"/>
        <w:rPr>
          <w:rFonts w:ascii="Cambria" w:hAnsi="Cambria" w:cs="Times New Roman"/>
          <w:sz w:val="22"/>
        </w:rPr>
      </w:pPr>
    </w:p>
    <w:p w:rsidR="00C301AE" w:rsidRPr="000B14B8" w:rsidRDefault="00C301AE" w:rsidP="00C301AE">
      <w:pPr>
        <w:spacing w:after="0" w:line="240" w:lineRule="auto"/>
        <w:jc w:val="both"/>
        <w:rPr>
          <w:rFonts w:ascii="Cambria" w:hAnsi="Cambria" w:cs="Times New Roman"/>
          <w:sz w:val="22"/>
          <w:lang w:val="en-US"/>
        </w:rPr>
      </w:pPr>
      <w:r w:rsidRPr="000B14B8">
        <w:rPr>
          <w:rFonts w:ascii="Cambria" w:hAnsi="Cambria" w:cs="Times New Roman"/>
          <w:sz w:val="22"/>
        </w:rPr>
        <w:t>This much debated and contentious provision perhaps seeks to differentiate between ‘negatively-oriented civil and political rights and positively-oriented economic and social rights, with a view to rendering the latter largely non-justiciable’.</w:t>
      </w:r>
      <w:r w:rsidRPr="000B14B8">
        <w:rPr>
          <w:rFonts w:ascii="Cambria" w:hAnsi="Cambria" w:cs="Times New Roman"/>
          <w:sz w:val="22"/>
          <w:vertAlign w:val="superscript"/>
        </w:rPr>
        <w:footnoteReference w:id="99"/>
      </w:r>
      <w:r w:rsidRPr="000B14B8">
        <w:rPr>
          <w:rFonts w:ascii="Cambria" w:hAnsi="Cambria" w:cs="Times New Roman"/>
          <w:sz w:val="22"/>
        </w:rPr>
        <w:t xml:space="preserve"> </w:t>
      </w:r>
      <w:r w:rsidRPr="000B14B8">
        <w:rPr>
          <w:rFonts w:ascii="Cambria" w:hAnsi="Cambria" w:cs="Times New Roman"/>
          <w:sz w:val="22"/>
          <w:lang w:val="en-US"/>
        </w:rPr>
        <w:t>The classification of certain social (and economic) ‘rights’ as principles rests upo</w:t>
      </w:r>
      <w:r w:rsidR="000A4798">
        <w:rPr>
          <w:rFonts w:ascii="Cambria" w:hAnsi="Cambria" w:cs="Times New Roman"/>
          <w:sz w:val="22"/>
          <w:lang w:val="en-US"/>
        </w:rPr>
        <w:t>n the Member States’ fear that ‘</w:t>
      </w:r>
      <w:r w:rsidRPr="000B14B8">
        <w:rPr>
          <w:rFonts w:ascii="Cambria" w:hAnsi="Cambria" w:cs="Times New Roman"/>
          <w:sz w:val="22"/>
          <w:lang w:val="en-US"/>
        </w:rPr>
        <w:t>the recognition of particular economic and social rights would result in the judicialisation of public policy, particularly in areas of s</w:t>
      </w:r>
      <w:r w:rsidR="000A4798">
        <w:rPr>
          <w:rFonts w:ascii="Cambria" w:hAnsi="Cambria" w:cs="Times New Roman"/>
          <w:sz w:val="22"/>
          <w:lang w:val="en-US"/>
        </w:rPr>
        <w:t>ignificant budgetary importance’</w:t>
      </w:r>
      <w:r w:rsidRPr="000B14B8">
        <w:rPr>
          <w:rFonts w:ascii="Cambria" w:hAnsi="Cambria" w:cs="Times New Roman"/>
          <w:sz w:val="22"/>
          <w:lang w:val="en-US"/>
        </w:rPr>
        <w:t>.</w:t>
      </w:r>
      <w:r w:rsidRPr="000B14B8">
        <w:rPr>
          <w:rFonts w:ascii="Cambria" w:hAnsi="Cambria" w:cs="Times New Roman"/>
          <w:sz w:val="22"/>
          <w:vertAlign w:val="superscript"/>
          <w:lang w:val="en-US"/>
        </w:rPr>
        <w:footnoteReference w:id="100"/>
      </w:r>
      <w:r w:rsidRPr="000B14B8">
        <w:rPr>
          <w:rFonts w:ascii="Cambria" w:hAnsi="Cambria" w:cs="Times New Roman"/>
          <w:sz w:val="22"/>
          <w:lang w:val="en-US"/>
        </w:rPr>
        <w:t xml:space="preserve"> Some Member States expressed serious doubts as to whether social and economic rights should be included in the Charter in the first place.</w:t>
      </w:r>
      <w:r w:rsidRPr="000B14B8">
        <w:rPr>
          <w:rFonts w:ascii="Cambria" w:hAnsi="Cambria" w:cs="Times New Roman"/>
          <w:sz w:val="22"/>
          <w:vertAlign w:val="superscript"/>
          <w:lang w:val="en-US"/>
        </w:rPr>
        <w:footnoteReference w:id="101"/>
      </w:r>
    </w:p>
    <w:p w:rsidR="00C301AE" w:rsidRPr="000B14B8" w:rsidRDefault="00C301AE" w:rsidP="00C301AE">
      <w:pPr>
        <w:spacing w:after="0" w:line="240" w:lineRule="auto"/>
        <w:jc w:val="both"/>
        <w:rPr>
          <w:rFonts w:ascii="Cambria" w:hAnsi="Cambria" w:cs="Times New Roman"/>
          <w:sz w:val="22"/>
          <w:lang w:val="en-US"/>
        </w:rPr>
      </w:pPr>
      <w:r w:rsidRPr="000B14B8">
        <w:rPr>
          <w:rFonts w:ascii="Cambria" w:hAnsi="Cambria" w:cs="Times New Roman"/>
          <w:sz w:val="22"/>
        </w:rPr>
        <w:t>The impact of Article 52(5) of the Charter may, however, be limited in so far as ‘principles’ normally have to be further elaborated by the legislature and as the courts are not really capable of reviewing such principles extensively.</w:t>
      </w:r>
      <w:r w:rsidRPr="000B14B8">
        <w:rPr>
          <w:rFonts w:ascii="Cambria" w:hAnsi="Cambria" w:cs="Times New Roman"/>
          <w:sz w:val="22"/>
          <w:vertAlign w:val="superscript"/>
        </w:rPr>
        <w:footnoteReference w:id="102"/>
      </w:r>
      <w:r w:rsidRPr="000B14B8">
        <w:rPr>
          <w:rFonts w:ascii="Cambria" w:hAnsi="Cambria" w:cs="Times New Roman"/>
          <w:sz w:val="22"/>
        </w:rPr>
        <w:t xml:space="preserve"> Eventually, it amounts to the question of whether certain provisions are capable of having direct effect or not. This also seems to be the message of the Court in its judgment in </w:t>
      </w:r>
      <w:r w:rsidRPr="008921EE">
        <w:rPr>
          <w:rFonts w:ascii="Cambria" w:hAnsi="Cambria" w:cs="Times New Roman"/>
          <w:i/>
          <w:sz w:val="22"/>
        </w:rPr>
        <w:t>Association de Mediation Sociale</w:t>
      </w:r>
      <w:r w:rsidRPr="001E3E67">
        <w:rPr>
          <w:rFonts w:ascii="Cambria" w:hAnsi="Cambria" w:cs="Times New Roman"/>
          <w:sz w:val="22"/>
        </w:rPr>
        <w:t>.</w:t>
      </w:r>
      <w:bookmarkStart w:id="15" w:name="_Ref420512544"/>
      <w:r w:rsidRPr="000B14B8">
        <w:rPr>
          <w:rFonts w:ascii="Cambria" w:hAnsi="Cambria" w:cs="Times New Roman"/>
          <w:sz w:val="22"/>
          <w:vertAlign w:val="superscript"/>
        </w:rPr>
        <w:footnoteReference w:id="103"/>
      </w:r>
      <w:bookmarkEnd w:id="15"/>
      <w:r w:rsidRPr="000B14B8">
        <w:rPr>
          <w:rFonts w:ascii="Cambria" w:hAnsi="Cambria" w:cs="Times New Roman"/>
          <w:sz w:val="22"/>
        </w:rPr>
        <w:t xml:space="preserve"> In this case the question arose as to whether Article 27 of the EU Charter, which laid down the workers’ right to information and consultation within an undertaking, by itself or as implemented by Directive 2002/14/EC </w:t>
      </w:r>
      <w:r w:rsidRPr="008921EE">
        <w:rPr>
          <w:rFonts w:ascii="Cambria" w:hAnsi="Cambria" w:cs="Times New Roman"/>
          <w:sz w:val="22"/>
          <w:lang w:val="en-US"/>
        </w:rPr>
        <w:t>establishing a general framework for informing and consulting employees in the European Community</w:t>
      </w:r>
      <w:r w:rsidR="00DE7DF7">
        <w:rPr>
          <w:rFonts w:ascii="Cambria" w:hAnsi="Cambria" w:cs="Times New Roman"/>
          <w:sz w:val="22"/>
          <w:lang w:val="en-US"/>
        </w:rPr>
        <w:t>,</w:t>
      </w:r>
      <w:r w:rsidRPr="008921EE">
        <w:rPr>
          <w:rFonts w:ascii="Cambria" w:hAnsi="Cambria" w:cs="Times New Roman"/>
          <w:sz w:val="22"/>
          <w:lang w:val="en-US"/>
        </w:rPr>
        <w:t xml:space="preserve"> could be relied upon in a horizontal dispute between an employee and his emp</w:t>
      </w:r>
      <w:r w:rsidRPr="001E3E67">
        <w:rPr>
          <w:rFonts w:ascii="Cambria" w:hAnsi="Cambria" w:cs="Times New Roman"/>
          <w:sz w:val="22"/>
          <w:lang w:val="en-US"/>
        </w:rPr>
        <w:t>loyer so as to set aside a national law implementing the Directive. One of the question</w:t>
      </w:r>
      <w:r w:rsidR="00F26D88">
        <w:rPr>
          <w:rFonts w:ascii="Cambria" w:hAnsi="Cambria" w:cs="Times New Roman"/>
          <w:sz w:val="22"/>
          <w:lang w:val="en-US"/>
        </w:rPr>
        <w:t>s</w:t>
      </w:r>
      <w:r w:rsidRPr="001E3E67">
        <w:rPr>
          <w:rFonts w:ascii="Cambria" w:hAnsi="Cambria" w:cs="Times New Roman"/>
          <w:sz w:val="22"/>
          <w:lang w:val="en-US"/>
        </w:rPr>
        <w:t xml:space="preserve"> was whether Article 27 should be qualified as a principle or </w:t>
      </w:r>
      <w:r w:rsidR="00F26D88">
        <w:rPr>
          <w:rFonts w:ascii="Cambria" w:hAnsi="Cambria" w:cs="Times New Roman"/>
          <w:sz w:val="22"/>
          <w:lang w:val="en-US"/>
        </w:rPr>
        <w:t xml:space="preserve">a </w:t>
      </w:r>
      <w:r w:rsidRPr="001E3E67">
        <w:rPr>
          <w:rFonts w:ascii="Cambria" w:hAnsi="Cambria" w:cs="Times New Roman"/>
          <w:sz w:val="22"/>
          <w:lang w:val="en-US"/>
        </w:rPr>
        <w:t xml:space="preserve">right within the meaning of Article 52(5) of the Charter. The </w:t>
      </w:r>
      <w:r w:rsidR="00065F9B">
        <w:rPr>
          <w:rFonts w:ascii="Cambria" w:hAnsi="Cambria" w:cs="Times New Roman"/>
          <w:sz w:val="22"/>
          <w:lang w:val="en-US"/>
        </w:rPr>
        <w:t>CJEU</w:t>
      </w:r>
      <w:r w:rsidRPr="001E3E67">
        <w:rPr>
          <w:rFonts w:ascii="Cambria" w:hAnsi="Cambria" w:cs="Times New Roman"/>
          <w:sz w:val="22"/>
          <w:lang w:val="en-US"/>
        </w:rPr>
        <w:t xml:space="preserve"> </w:t>
      </w:r>
      <w:r w:rsidR="00F26D88">
        <w:rPr>
          <w:rFonts w:ascii="Cambria" w:hAnsi="Cambria" w:cs="Times New Roman"/>
          <w:sz w:val="22"/>
          <w:lang w:val="en-US"/>
        </w:rPr>
        <w:t>did</w:t>
      </w:r>
      <w:r w:rsidRPr="001E3E67">
        <w:rPr>
          <w:rFonts w:ascii="Cambria" w:hAnsi="Cambria" w:cs="Times New Roman"/>
          <w:sz w:val="22"/>
          <w:lang w:val="en-US"/>
        </w:rPr>
        <w:t xml:space="preserve"> not refer to Article 52(5) of the Charter at all, but simply h</w:t>
      </w:r>
      <w:r w:rsidR="00F26D88">
        <w:rPr>
          <w:rFonts w:ascii="Cambria" w:hAnsi="Cambria" w:cs="Times New Roman"/>
          <w:sz w:val="22"/>
          <w:lang w:val="en-US"/>
        </w:rPr>
        <w:t>eld</w:t>
      </w:r>
      <w:r w:rsidRPr="001E3E67">
        <w:rPr>
          <w:rFonts w:ascii="Cambria" w:hAnsi="Cambria" w:cs="Times New Roman"/>
          <w:sz w:val="22"/>
          <w:lang w:val="en-US"/>
        </w:rPr>
        <w:t xml:space="preserve"> </w:t>
      </w:r>
      <w:r w:rsidRPr="001E3E67">
        <w:rPr>
          <w:rFonts w:ascii="Cambria" w:hAnsi="Cambria" w:cs="Times New Roman"/>
          <w:sz w:val="22"/>
          <w:lang w:val="en-US"/>
        </w:rPr>
        <w:lastRenderedPageBreak/>
        <w:t>that  “It is […] clear from the wording of Article 27 of the Charter that, for this article to be fully effective, it must be given more specific expression in European Union or national law”.</w:t>
      </w:r>
      <w:r w:rsidRPr="000B14B8">
        <w:rPr>
          <w:rFonts w:ascii="Cambria" w:hAnsi="Cambria" w:cs="Times New Roman"/>
          <w:sz w:val="22"/>
          <w:vertAlign w:val="superscript"/>
          <w:lang w:val="en-US"/>
        </w:rPr>
        <w:footnoteReference w:id="104"/>
      </w:r>
      <w:r w:rsidRPr="000B14B8">
        <w:rPr>
          <w:rFonts w:ascii="Cambria" w:hAnsi="Cambria" w:cs="Times New Roman"/>
          <w:sz w:val="22"/>
          <w:lang w:val="en-US"/>
        </w:rPr>
        <w:t xml:space="preserve"> Contrary to the Court</w:t>
      </w:r>
      <w:r w:rsidR="00F26D88">
        <w:rPr>
          <w:rFonts w:ascii="Cambria" w:hAnsi="Cambria" w:cs="Times New Roman"/>
          <w:sz w:val="22"/>
          <w:lang w:val="en-US"/>
        </w:rPr>
        <w:t xml:space="preserve"> was</w:t>
      </w:r>
      <w:r w:rsidR="00DE7DF7">
        <w:rPr>
          <w:rFonts w:ascii="Cambria" w:hAnsi="Cambria" w:cs="Times New Roman"/>
          <w:sz w:val="22"/>
          <w:lang w:val="en-US"/>
        </w:rPr>
        <w:t xml:space="preserve"> Advocate General Cruz </w:t>
      </w:r>
      <w:proofErr w:type="spellStart"/>
      <w:r w:rsidR="00DE7DF7">
        <w:rPr>
          <w:rFonts w:ascii="Cambria" w:hAnsi="Cambria" w:cs="Times New Roman"/>
          <w:sz w:val="22"/>
          <w:lang w:val="en-US"/>
        </w:rPr>
        <w:t>Villalo</w:t>
      </w:r>
      <w:r w:rsidR="00253F99">
        <w:rPr>
          <w:rFonts w:ascii="Cambria" w:hAnsi="Cambria" w:cs="Times New Roman"/>
          <w:sz w:val="22"/>
          <w:lang w:val="en-US"/>
        </w:rPr>
        <w:t>n</w:t>
      </w:r>
      <w:proofErr w:type="spellEnd"/>
      <w:r w:rsidR="00DE7DF7">
        <w:rPr>
          <w:rFonts w:ascii="Cambria" w:hAnsi="Cambria" w:cs="Times New Roman"/>
          <w:sz w:val="22"/>
          <w:lang w:val="en-US"/>
        </w:rPr>
        <w:t xml:space="preserve">, </w:t>
      </w:r>
      <w:r w:rsidR="00F7108E">
        <w:rPr>
          <w:rFonts w:ascii="Cambria" w:hAnsi="Cambria" w:cs="Times New Roman"/>
          <w:sz w:val="22"/>
          <w:lang w:val="en-US"/>
        </w:rPr>
        <w:t xml:space="preserve">who </w:t>
      </w:r>
      <w:r w:rsidRPr="000B14B8">
        <w:rPr>
          <w:rFonts w:ascii="Cambria" w:hAnsi="Cambria" w:cs="Times New Roman"/>
          <w:sz w:val="22"/>
          <w:lang w:val="en-US"/>
        </w:rPr>
        <w:t>extensively embroider</w:t>
      </w:r>
      <w:r w:rsidR="00F26D88">
        <w:rPr>
          <w:rFonts w:ascii="Cambria" w:hAnsi="Cambria" w:cs="Times New Roman"/>
          <w:sz w:val="22"/>
          <w:lang w:val="en-US"/>
        </w:rPr>
        <w:t>ed</w:t>
      </w:r>
      <w:r w:rsidRPr="000B14B8">
        <w:rPr>
          <w:rFonts w:ascii="Cambria" w:hAnsi="Cambria" w:cs="Times New Roman"/>
          <w:sz w:val="22"/>
          <w:lang w:val="en-US"/>
        </w:rPr>
        <w:t xml:space="preserve"> </w:t>
      </w:r>
      <w:r w:rsidR="00F26D88">
        <w:rPr>
          <w:rFonts w:ascii="Cambria" w:hAnsi="Cambria" w:cs="Times New Roman"/>
          <w:sz w:val="22"/>
          <w:lang w:val="en-US"/>
        </w:rPr>
        <w:t>up</w:t>
      </w:r>
      <w:r w:rsidRPr="000B14B8">
        <w:rPr>
          <w:rFonts w:ascii="Cambria" w:hAnsi="Cambria" w:cs="Times New Roman"/>
          <w:sz w:val="22"/>
          <w:lang w:val="en-US"/>
        </w:rPr>
        <w:t>on the concept of principles and the meaning of Article 52(5).</w:t>
      </w:r>
      <w:bookmarkStart w:id="16" w:name="_Ref420512583"/>
      <w:r w:rsidRPr="000B14B8">
        <w:rPr>
          <w:rFonts w:ascii="Cambria" w:hAnsi="Cambria" w:cs="Times New Roman"/>
          <w:sz w:val="22"/>
          <w:vertAlign w:val="superscript"/>
          <w:lang w:val="en-US"/>
        </w:rPr>
        <w:footnoteReference w:id="105"/>
      </w:r>
      <w:bookmarkEnd w:id="16"/>
    </w:p>
    <w:p w:rsidR="003C6020" w:rsidRDefault="00C301AE" w:rsidP="003E7933">
      <w:pPr>
        <w:spacing w:after="0" w:line="240" w:lineRule="auto"/>
        <w:jc w:val="both"/>
        <w:rPr>
          <w:rFonts w:ascii="Cambria" w:hAnsi="Cambria" w:cs="Times New Roman"/>
          <w:sz w:val="22"/>
          <w:lang w:val="en-US"/>
        </w:rPr>
      </w:pPr>
      <w:r w:rsidRPr="000B14B8">
        <w:rPr>
          <w:rFonts w:ascii="Cambria" w:hAnsi="Cambria" w:cs="Times New Roman"/>
          <w:sz w:val="22"/>
          <w:lang w:val="en-US"/>
        </w:rPr>
        <w:t>Whatever approach is taken, the legal effects of the seemingly more programmatic ‘social’ provisions of the Charter that have no direct effect, rem</w:t>
      </w:r>
      <w:r w:rsidR="00703655">
        <w:rPr>
          <w:rFonts w:ascii="Cambria" w:hAnsi="Cambria" w:cs="Times New Roman"/>
          <w:sz w:val="22"/>
          <w:lang w:val="en-US"/>
        </w:rPr>
        <w:t xml:space="preserve">ain limited. It </w:t>
      </w:r>
      <w:r w:rsidR="002F6F8A">
        <w:rPr>
          <w:rFonts w:ascii="Cambria" w:hAnsi="Cambria" w:cs="Times New Roman"/>
          <w:sz w:val="22"/>
          <w:lang w:val="en-US"/>
        </w:rPr>
        <w:t>follows</w:t>
      </w:r>
      <w:r w:rsidR="00703655">
        <w:rPr>
          <w:rFonts w:ascii="Cambria" w:hAnsi="Cambria" w:cs="Times New Roman"/>
          <w:sz w:val="22"/>
          <w:lang w:val="en-US"/>
        </w:rPr>
        <w:t xml:space="preserve"> from this</w:t>
      </w:r>
      <w:r w:rsidR="0091263B">
        <w:rPr>
          <w:rFonts w:ascii="Cambria" w:hAnsi="Cambria" w:cs="Times New Roman"/>
          <w:sz w:val="22"/>
          <w:lang w:val="en-US"/>
        </w:rPr>
        <w:t xml:space="preserve"> that </w:t>
      </w:r>
      <w:r w:rsidR="00703655">
        <w:rPr>
          <w:rFonts w:ascii="Cambria" w:hAnsi="Cambria" w:cs="Times New Roman"/>
          <w:sz w:val="22"/>
          <w:lang w:val="en-US"/>
        </w:rPr>
        <w:t>the question whether a particular provision of the Charter provides a ‘right’ or a ‘principle’ could be decisive for its</w:t>
      </w:r>
      <w:r w:rsidR="0091263B">
        <w:rPr>
          <w:rFonts w:ascii="Cambria" w:hAnsi="Cambria" w:cs="Times New Roman"/>
          <w:sz w:val="22"/>
          <w:lang w:val="en-US"/>
        </w:rPr>
        <w:t xml:space="preserve"> </w:t>
      </w:r>
      <w:r w:rsidR="00703655">
        <w:rPr>
          <w:rFonts w:ascii="Cambria" w:hAnsi="Cambria" w:cs="Times New Roman"/>
          <w:sz w:val="22"/>
          <w:lang w:val="en-US"/>
        </w:rPr>
        <w:t xml:space="preserve">legal effectiveness. In that regard it </w:t>
      </w:r>
      <w:r w:rsidR="00253F99">
        <w:rPr>
          <w:rFonts w:ascii="Cambria" w:hAnsi="Cambria" w:cs="Times New Roman"/>
          <w:sz w:val="22"/>
          <w:lang w:val="en-US"/>
        </w:rPr>
        <w:t xml:space="preserve">might be </w:t>
      </w:r>
      <w:r w:rsidR="00703655">
        <w:rPr>
          <w:rFonts w:ascii="Cambria" w:hAnsi="Cambria" w:cs="Times New Roman"/>
          <w:sz w:val="22"/>
          <w:lang w:val="en-US"/>
        </w:rPr>
        <w:t xml:space="preserve">troublesome that </w:t>
      </w:r>
      <w:r w:rsidR="006F29E6">
        <w:rPr>
          <w:rFonts w:ascii="Cambria" w:hAnsi="Cambria" w:cs="Times New Roman"/>
          <w:sz w:val="22"/>
          <w:lang w:val="en-US"/>
        </w:rPr>
        <w:t>‘</w:t>
      </w:r>
      <w:r w:rsidR="00703655">
        <w:rPr>
          <w:rFonts w:ascii="Cambria" w:hAnsi="Cambria" w:cs="Times New Roman"/>
          <w:sz w:val="22"/>
          <w:lang w:val="en-US"/>
        </w:rPr>
        <w:t>principles</w:t>
      </w:r>
      <w:r w:rsidR="006F29E6">
        <w:rPr>
          <w:rFonts w:ascii="Cambria" w:hAnsi="Cambria" w:cs="Times New Roman"/>
          <w:sz w:val="22"/>
          <w:lang w:val="en-US"/>
        </w:rPr>
        <w:t xml:space="preserve">’ tend to be easily equated with ‘social rights’ </w:t>
      </w:r>
      <w:r w:rsidR="00C7453E">
        <w:rPr>
          <w:rFonts w:ascii="Cambria" w:hAnsi="Cambria" w:cs="Times New Roman"/>
          <w:sz w:val="22"/>
          <w:lang w:val="en-US"/>
        </w:rPr>
        <w:t xml:space="preserve">generally - </w:t>
      </w:r>
      <w:r w:rsidR="006F29E6">
        <w:rPr>
          <w:rFonts w:ascii="Cambria" w:hAnsi="Cambria" w:cs="Times New Roman"/>
          <w:sz w:val="22"/>
          <w:lang w:val="en-US"/>
        </w:rPr>
        <w:t>instead of programmatic ri</w:t>
      </w:r>
      <w:r w:rsidR="003C6020">
        <w:rPr>
          <w:rFonts w:ascii="Cambria" w:hAnsi="Cambria" w:cs="Times New Roman"/>
          <w:sz w:val="22"/>
          <w:lang w:val="en-US"/>
        </w:rPr>
        <w:t>g</w:t>
      </w:r>
      <w:r w:rsidR="00C7453E">
        <w:rPr>
          <w:rFonts w:ascii="Cambria" w:hAnsi="Cambria" w:cs="Times New Roman"/>
          <w:sz w:val="22"/>
          <w:lang w:val="en-US"/>
        </w:rPr>
        <w:t xml:space="preserve">hts - even when </w:t>
      </w:r>
      <w:r w:rsidR="002F6F8A">
        <w:rPr>
          <w:rFonts w:ascii="Cambria" w:hAnsi="Cambria" w:cs="Times New Roman"/>
          <w:sz w:val="22"/>
          <w:lang w:val="en-US"/>
        </w:rPr>
        <w:t xml:space="preserve">neither </w:t>
      </w:r>
      <w:r w:rsidR="00253F99">
        <w:rPr>
          <w:rFonts w:ascii="Cambria" w:hAnsi="Cambria" w:cs="Times New Roman"/>
          <w:sz w:val="22"/>
          <w:lang w:val="en-US"/>
        </w:rPr>
        <w:t xml:space="preserve">the Charter itself </w:t>
      </w:r>
      <w:r w:rsidR="00471545">
        <w:rPr>
          <w:rFonts w:ascii="Cambria" w:hAnsi="Cambria" w:cs="Times New Roman"/>
          <w:sz w:val="22"/>
          <w:lang w:val="en-US"/>
        </w:rPr>
        <w:t>n</w:t>
      </w:r>
      <w:r w:rsidR="006F29E6">
        <w:rPr>
          <w:rFonts w:ascii="Cambria" w:hAnsi="Cambria" w:cs="Times New Roman"/>
          <w:sz w:val="22"/>
          <w:lang w:val="en-US"/>
        </w:rPr>
        <w:t xml:space="preserve">or the explanatory notes indicate which provision is a </w:t>
      </w:r>
      <w:r w:rsidR="00D0788D">
        <w:rPr>
          <w:rFonts w:ascii="Cambria" w:hAnsi="Cambria" w:cs="Times New Roman"/>
          <w:sz w:val="22"/>
          <w:lang w:val="en-US"/>
        </w:rPr>
        <w:t>‘</w:t>
      </w:r>
      <w:r w:rsidR="006F29E6">
        <w:rPr>
          <w:rFonts w:ascii="Cambria" w:hAnsi="Cambria" w:cs="Times New Roman"/>
          <w:sz w:val="22"/>
          <w:lang w:val="en-US"/>
        </w:rPr>
        <w:t>principle</w:t>
      </w:r>
      <w:r w:rsidR="00D0788D">
        <w:rPr>
          <w:rFonts w:ascii="Cambria" w:hAnsi="Cambria" w:cs="Times New Roman"/>
          <w:sz w:val="22"/>
          <w:lang w:val="en-US"/>
        </w:rPr>
        <w:t>’</w:t>
      </w:r>
      <w:r w:rsidR="006F29E6">
        <w:rPr>
          <w:rFonts w:ascii="Cambria" w:hAnsi="Cambria" w:cs="Times New Roman"/>
          <w:sz w:val="22"/>
          <w:lang w:val="en-US"/>
        </w:rPr>
        <w:t xml:space="preserve"> or not. </w:t>
      </w:r>
    </w:p>
    <w:p w:rsidR="003E7933" w:rsidRDefault="00471545" w:rsidP="003E7933">
      <w:pPr>
        <w:spacing w:after="0" w:line="240" w:lineRule="auto"/>
        <w:jc w:val="both"/>
        <w:rPr>
          <w:rFonts w:ascii="Cambria" w:hAnsi="Cambria" w:cs="Times New Roman"/>
          <w:sz w:val="22"/>
        </w:rPr>
      </w:pPr>
      <w:r>
        <w:rPr>
          <w:rFonts w:ascii="Cambria" w:hAnsi="Cambria" w:cs="Times New Roman"/>
          <w:sz w:val="22"/>
          <w:lang w:val="en-US"/>
        </w:rPr>
        <w:t xml:space="preserve">According to </w:t>
      </w:r>
      <w:r w:rsidR="006F29E6" w:rsidRPr="006F29E6">
        <w:rPr>
          <w:rFonts w:ascii="Cambria" w:hAnsi="Cambria" w:cs="Times New Roman"/>
          <w:sz w:val="22"/>
          <w:lang w:val="en-US"/>
        </w:rPr>
        <w:t>Advocate General Cruz Villalon</w:t>
      </w:r>
      <w:r>
        <w:rPr>
          <w:rFonts w:ascii="Cambria" w:hAnsi="Cambria" w:cs="Times New Roman"/>
          <w:sz w:val="22"/>
          <w:lang w:val="en-US"/>
        </w:rPr>
        <w:t xml:space="preserve"> </w:t>
      </w:r>
      <w:r w:rsidR="006F29E6">
        <w:rPr>
          <w:rFonts w:ascii="Cambria" w:hAnsi="Cambria" w:cs="Times New Roman"/>
          <w:sz w:val="22"/>
          <w:lang w:val="en-US"/>
        </w:rPr>
        <w:t xml:space="preserve">it </w:t>
      </w:r>
      <w:r>
        <w:rPr>
          <w:rFonts w:ascii="Cambria" w:hAnsi="Cambria" w:cs="Times New Roman"/>
          <w:sz w:val="22"/>
          <w:lang w:val="en-US"/>
        </w:rPr>
        <w:t xml:space="preserve">is </w:t>
      </w:r>
      <w:r w:rsidR="00253F99">
        <w:rPr>
          <w:rFonts w:ascii="Cambria" w:hAnsi="Cambria" w:cs="Times New Roman"/>
          <w:sz w:val="22"/>
          <w:lang w:val="en-US"/>
        </w:rPr>
        <w:t>‘</w:t>
      </w:r>
      <w:r w:rsidR="006F29E6">
        <w:rPr>
          <w:rFonts w:ascii="Cambria" w:hAnsi="Cambria" w:cs="Times New Roman"/>
          <w:sz w:val="22"/>
          <w:lang w:val="en-US"/>
        </w:rPr>
        <w:t>clear</w:t>
      </w:r>
      <w:r w:rsidR="00253F99">
        <w:rPr>
          <w:rFonts w:ascii="Cambria" w:hAnsi="Cambria" w:cs="Times New Roman"/>
          <w:sz w:val="22"/>
          <w:lang w:val="en-US"/>
        </w:rPr>
        <w:t>’</w:t>
      </w:r>
      <w:r w:rsidR="006F29E6">
        <w:rPr>
          <w:rFonts w:ascii="Cambria" w:hAnsi="Cambria" w:cs="Times New Roman"/>
          <w:sz w:val="22"/>
          <w:lang w:val="en-US"/>
        </w:rPr>
        <w:t xml:space="preserve"> that the authors of the Charter</w:t>
      </w:r>
      <w:r>
        <w:rPr>
          <w:rFonts w:ascii="Cambria" w:hAnsi="Cambria" w:cs="Times New Roman"/>
          <w:sz w:val="22"/>
          <w:lang w:val="en-US"/>
        </w:rPr>
        <w:t xml:space="preserve"> referred to social and employ</w:t>
      </w:r>
      <w:r>
        <w:rPr>
          <w:rFonts w:ascii="Cambria" w:hAnsi="Cambria" w:cs="Times New Roman"/>
          <w:sz w:val="22"/>
          <w:lang w:val="en-US"/>
        </w:rPr>
        <w:softHyphen/>
        <w:t>ment rights.</w:t>
      </w:r>
      <w:r>
        <w:rPr>
          <w:rStyle w:val="Voetnootmarkering"/>
          <w:rFonts w:ascii="Cambria" w:hAnsi="Cambria" w:cs="Times New Roman"/>
          <w:sz w:val="22"/>
          <w:lang w:val="en-US"/>
        </w:rPr>
        <w:footnoteReference w:id="106"/>
      </w:r>
      <w:r>
        <w:rPr>
          <w:rFonts w:ascii="Cambria" w:hAnsi="Cambria" w:cs="Times New Roman"/>
          <w:sz w:val="22"/>
          <w:lang w:val="en-US"/>
        </w:rPr>
        <w:t xml:space="preserve"> </w:t>
      </w:r>
      <w:r w:rsidR="002F6F8A">
        <w:rPr>
          <w:rFonts w:ascii="Cambria" w:hAnsi="Cambria" w:cs="Times New Roman"/>
          <w:sz w:val="22"/>
          <w:lang w:val="en-US"/>
        </w:rPr>
        <w:t>In</w:t>
      </w:r>
      <w:r>
        <w:rPr>
          <w:rFonts w:ascii="Cambria" w:hAnsi="Cambria" w:cs="Times New Roman"/>
          <w:sz w:val="22"/>
          <w:lang w:val="en-US"/>
        </w:rPr>
        <w:t xml:space="preserve"> the same vein, the </w:t>
      </w:r>
      <w:r w:rsidRPr="00471545">
        <w:rPr>
          <w:rFonts w:ascii="Cambria" w:hAnsi="Cambria" w:cs="Times New Roman"/>
          <w:sz w:val="22"/>
          <w:lang w:val="en-US"/>
        </w:rPr>
        <w:t>Advocate General</w:t>
      </w:r>
      <w:r>
        <w:rPr>
          <w:rFonts w:ascii="Cambria" w:hAnsi="Cambria" w:cs="Times New Roman"/>
          <w:sz w:val="22"/>
          <w:lang w:val="en-US"/>
        </w:rPr>
        <w:t xml:space="preserve"> consider</w:t>
      </w:r>
      <w:r w:rsidR="002F6F8A">
        <w:rPr>
          <w:rFonts w:ascii="Cambria" w:hAnsi="Cambria" w:cs="Times New Roman"/>
          <w:sz w:val="22"/>
          <w:lang w:val="en-US"/>
        </w:rPr>
        <w:t>ed</w:t>
      </w:r>
      <w:r>
        <w:rPr>
          <w:rFonts w:ascii="Cambria" w:hAnsi="Cambria" w:cs="Times New Roman"/>
          <w:sz w:val="22"/>
          <w:lang w:val="en-US"/>
        </w:rPr>
        <w:t xml:space="preserve"> that there </w:t>
      </w:r>
      <w:r w:rsidRPr="00471545">
        <w:rPr>
          <w:rFonts w:ascii="Cambria" w:hAnsi="Cambria" w:cs="Times New Roman"/>
          <w:sz w:val="22"/>
        </w:rPr>
        <w:t xml:space="preserve">is </w:t>
      </w:r>
      <w:r>
        <w:rPr>
          <w:rFonts w:ascii="Cambria" w:hAnsi="Cambria" w:cs="Times New Roman"/>
          <w:sz w:val="22"/>
        </w:rPr>
        <w:t>‘</w:t>
      </w:r>
      <w:r w:rsidRPr="00471545">
        <w:rPr>
          <w:rFonts w:ascii="Cambria" w:hAnsi="Cambria" w:cs="Times New Roman"/>
          <w:sz w:val="22"/>
        </w:rPr>
        <w:t>a strong presum</w:t>
      </w:r>
      <w:r>
        <w:rPr>
          <w:rFonts w:ascii="Cambria" w:hAnsi="Cambria" w:cs="Times New Roman"/>
          <w:sz w:val="22"/>
        </w:rPr>
        <w:softHyphen/>
      </w:r>
      <w:r w:rsidRPr="00471545">
        <w:rPr>
          <w:rFonts w:ascii="Cambria" w:hAnsi="Cambria" w:cs="Times New Roman"/>
          <w:sz w:val="22"/>
        </w:rPr>
        <w:t>p</w:t>
      </w:r>
      <w:r>
        <w:rPr>
          <w:rFonts w:ascii="Cambria" w:hAnsi="Cambria" w:cs="Times New Roman"/>
          <w:sz w:val="22"/>
        </w:rPr>
        <w:softHyphen/>
      </w:r>
      <w:r w:rsidRPr="00471545">
        <w:rPr>
          <w:rFonts w:ascii="Cambria" w:hAnsi="Cambria" w:cs="Times New Roman"/>
          <w:sz w:val="22"/>
        </w:rPr>
        <w:t>tion</w:t>
      </w:r>
      <w:r>
        <w:rPr>
          <w:rFonts w:ascii="Cambria" w:hAnsi="Cambria" w:cs="Times New Roman"/>
          <w:sz w:val="22"/>
        </w:rPr>
        <w:t>’</w:t>
      </w:r>
      <w:r w:rsidRPr="00471545">
        <w:rPr>
          <w:rFonts w:ascii="Cambria" w:hAnsi="Cambria" w:cs="Times New Roman"/>
          <w:sz w:val="22"/>
        </w:rPr>
        <w:t xml:space="preserve"> </w:t>
      </w:r>
      <w:r>
        <w:rPr>
          <w:rFonts w:ascii="Cambria" w:hAnsi="Cambria" w:cs="Times New Roman"/>
          <w:sz w:val="22"/>
        </w:rPr>
        <w:t xml:space="preserve">that </w:t>
      </w:r>
      <w:r>
        <w:rPr>
          <w:rFonts w:ascii="Cambria" w:hAnsi="Cambria" w:cs="Times New Roman"/>
          <w:sz w:val="22"/>
          <w:lang w:val="en-US"/>
        </w:rPr>
        <w:t xml:space="preserve">the </w:t>
      </w:r>
      <w:r w:rsidRPr="00471545">
        <w:rPr>
          <w:rFonts w:ascii="Cambria" w:hAnsi="Cambria" w:cs="Times New Roman"/>
          <w:sz w:val="22"/>
        </w:rPr>
        <w:t>group of rights included under the title ‘Solidarity’ belong to the category of ‘principles’.</w:t>
      </w:r>
      <w:r>
        <w:rPr>
          <w:rStyle w:val="Voetnootmarkering"/>
          <w:rFonts w:ascii="Cambria" w:hAnsi="Cambria" w:cs="Times New Roman"/>
          <w:sz w:val="22"/>
        </w:rPr>
        <w:footnoteReference w:id="107"/>
      </w:r>
      <w:r w:rsidR="00D0788D">
        <w:rPr>
          <w:rFonts w:ascii="Cambria" w:hAnsi="Cambria" w:cs="Times New Roman"/>
          <w:sz w:val="22"/>
        </w:rPr>
        <w:t xml:space="preserve"> This </w:t>
      </w:r>
      <w:r w:rsidR="00D0788D" w:rsidRPr="003E7933">
        <w:rPr>
          <w:rFonts w:ascii="Cambria" w:hAnsi="Cambria" w:cs="Times New Roman"/>
          <w:i/>
          <w:sz w:val="22"/>
        </w:rPr>
        <w:t>general</w:t>
      </w:r>
      <w:r w:rsidR="00D0788D">
        <w:rPr>
          <w:rFonts w:ascii="Cambria" w:hAnsi="Cambria" w:cs="Times New Roman"/>
          <w:sz w:val="22"/>
        </w:rPr>
        <w:t xml:space="preserve"> division </w:t>
      </w:r>
      <w:r w:rsidR="00AD3F83">
        <w:rPr>
          <w:rFonts w:ascii="Cambria" w:hAnsi="Cambria" w:cs="Times New Roman"/>
          <w:sz w:val="22"/>
        </w:rPr>
        <w:t xml:space="preserve">into </w:t>
      </w:r>
      <w:r w:rsidR="00DC2B0A" w:rsidRPr="001E3E67">
        <w:rPr>
          <w:rFonts w:ascii="Cambria" w:hAnsi="Cambria" w:cs="Times New Roman"/>
          <w:sz w:val="22"/>
          <w:lang w:val="en-US"/>
        </w:rPr>
        <w:t xml:space="preserve">social and civil rights </w:t>
      </w:r>
      <w:r w:rsidR="00FA707B">
        <w:rPr>
          <w:rFonts w:ascii="Cambria" w:hAnsi="Cambria" w:cs="Times New Roman"/>
          <w:sz w:val="22"/>
          <w:lang w:val="en-US"/>
        </w:rPr>
        <w:t xml:space="preserve">is, </w:t>
      </w:r>
      <w:r w:rsidR="00DC2B0A" w:rsidRPr="001E3E67">
        <w:rPr>
          <w:rFonts w:ascii="Cambria" w:hAnsi="Cambria" w:cs="Times New Roman"/>
          <w:sz w:val="22"/>
          <w:lang w:val="en-US"/>
        </w:rPr>
        <w:t>how</w:t>
      </w:r>
      <w:r w:rsidR="00C7453E">
        <w:rPr>
          <w:rFonts w:ascii="Cambria" w:hAnsi="Cambria" w:cs="Times New Roman"/>
          <w:sz w:val="22"/>
          <w:lang w:val="en-US"/>
        </w:rPr>
        <w:softHyphen/>
      </w:r>
      <w:r w:rsidR="00DC2B0A" w:rsidRPr="001E3E67">
        <w:rPr>
          <w:rFonts w:ascii="Cambria" w:hAnsi="Cambria" w:cs="Times New Roman"/>
          <w:sz w:val="22"/>
          <w:lang w:val="en-US"/>
        </w:rPr>
        <w:t>ever</w:t>
      </w:r>
      <w:r w:rsidR="00FA707B">
        <w:rPr>
          <w:rFonts w:ascii="Cambria" w:hAnsi="Cambria" w:cs="Times New Roman"/>
          <w:sz w:val="22"/>
          <w:lang w:val="en-US"/>
        </w:rPr>
        <w:t>,</w:t>
      </w:r>
      <w:r w:rsidR="00DC2B0A" w:rsidRPr="001E3E67">
        <w:rPr>
          <w:rFonts w:ascii="Cambria" w:hAnsi="Cambria" w:cs="Times New Roman"/>
          <w:sz w:val="22"/>
          <w:lang w:val="en-US"/>
        </w:rPr>
        <w:t xml:space="preserve"> disputed </w:t>
      </w:r>
      <w:r w:rsidR="00AD3F83">
        <w:rPr>
          <w:rFonts w:ascii="Cambria" w:hAnsi="Cambria" w:cs="Times New Roman"/>
          <w:sz w:val="22"/>
          <w:lang w:val="en-US"/>
        </w:rPr>
        <w:t>by academia</w:t>
      </w:r>
      <w:r w:rsidR="00DC2B0A" w:rsidRPr="001E3E67">
        <w:rPr>
          <w:rFonts w:ascii="Cambria" w:hAnsi="Cambria" w:cs="Times New Roman"/>
          <w:sz w:val="22"/>
          <w:lang w:val="en-US"/>
        </w:rPr>
        <w:t>, as social rights can further negative state obligations and civil rights can further positive state obligations</w:t>
      </w:r>
      <w:r w:rsidR="00D0788D">
        <w:rPr>
          <w:rFonts w:ascii="Cambria" w:hAnsi="Cambria" w:cs="Times New Roman"/>
          <w:sz w:val="22"/>
          <w:lang w:val="en-US"/>
        </w:rPr>
        <w:t>.</w:t>
      </w:r>
      <w:r w:rsidR="00AD3F83">
        <w:rPr>
          <w:rStyle w:val="Voetnootmarkering"/>
          <w:rFonts w:ascii="Cambria" w:hAnsi="Cambria" w:cs="Times New Roman"/>
          <w:sz w:val="22"/>
          <w:lang w:val="en-US"/>
        </w:rPr>
        <w:footnoteReference w:id="108"/>
      </w:r>
      <w:r w:rsidR="00AD3F83">
        <w:rPr>
          <w:rFonts w:ascii="Cambria" w:hAnsi="Cambria" w:cs="Times New Roman"/>
          <w:sz w:val="22"/>
          <w:lang w:val="en-US"/>
        </w:rPr>
        <w:t xml:space="preserve"> </w:t>
      </w:r>
      <w:r w:rsidR="002F6F8A">
        <w:rPr>
          <w:rFonts w:ascii="Cambria" w:hAnsi="Cambria" w:cs="Times New Roman"/>
          <w:sz w:val="22"/>
          <w:lang w:val="en-US"/>
        </w:rPr>
        <w:t xml:space="preserve">For instance, </w:t>
      </w:r>
      <w:r w:rsidR="00AD3F83">
        <w:rPr>
          <w:rFonts w:ascii="Cambria" w:hAnsi="Cambria" w:cs="Times New Roman"/>
          <w:sz w:val="22"/>
          <w:lang w:val="en-US"/>
        </w:rPr>
        <w:t>Article 28</w:t>
      </w:r>
      <w:r w:rsidR="003E7933">
        <w:rPr>
          <w:rFonts w:ascii="Cambria" w:hAnsi="Cambria" w:cs="Times New Roman"/>
          <w:sz w:val="22"/>
          <w:lang w:val="en-US"/>
        </w:rPr>
        <w:t>,</w:t>
      </w:r>
      <w:r w:rsidR="00AD3F83">
        <w:rPr>
          <w:rFonts w:ascii="Cambria" w:hAnsi="Cambria" w:cs="Times New Roman"/>
          <w:sz w:val="22"/>
          <w:lang w:val="en-US"/>
        </w:rPr>
        <w:t xml:space="preserve"> on the right to </w:t>
      </w:r>
      <w:r w:rsidR="00B614C7" w:rsidRPr="00B614C7">
        <w:rPr>
          <w:rFonts w:ascii="Cambria" w:hAnsi="Cambria" w:cs="Times New Roman"/>
          <w:sz w:val="22"/>
          <w:lang w:val="en-US"/>
        </w:rPr>
        <w:t>collective b</w:t>
      </w:r>
      <w:r w:rsidR="00AD3F83">
        <w:rPr>
          <w:rFonts w:ascii="Cambria" w:hAnsi="Cambria" w:cs="Times New Roman"/>
          <w:sz w:val="22"/>
          <w:lang w:val="en-US"/>
        </w:rPr>
        <w:t>argaining and collective action</w:t>
      </w:r>
      <w:r w:rsidR="002F6F8A">
        <w:rPr>
          <w:rFonts w:ascii="Cambria" w:hAnsi="Cambria" w:cs="Times New Roman"/>
          <w:sz w:val="22"/>
          <w:lang w:val="en-US"/>
        </w:rPr>
        <w:t>,</w:t>
      </w:r>
      <w:r w:rsidR="003E7933">
        <w:rPr>
          <w:rFonts w:ascii="Cambria" w:hAnsi="Cambria" w:cs="Times New Roman"/>
          <w:sz w:val="22"/>
          <w:lang w:val="en-US"/>
        </w:rPr>
        <w:t xml:space="preserve"> is </w:t>
      </w:r>
      <w:r w:rsidR="00AD3F83" w:rsidRPr="00AD3F83">
        <w:rPr>
          <w:rFonts w:ascii="Cambria" w:hAnsi="Cambria" w:cs="Times New Roman"/>
          <w:sz w:val="22"/>
          <w:lang w:val="en-US"/>
        </w:rPr>
        <w:t>headed under the title ‘Solidarity</w:t>
      </w:r>
      <w:r w:rsidR="003E7933">
        <w:rPr>
          <w:rFonts w:ascii="Cambria" w:hAnsi="Cambria" w:cs="Times New Roman"/>
          <w:sz w:val="22"/>
          <w:lang w:val="en-US"/>
        </w:rPr>
        <w:t>’. Yet,</w:t>
      </w:r>
      <w:r w:rsidR="003C6020">
        <w:rPr>
          <w:rFonts w:ascii="Cambria" w:hAnsi="Cambria" w:cs="Times New Roman"/>
          <w:sz w:val="22"/>
          <w:lang w:val="en-US"/>
        </w:rPr>
        <w:t xml:space="preserve"> </w:t>
      </w:r>
      <w:r w:rsidR="00005122">
        <w:rPr>
          <w:rFonts w:ascii="Cambria" w:hAnsi="Cambria" w:cs="Times New Roman"/>
          <w:sz w:val="22"/>
          <w:lang w:val="en-US"/>
        </w:rPr>
        <w:t xml:space="preserve">due to its close nexus to the right to association, </w:t>
      </w:r>
      <w:r w:rsidR="003E7933">
        <w:rPr>
          <w:rFonts w:ascii="Cambria" w:hAnsi="Cambria" w:cs="Times New Roman"/>
          <w:sz w:val="22"/>
          <w:lang w:val="en-US"/>
        </w:rPr>
        <w:t xml:space="preserve">it </w:t>
      </w:r>
      <w:r w:rsidR="00AD3F83">
        <w:rPr>
          <w:rFonts w:ascii="Cambria" w:hAnsi="Cambria" w:cs="Times New Roman"/>
          <w:sz w:val="22"/>
          <w:lang w:val="en-US"/>
        </w:rPr>
        <w:t>encompasses</w:t>
      </w:r>
      <w:r w:rsidR="00B614C7" w:rsidRPr="00B614C7">
        <w:rPr>
          <w:rFonts w:ascii="Cambria" w:hAnsi="Cambria" w:cs="Times New Roman"/>
          <w:sz w:val="22"/>
          <w:lang w:val="en-US"/>
        </w:rPr>
        <w:t xml:space="preserve"> </w:t>
      </w:r>
      <w:r w:rsidR="00AD3F83">
        <w:rPr>
          <w:rFonts w:ascii="Cambria" w:hAnsi="Cambria" w:cs="Times New Roman"/>
          <w:sz w:val="22"/>
          <w:lang w:val="en-US"/>
        </w:rPr>
        <w:t xml:space="preserve">‘classical’ </w:t>
      </w:r>
      <w:r w:rsidR="003C6020">
        <w:rPr>
          <w:rFonts w:ascii="Cambria" w:hAnsi="Cambria" w:cs="Times New Roman"/>
          <w:sz w:val="22"/>
          <w:lang w:val="en-US"/>
        </w:rPr>
        <w:t>freedoms</w:t>
      </w:r>
      <w:r w:rsidR="00B614C7" w:rsidRPr="00B614C7">
        <w:rPr>
          <w:rFonts w:ascii="Cambria" w:hAnsi="Cambria" w:cs="Times New Roman"/>
          <w:sz w:val="22"/>
          <w:lang w:val="en-US"/>
        </w:rPr>
        <w:t xml:space="preserve"> that</w:t>
      </w:r>
      <w:r w:rsidR="00AD3F83">
        <w:rPr>
          <w:rFonts w:ascii="Cambria" w:hAnsi="Cambria" w:cs="Times New Roman"/>
          <w:sz w:val="22"/>
          <w:lang w:val="en-US"/>
        </w:rPr>
        <w:t xml:space="preserve"> are not </w:t>
      </w:r>
      <w:r w:rsidR="00B614C7" w:rsidRPr="00B614C7">
        <w:rPr>
          <w:rFonts w:ascii="Cambria" w:hAnsi="Cambria" w:cs="Times New Roman"/>
          <w:sz w:val="22"/>
          <w:lang w:val="en-US"/>
        </w:rPr>
        <w:t>programm</w:t>
      </w:r>
      <w:r w:rsidR="00AD3F83">
        <w:rPr>
          <w:rFonts w:ascii="Cambria" w:hAnsi="Cambria" w:cs="Times New Roman"/>
          <w:sz w:val="22"/>
          <w:lang w:val="en-US"/>
        </w:rPr>
        <w:t xml:space="preserve">atic in nature but, </w:t>
      </w:r>
      <w:r w:rsidR="002F6F8A">
        <w:rPr>
          <w:rFonts w:ascii="Cambria" w:hAnsi="Cambria" w:cs="Times New Roman"/>
          <w:sz w:val="22"/>
          <w:lang w:val="en-US"/>
        </w:rPr>
        <w:t>on</w:t>
      </w:r>
      <w:r w:rsidR="00AD3F83">
        <w:rPr>
          <w:rFonts w:ascii="Cambria" w:hAnsi="Cambria" w:cs="Times New Roman"/>
          <w:sz w:val="22"/>
          <w:lang w:val="en-US"/>
        </w:rPr>
        <w:t xml:space="preserve"> the contrary, </w:t>
      </w:r>
      <w:r w:rsidR="00B614C7" w:rsidRPr="00B614C7">
        <w:rPr>
          <w:rFonts w:ascii="Cambria" w:hAnsi="Cambria" w:cs="Times New Roman"/>
          <w:sz w:val="22"/>
          <w:lang w:val="en-US"/>
        </w:rPr>
        <w:t xml:space="preserve">require </w:t>
      </w:r>
      <w:r w:rsidR="00AD3F83">
        <w:rPr>
          <w:rFonts w:ascii="Cambria" w:hAnsi="Cambria" w:cs="Times New Roman"/>
          <w:sz w:val="22"/>
          <w:lang w:val="en-US"/>
        </w:rPr>
        <w:t>pre</w:t>
      </w:r>
      <w:r w:rsidR="00C7453E">
        <w:rPr>
          <w:rFonts w:ascii="Cambria" w:hAnsi="Cambria" w:cs="Times New Roman"/>
          <w:sz w:val="22"/>
          <w:lang w:val="en-US"/>
        </w:rPr>
        <w:softHyphen/>
      </w:r>
      <w:r w:rsidR="00AD3F83">
        <w:rPr>
          <w:rFonts w:ascii="Cambria" w:hAnsi="Cambria" w:cs="Times New Roman"/>
          <w:sz w:val="22"/>
          <w:lang w:val="en-US"/>
        </w:rPr>
        <w:t xml:space="preserve">dominantly </w:t>
      </w:r>
      <w:r w:rsidR="00B614C7" w:rsidRPr="00B614C7">
        <w:rPr>
          <w:rFonts w:ascii="Cambria" w:hAnsi="Cambria" w:cs="Times New Roman"/>
          <w:sz w:val="22"/>
          <w:lang w:val="en-US"/>
        </w:rPr>
        <w:t>ab</w:t>
      </w:r>
      <w:r w:rsidR="005B3C96">
        <w:rPr>
          <w:rFonts w:ascii="Cambria" w:hAnsi="Cambria" w:cs="Times New Roman"/>
          <w:sz w:val="22"/>
          <w:lang w:val="en-US"/>
        </w:rPr>
        <w:softHyphen/>
      </w:r>
      <w:r w:rsidR="00B614C7" w:rsidRPr="00B614C7">
        <w:rPr>
          <w:rFonts w:ascii="Cambria" w:hAnsi="Cambria" w:cs="Times New Roman"/>
          <w:sz w:val="22"/>
          <w:lang w:val="en-US"/>
        </w:rPr>
        <w:t>sten</w:t>
      </w:r>
      <w:r w:rsidR="005B3C96">
        <w:rPr>
          <w:rFonts w:ascii="Cambria" w:hAnsi="Cambria" w:cs="Times New Roman"/>
          <w:sz w:val="22"/>
          <w:lang w:val="en-US"/>
        </w:rPr>
        <w:softHyphen/>
      </w:r>
      <w:r w:rsidR="00B614C7" w:rsidRPr="00B614C7">
        <w:rPr>
          <w:rFonts w:ascii="Cambria" w:hAnsi="Cambria" w:cs="Times New Roman"/>
          <w:sz w:val="22"/>
          <w:lang w:val="en-US"/>
        </w:rPr>
        <w:t>tion by the State.</w:t>
      </w:r>
      <w:r w:rsidR="005B3C96">
        <w:rPr>
          <w:rStyle w:val="Voetnootmarkering"/>
          <w:rFonts w:ascii="Cambria" w:hAnsi="Cambria" w:cs="Times New Roman"/>
          <w:sz w:val="22"/>
          <w:lang w:val="en-US"/>
        </w:rPr>
        <w:footnoteReference w:id="109"/>
      </w:r>
      <w:r w:rsidR="00AD3F83">
        <w:rPr>
          <w:rFonts w:ascii="Cambria" w:hAnsi="Cambria" w:cs="Times New Roman"/>
          <w:sz w:val="22"/>
          <w:lang w:val="en-US"/>
        </w:rPr>
        <w:t xml:space="preserve"> </w:t>
      </w:r>
      <w:r w:rsidR="003E7933">
        <w:rPr>
          <w:rFonts w:ascii="Cambria" w:hAnsi="Cambria" w:cs="Times New Roman"/>
          <w:sz w:val="22"/>
          <w:lang w:val="en-US"/>
        </w:rPr>
        <w:t>Labe</w:t>
      </w:r>
      <w:r w:rsidR="002F6F8A">
        <w:rPr>
          <w:rFonts w:ascii="Cambria" w:hAnsi="Cambria" w:cs="Times New Roman"/>
          <w:sz w:val="22"/>
          <w:lang w:val="en-US"/>
        </w:rPr>
        <w:t>l</w:t>
      </w:r>
      <w:r w:rsidR="003E7933">
        <w:rPr>
          <w:rFonts w:ascii="Cambria" w:hAnsi="Cambria" w:cs="Times New Roman"/>
          <w:sz w:val="22"/>
          <w:lang w:val="en-US"/>
        </w:rPr>
        <w:t>ling these rights as ‘principles’ would, moreover, have the remar</w:t>
      </w:r>
      <w:r w:rsidR="005B3C96">
        <w:rPr>
          <w:rFonts w:ascii="Cambria" w:hAnsi="Cambria" w:cs="Times New Roman"/>
          <w:sz w:val="22"/>
          <w:lang w:val="en-US"/>
        </w:rPr>
        <w:softHyphen/>
      </w:r>
      <w:r w:rsidR="003E7933">
        <w:rPr>
          <w:rFonts w:ascii="Cambria" w:hAnsi="Cambria" w:cs="Times New Roman"/>
          <w:sz w:val="22"/>
          <w:lang w:val="en-US"/>
        </w:rPr>
        <w:t xml:space="preserve">kable effect, due to Article 52(5), that </w:t>
      </w:r>
      <w:r w:rsidR="00BD1056">
        <w:rPr>
          <w:rFonts w:ascii="Cambria" w:hAnsi="Cambria" w:cs="Times New Roman"/>
          <w:sz w:val="22"/>
          <w:lang w:val="en-US"/>
        </w:rPr>
        <w:t>the</w:t>
      </w:r>
      <w:r w:rsidR="003C6020">
        <w:rPr>
          <w:rFonts w:ascii="Cambria" w:hAnsi="Cambria" w:cs="Times New Roman"/>
          <w:sz w:val="22"/>
          <w:lang w:val="en-US"/>
        </w:rPr>
        <w:t>se</w:t>
      </w:r>
      <w:r w:rsidR="00BD1056">
        <w:rPr>
          <w:rFonts w:ascii="Cambria" w:hAnsi="Cambria" w:cs="Times New Roman"/>
          <w:sz w:val="22"/>
          <w:lang w:val="en-US"/>
        </w:rPr>
        <w:t xml:space="preserve"> </w:t>
      </w:r>
      <w:r w:rsidR="00C7453E">
        <w:rPr>
          <w:rFonts w:ascii="Cambria" w:hAnsi="Cambria" w:cs="Times New Roman"/>
          <w:sz w:val="22"/>
          <w:lang w:val="en-US"/>
        </w:rPr>
        <w:t xml:space="preserve">Charter’s </w:t>
      </w:r>
      <w:r w:rsidR="00BD1056">
        <w:rPr>
          <w:rFonts w:ascii="Cambria" w:hAnsi="Cambria" w:cs="Times New Roman"/>
          <w:sz w:val="22"/>
          <w:lang w:val="en-US"/>
        </w:rPr>
        <w:t>right</w:t>
      </w:r>
      <w:r w:rsidR="003C6020">
        <w:rPr>
          <w:rFonts w:ascii="Cambria" w:hAnsi="Cambria" w:cs="Times New Roman"/>
          <w:sz w:val="22"/>
          <w:lang w:val="en-US"/>
        </w:rPr>
        <w:t>s</w:t>
      </w:r>
      <w:r w:rsidR="00BD1056">
        <w:rPr>
          <w:rFonts w:ascii="Cambria" w:hAnsi="Cambria" w:cs="Times New Roman"/>
          <w:sz w:val="22"/>
          <w:lang w:val="en-US"/>
        </w:rPr>
        <w:t xml:space="preserve"> </w:t>
      </w:r>
      <w:r w:rsidR="003E7933">
        <w:rPr>
          <w:rFonts w:ascii="Cambria" w:hAnsi="Cambria" w:cs="Times New Roman"/>
          <w:sz w:val="22"/>
          <w:lang w:val="en-US"/>
        </w:rPr>
        <w:t>cannot be judicially reviewed</w:t>
      </w:r>
      <w:r w:rsidR="00BD1056">
        <w:rPr>
          <w:rFonts w:ascii="Cambria" w:hAnsi="Cambria" w:cs="Times New Roman"/>
          <w:sz w:val="22"/>
        </w:rPr>
        <w:t>, nor implemented by Union law</w:t>
      </w:r>
      <w:r w:rsidR="003C6020">
        <w:rPr>
          <w:rFonts w:ascii="Cambria" w:hAnsi="Cambria" w:cs="Times New Roman"/>
          <w:sz w:val="22"/>
        </w:rPr>
        <w:t xml:space="preserve">, </w:t>
      </w:r>
      <w:r w:rsidR="00BD1056">
        <w:rPr>
          <w:rFonts w:ascii="Cambria" w:hAnsi="Cambria" w:cs="Times New Roman"/>
          <w:sz w:val="22"/>
        </w:rPr>
        <w:t xml:space="preserve">since </w:t>
      </w:r>
      <w:r w:rsidR="003E7933" w:rsidRPr="003E7933">
        <w:rPr>
          <w:rFonts w:ascii="Cambria" w:hAnsi="Cambria" w:cs="Times New Roman"/>
          <w:sz w:val="22"/>
        </w:rPr>
        <w:t xml:space="preserve"> </w:t>
      </w:r>
      <w:r w:rsidR="003E7933">
        <w:rPr>
          <w:rFonts w:ascii="Cambria" w:hAnsi="Cambria" w:cs="Times New Roman"/>
          <w:sz w:val="22"/>
        </w:rPr>
        <w:t>A</w:t>
      </w:r>
      <w:r w:rsidR="003E7933" w:rsidRPr="003E7933">
        <w:rPr>
          <w:rFonts w:ascii="Cambria" w:hAnsi="Cambria" w:cs="Times New Roman"/>
          <w:sz w:val="22"/>
        </w:rPr>
        <w:t>rticle 153(5)</w:t>
      </w:r>
      <w:r w:rsidR="003E7933">
        <w:rPr>
          <w:rFonts w:ascii="Cambria" w:hAnsi="Cambria" w:cs="Times New Roman"/>
          <w:sz w:val="22"/>
        </w:rPr>
        <w:t xml:space="preserve"> TFEU</w:t>
      </w:r>
      <w:r w:rsidR="00BD1056">
        <w:rPr>
          <w:rFonts w:ascii="Cambria" w:hAnsi="Cambria" w:cs="Times New Roman"/>
          <w:sz w:val="22"/>
        </w:rPr>
        <w:t xml:space="preserve"> prevents this.</w:t>
      </w:r>
    </w:p>
    <w:p w:rsidR="00E17535" w:rsidRDefault="00E17535" w:rsidP="003E7933">
      <w:pPr>
        <w:spacing w:after="0" w:line="240" w:lineRule="auto"/>
        <w:jc w:val="both"/>
        <w:rPr>
          <w:rFonts w:ascii="Cambria" w:hAnsi="Cambria" w:cs="Times New Roman"/>
          <w:sz w:val="22"/>
        </w:rPr>
      </w:pPr>
    </w:p>
    <w:p w:rsidR="00021769" w:rsidRDefault="00926BBE" w:rsidP="00C301AE">
      <w:pPr>
        <w:spacing w:after="0" w:line="240" w:lineRule="auto"/>
        <w:jc w:val="both"/>
        <w:rPr>
          <w:rFonts w:ascii="Cambria" w:hAnsi="Cambria" w:cs="Times New Roman"/>
          <w:sz w:val="22"/>
        </w:rPr>
      </w:pPr>
      <w:r w:rsidRPr="00021769">
        <w:rPr>
          <w:rFonts w:ascii="Cambria" w:hAnsi="Cambria" w:cs="Times New Roman"/>
          <w:sz w:val="22"/>
        </w:rPr>
        <w:t>Third and f</w:t>
      </w:r>
      <w:r w:rsidR="00E17535" w:rsidRPr="00021769">
        <w:rPr>
          <w:rFonts w:ascii="Cambria" w:hAnsi="Cambria" w:cs="Times New Roman"/>
          <w:sz w:val="22"/>
        </w:rPr>
        <w:t xml:space="preserve">inal, </w:t>
      </w:r>
      <w:r w:rsidR="00C7453E">
        <w:rPr>
          <w:rFonts w:ascii="Cambria" w:hAnsi="Cambria" w:cs="Times New Roman"/>
          <w:sz w:val="22"/>
        </w:rPr>
        <w:t xml:space="preserve">also </w:t>
      </w:r>
      <w:r w:rsidRPr="00021769">
        <w:rPr>
          <w:rFonts w:ascii="Cambria" w:hAnsi="Cambria" w:cs="Times New Roman"/>
          <w:sz w:val="22"/>
        </w:rPr>
        <w:t xml:space="preserve">the issue of horizontal effect </w:t>
      </w:r>
      <w:r w:rsidR="00DE7DF7" w:rsidRPr="00021769">
        <w:rPr>
          <w:rFonts w:ascii="Cambria" w:hAnsi="Cambria" w:cs="Times New Roman"/>
          <w:sz w:val="22"/>
        </w:rPr>
        <w:t>could matter in answer to the question w</w:t>
      </w:r>
      <w:r w:rsidRPr="00021769">
        <w:rPr>
          <w:rFonts w:ascii="Cambria" w:hAnsi="Cambria" w:cs="Times New Roman"/>
          <w:sz w:val="22"/>
        </w:rPr>
        <w:t xml:space="preserve">hether the Charter </w:t>
      </w:r>
      <w:r w:rsidR="00DE7DF7" w:rsidRPr="00021769">
        <w:rPr>
          <w:rFonts w:ascii="Cambria" w:hAnsi="Cambria" w:cs="Times New Roman"/>
          <w:sz w:val="22"/>
        </w:rPr>
        <w:t>could reposition</w:t>
      </w:r>
      <w:r w:rsidRPr="00021769">
        <w:rPr>
          <w:rFonts w:ascii="Cambria" w:hAnsi="Cambria" w:cs="Times New Roman"/>
          <w:sz w:val="22"/>
        </w:rPr>
        <w:t xml:space="preserve"> the balance of economic and social </w:t>
      </w:r>
      <w:r w:rsidR="00DE7DF7" w:rsidRPr="00021769">
        <w:rPr>
          <w:rFonts w:ascii="Cambria" w:hAnsi="Cambria" w:cs="Times New Roman"/>
          <w:sz w:val="22"/>
        </w:rPr>
        <w:t xml:space="preserve">values </w:t>
      </w:r>
      <w:r w:rsidRPr="00021769">
        <w:rPr>
          <w:rFonts w:ascii="Cambria" w:hAnsi="Cambria" w:cs="Times New Roman"/>
          <w:sz w:val="22"/>
        </w:rPr>
        <w:t xml:space="preserve">at </w:t>
      </w:r>
      <w:r w:rsidR="002F6F8A">
        <w:rPr>
          <w:rFonts w:ascii="Cambria" w:hAnsi="Cambria" w:cs="Times New Roman"/>
          <w:sz w:val="22"/>
        </w:rPr>
        <w:t xml:space="preserve">the </w:t>
      </w:r>
      <w:r w:rsidRPr="00021769">
        <w:rPr>
          <w:rFonts w:ascii="Cambria" w:hAnsi="Cambria" w:cs="Times New Roman"/>
          <w:sz w:val="22"/>
        </w:rPr>
        <w:t>European level</w:t>
      </w:r>
      <w:r w:rsidR="00DE7DF7" w:rsidRPr="00021769">
        <w:rPr>
          <w:rFonts w:ascii="Cambria" w:hAnsi="Cambria" w:cs="Times New Roman"/>
          <w:sz w:val="22"/>
        </w:rPr>
        <w:t>. This</w:t>
      </w:r>
      <w:r w:rsidR="00FD60CC">
        <w:rPr>
          <w:rFonts w:ascii="Cambria" w:hAnsi="Cambria" w:cs="Times New Roman"/>
          <w:sz w:val="22"/>
        </w:rPr>
        <w:t xml:space="preserve"> would</w:t>
      </w:r>
      <w:r w:rsidR="00DE7DF7" w:rsidRPr="00021769">
        <w:rPr>
          <w:rFonts w:ascii="Cambria" w:hAnsi="Cambria" w:cs="Times New Roman"/>
          <w:sz w:val="22"/>
        </w:rPr>
        <w:t xml:space="preserve"> specifically </w:t>
      </w:r>
      <w:r w:rsidR="00FD60CC">
        <w:rPr>
          <w:rFonts w:ascii="Cambria" w:hAnsi="Cambria" w:cs="Times New Roman"/>
          <w:sz w:val="22"/>
        </w:rPr>
        <w:t xml:space="preserve">be relevant in </w:t>
      </w:r>
      <w:r w:rsidR="002F6F8A">
        <w:rPr>
          <w:rFonts w:ascii="Cambria" w:hAnsi="Cambria" w:cs="Times New Roman"/>
          <w:sz w:val="22"/>
        </w:rPr>
        <w:t xml:space="preserve">the </w:t>
      </w:r>
      <w:r w:rsidR="00FD60CC">
        <w:rPr>
          <w:rFonts w:ascii="Cambria" w:hAnsi="Cambria" w:cs="Times New Roman"/>
          <w:sz w:val="22"/>
        </w:rPr>
        <w:t>case of work</w:t>
      </w:r>
      <w:r w:rsidR="002F6F8A">
        <w:rPr>
          <w:rFonts w:ascii="Cambria" w:hAnsi="Cambria" w:cs="Times New Roman"/>
          <w:sz w:val="22"/>
        </w:rPr>
        <w:t>-</w:t>
      </w:r>
      <w:r w:rsidR="00FD60CC">
        <w:rPr>
          <w:rFonts w:ascii="Cambria" w:hAnsi="Cambria" w:cs="Times New Roman"/>
          <w:sz w:val="22"/>
        </w:rPr>
        <w:t xml:space="preserve">related </w:t>
      </w:r>
      <w:r w:rsidR="00DE7DF7" w:rsidRPr="00021769">
        <w:rPr>
          <w:rFonts w:ascii="Cambria" w:hAnsi="Cambria" w:cs="Times New Roman"/>
          <w:sz w:val="22"/>
        </w:rPr>
        <w:t xml:space="preserve">social rights that </w:t>
      </w:r>
      <w:r w:rsidR="0064434A" w:rsidRPr="00021769">
        <w:rPr>
          <w:rFonts w:ascii="Cambria" w:hAnsi="Cambria" w:cs="Times New Roman"/>
          <w:sz w:val="22"/>
        </w:rPr>
        <w:t xml:space="preserve">see </w:t>
      </w:r>
      <w:r w:rsidR="00DE7DF7" w:rsidRPr="00021769">
        <w:rPr>
          <w:rFonts w:ascii="Cambria" w:hAnsi="Cambria" w:cs="Times New Roman"/>
          <w:sz w:val="22"/>
        </w:rPr>
        <w:t xml:space="preserve">to </w:t>
      </w:r>
      <w:r w:rsidR="0064434A" w:rsidRPr="00021769">
        <w:rPr>
          <w:rFonts w:ascii="Cambria" w:hAnsi="Cambria" w:cs="Times New Roman"/>
          <w:sz w:val="22"/>
        </w:rPr>
        <w:t xml:space="preserve">the </w:t>
      </w:r>
      <w:r w:rsidR="00DE7DF7" w:rsidRPr="00021769">
        <w:rPr>
          <w:rFonts w:ascii="Cambria" w:hAnsi="Cambria" w:cs="Times New Roman"/>
          <w:sz w:val="22"/>
        </w:rPr>
        <w:t>relation</w:t>
      </w:r>
      <w:r w:rsidR="00DE7DF7" w:rsidRPr="00021769">
        <w:rPr>
          <w:rFonts w:ascii="Cambria" w:hAnsi="Cambria" w:cs="Times New Roman"/>
          <w:sz w:val="22"/>
        </w:rPr>
        <w:softHyphen/>
        <w:t xml:space="preserve">ships between workers (or their representatives) and employers. </w:t>
      </w:r>
    </w:p>
    <w:p w:rsidR="003E7933" w:rsidRDefault="00DE7DF7" w:rsidP="00202028">
      <w:pPr>
        <w:spacing w:after="0" w:line="240" w:lineRule="auto"/>
        <w:jc w:val="both"/>
        <w:rPr>
          <w:rFonts w:ascii="Cambria" w:hAnsi="Cambria" w:cs="Times New Roman"/>
          <w:sz w:val="22"/>
        </w:rPr>
      </w:pPr>
      <w:r w:rsidRPr="00021769">
        <w:rPr>
          <w:rFonts w:ascii="Cambria" w:hAnsi="Cambria" w:cs="Times New Roman"/>
          <w:sz w:val="22"/>
        </w:rPr>
        <w:t>Interesting</w:t>
      </w:r>
      <w:r w:rsidR="002F6F8A">
        <w:rPr>
          <w:rFonts w:ascii="Cambria" w:hAnsi="Cambria" w:cs="Times New Roman"/>
          <w:sz w:val="22"/>
        </w:rPr>
        <w:t xml:space="preserve"> is that</w:t>
      </w:r>
      <w:r w:rsidRPr="00021769">
        <w:rPr>
          <w:rFonts w:ascii="Cambria" w:hAnsi="Cambria" w:cs="Times New Roman"/>
          <w:sz w:val="22"/>
        </w:rPr>
        <w:t xml:space="preserve"> </w:t>
      </w:r>
      <w:r w:rsidRPr="00021769">
        <w:rPr>
          <w:rFonts w:ascii="Cambria" w:hAnsi="Cambria" w:cs="Times New Roman"/>
          <w:sz w:val="22"/>
          <w:lang w:val="en-US"/>
        </w:rPr>
        <w:t xml:space="preserve">Advocate General Cruz Villalon </w:t>
      </w:r>
      <w:r w:rsidR="00021769" w:rsidRPr="00021769">
        <w:rPr>
          <w:rFonts w:ascii="Cambria" w:hAnsi="Cambria" w:cs="Times New Roman"/>
          <w:sz w:val="22"/>
          <w:lang w:val="en-US"/>
        </w:rPr>
        <w:t xml:space="preserve">expressed </w:t>
      </w:r>
      <w:r w:rsidRPr="00021769">
        <w:rPr>
          <w:rFonts w:ascii="Cambria" w:hAnsi="Cambria" w:cs="Times New Roman"/>
          <w:sz w:val="22"/>
          <w:lang w:val="en-US"/>
        </w:rPr>
        <w:t>in his opinion</w:t>
      </w:r>
      <w:r w:rsidR="0064434A" w:rsidRPr="00021769">
        <w:rPr>
          <w:rFonts w:ascii="Cambria" w:hAnsi="Cambria" w:cs="Times New Roman"/>
          <w:sz w:val="22"/>
          <w:lang w:val="en-US"/>
        </w:rPr>
        <w:t xml:space="preserve"> in the </w:t>
      </w:r>
      <w:r w:rsidR="0064434A" w:rsidRPr="00021769">
        <w:rPr>
          <w:rFonts w:ascii="Cambria" w:hAnsi="Cambria" w:cs="Times New Roman"/>
          <w:i/>
          <w:sz w:val="22"/>
          <w:lang w:val="en-US"/>
        </w:rPr>
        <w:t>AMS</w:t>
      </w:r>
      <w:r w:rsidR="0064434A" w:rsidRPr="00021769">
        <w:rPr>
          <w:rFonts w:ascii="Cambria" w:hAnsi="Cambria" w:cs="Times New Roman"/>
          <w:sz w:val="22"/>
          <w:lang w:val="en-US"/>
        </w:rPr>
        <w:t xml:space="preserve"> case</w:t>
      </w:r>
      <w:r w:rsidR="00A56942" w:rsidRPr="00021769">
        <w:rPr>
          <w:rFonts w:ascii="Cambria" w:hAnsi="Cambria" w:cs="Times New Roman"/>
          <w:sz w:val="22"/>
          <w:lang w:val="en-US"/>
        </w:rPr>
        <w:t xml:space="preserve"> </w:t>
      </w:r>
      <w:r w:rsidR="00021769" w:rsidRPr="00021769">
        <w:rPr>
          <w:rFonts w:ascii="Cambria" w:hAnsi="Cambria" w:cs="Times New Roman"/>
          <w:sz w:val="22"/>
          <w:lang w:val="en-US"/>
        </w:rPr>
        <w:t xml:space="preserve">that </w:t>
      </w:r>
      <w:r w:rsidR="00A56942" w:rsidRPr="00021769">
        <w:rPr>
          <w:rFonts w:ascii="Cambria" w:hAnsi="Cambria" w:cs="Times New Roman"/>
          <w:sz w:val="22"/>
        </w:rPr>
        <w:t>Article 27 on workers’ rights to informa</w:t>
      </w:r>
      <w:r w:rsidR="00021769">
        <w:rPr>
          <w:rFonts w:ascii="Cambria" w:hAnsi="Cambria" w:cs="Times New Roman"/>
          <w:sz w:val="22"/>
        </w:rPr>
        <w:softHyphen/>
      </w:r>
      <w:r w:rsidR="00A56942" w:rsidRPr="00021769">
        <w:rPr>
          <w:rFonts w:ascii="Cambria" w:hAnsi="Cambria" w:cs="Times New Roman"/>
          <w:sz w:val="22"/>
        </w:rPr>
        <w:t>tion and consultation within an undertaking</w:t>
      </w:r>
      <w:r w:rsidR="00021769" w:rsidRPr="00021769">
        <w:rPr>
          <w:rFonts w:ascii="Cambria" w:hAnsi="Cambria"/>
          <w:sz w:val="22"/>
        </w:rPr>
        <w:t>, in princip</w:t>
      </w:r>
      <w:r w:rsidR="002F6F8A">
        <w:rPr>
          <w:rFonts w:ascii="Cambria" w:hAnsi="Cambria"/>
          <w:sz w:val="22"/>
        </w:rPr>
        <w:t>le</w:t>
      </w:r>
      <w:r w:rsidR="00021769" w:rsidRPr="00021769">
        <w:rPr>
          <w:rFonts w:ascii="Cambria" w:hAnsi="Cambria"/>
          <w:sz w:val="22"/>
        </w:rPr>
        <w:t xml:space="preserve">, </w:t>
      </w:r>
      <w:r w:rsidR="00A56942" w:rsidRPr="00021769">
        <w:rPr>
          <w:rFonts w:ascii="Cambria" w:hAnsi="Cambria" w:cs="Times New Roman"/>
          <w:sz w:val="22"/>
        </w:rPr>
        <w:t xml:space="preserve">may be relied </w:t>
      </w:r>
      <w:r w:rsidR="002F6F8A">
        <w:rPr>
          <w:rFonts w:ascii="Cambria" w:hAnsi="Cambria" w:cs="Times New Roman"/>
          <w:sz w:val="22"/>
        </w:rPr>
        <w:t>up</w:t>
      </w:r>
      <w:r w:rsidR="00A56942" w:rsidRPr="00021769">
        <w:rPr>
          <w:rFonts w:ascii="Cambria" w:hAnsi="Cambria" w:cs="Times New Roman"/>
          <w:sz w:val="22"/>
        </w:rPr>
        <w:t>on i</w:t>
      </w:r>
      <w:r w:rsidR="00021769">
        <w:rPr>
          <w:rFonts w:ascii="Cambria" w:hAnsi="Cambria" w:cs="Times New Roman"/>
          <w:sz w:val="22"/>
        </w:rPr>
        <w:t>n a dispute between individuals, since its e</w:t>
      </w:r>
      <w:r w:rsidR="00FD60CC">
        <w:rPr>
          <w:rFonts w:ascii="Cambria" w:hAnsi="Cambria" w:cs="Times New Roman"/>
          <w:sz w:val="22"/>
        </w:rPr>
        <w:t>ffectiveness also depends on this</w:t>
      </w:r>
      <w:r w:rsidR="00021769">
        <w:rPr>
          <w:rFonts w:ascii="Cambria" w:hAnsi="Cambria" w:cs="Times New Roman"/>
          <w:sz w:val="22"/>
        </w:rPr>
        <w:t xml:space="preserve"> under</w:t>
      </w:r>
      <w:r w:rsidR="00306280">
        <w:rPr>
          <w:rFonts w:ascii="Cambria" w:hAnsi="Cambria" w:cs="Times New Roman"/>
          <w:sz w:val="22"/>
        </w:rPr>
        <w:softHyphen/>
      </w:r>
      <w:r w:rsidR="00021769">
        <w:rPr>
          <w:rFonts w:ascii="Cambria" w:hAnsi="Cambria" w:cs="Times New Roman"/>
          <w:sz w:val="22"/>
        </w:rPr>
        <w:t>tak</w:t>
      </w:r>
      <w:r w:rsidR="00FD60CC">
        <w:rPr>
          <w:rFonts w:ascii="Cambria" w:hAnsi="Cambria" w:cs="Times New Roman"/>
          <w:sz w:val="22"/>
        </w:rPr>
        <w:t xml:space="preserve">ing and, therefore, </w:t>
      </w:r>
      <w:r w:rsidR="00021769">
        <w:rPr>
          <w:rFonts w:ascii="Cambria" w:hAnsi="Cambria" w:cs="Times New Roman"/>
          <w:sz w:val="22"/>
        </w:rPr>
        <w:t xml:space="preserve">its </w:t>
      </w:r>
      <w:r w:rsidR="00021769" w:rsidRPr="00021769">
        <w:rPr>
          <w:rFonts w:ascii="Cambria" w:hAnsi="Cambria" w:cs="Times New Roman"/>
          <w:sz w:val="22"/>
        </w:rPr>
        <w:t>relevance in relationships governed by private law</w:t>
      </w:r>
      <w:r w:rsidR="00021769">
        <w:rPr>
          <w:rFonts w:ascii="Cambria" w:hAnsi="Cambria" w:cs="Times New Roman"/>
          <w:sz w:val="22"/>
        </w:rPr>
        <w:t xml:space="preserve"> cannot be de</w:t>
      </w:r>
      <w:r w:rsidR="008C7F43">
        <w:rPr>
          <w:rFonts w:ascii="Cambria" w:hAnsi="Cambria" w:cs="Times New Roman"/>
          <w:sz w:val="22"/>
        </w:rPr>
        <w:softHyphen/>
      </w:r>
      <w:r w:rsidR="00021769">
        <w:rPr>
          <w:rFonts w:ascii="Cambria" w:hAnsi="Cambria" w:cs="Times New Roman"/>
          <w:sz w:val="22"/>
        </w:rPr>
        <w:t>nied.</w:t>
      </w:r>
      <w:r w:rsidR="008C7F43">
        <w:rPr>
          <w:rStyle w:val="Voetnootmarkering"/>
          <w:rFonts w:ascii="Cambria" w:hAnsi="Cambria" w:cs="Times New Roman"/>
          <w:sz w:val="22"/>
        </w:rPr>
        <w:footnoteReference w:id="110"/>
      </w:r>
      <w:r w:rsidR="00021769">
        <w:rPr>
          <w:rFonts w:ascii="Cambria" w:hAnsi="Cambria" w:cs="Times New Roman"/>
          <w:sz w:val="22"/>
        </w:rPr>
        <w:t xml:space="preserve"> According to his view, </w:t>
      </w:r>
      <w:r w:rsidR="00202028" w:rsidRPr="00202028">
        <w:rPr>
          <w:rFonts w:ascii="Cambria" w:hAnsi="Cambria" w:cs="Times New Roman"/>
          <w:sz w:val="22"/>
        </w:rPr>
        <w:t xml:space="preserve">there is nothing in the wording </w:t>
      </w:r>
      <w:r w:rsidR="00202028">
        <w:rPr>
          <w:rFonts w:ascii="Cambria" w:hAnsi="Cambria" w:cs="Times New Roman"/>
          <w:sz w:val="22"/>
        </w:rPr>
        <w:t xml:space="preserve">of </w:t>
      </w:r>
      <w:r w:rsidR="00021769">
        <w:rPr>
          <w:rFonts w:ascii="Cambria" w:hAnsi="Cambria" w:cs="Times New Roman"/>
          <w:sz w:val="22"/>
        </w:rPr>
        <w:t>Article 51(1)</w:t>
      </w:r>
      <w:r w:rsidR="00202028">
        <w:rPr>
          <w:rFonts w:ascii="Cambria" w:hAnsi="Cambria" w:cs="Times New Roman"/>
          <w:sz w:val="22"/>
        </w:rPr>
        <w:t xml:space="preserve"> – that </w:t>
      </w:r>
      <w:r w:rsidR="006B6B44">
        <w:rPr>
          <w:rFonts w:ascii="Cambria" w:hAnsi="Cambria" w:cs="Times New Roman"/>
          <w:sz w:val="22"/>
        </w:rPr>
        <w:t xml:space="preserve">explicitly </w:t>
      </w:r>
      <w:r w:rsidR="00202028">
        <w:rPr>
          <w:rFonts w:ascii="Cambria" w:hAnsi="Cambria" w:cs="Times New Roman"/>
          <w:sz w:val="22"/>
        </w:rPr>
        <w:t xml:space="preserve">addresses </w:t>
      </w:r>
      <w:r w:rsidR="00021769">
        <w:rPr>
          <w:rFonts w:ascii="Cambria" w:hAnsi="Cambria" w:cs="Times New Roman"/>
          <w:sz w:val="22"/>
        </w:rPr>
        <w:t>the</w:t>
      </w:r>
      <w:r w:rsidR="00202028">
        <w:rPr>
          <w:rFonts w:ascii="Cambria" w:hAnsi="Cambria" w:cs="Times New Roman"/>
          <w:sz w:val="22"/>
        </w:rPr>
        <w:t xml:space="preserve"> Union and the member states </w:t>
      </w:r>
      <w:r w:rsidR="00202028" w:rsidRPr="00202028">
        <w:rPr>
          <w:rFonts w:ascii="Cambria" w:hAnsi="Cambria" w:cs="Times New Roman"/>
          <w:sz w:val="22"/>
        </w:rPr>
        <w:t xml:space="preserve"> – </w:t>
      </w:r>
      <w:r w:rsidR="00202028">
        <w:rPr>
          <w:rFonts w:ascii="Cambria" w:hAnsi="Cambria" w:cs="Times New Roman"/>
          <w:sz w:val="22"/>
        </w:rPr>
        <w:t>‘</w:t>
      </w:r>
      <w:r w:rsidR="00202028" w:rsidRPr="00202028">
        <w:rPr>
          <w:rFonts w:ascii="Cambria" w:hAnsi="Cambria" w:cs="Times New Roman"/>
          <w:sz w:val="22"/>
        </w:rPr>
        <w:t xml:space="preserve">which suggests that there was any intention, through the language of that article, to address the </w:t>
      </w:r>
      <w:r w:rsidR="00222B07">
        <w:rPr>
          <w:rFonts w:ascii="Cambria" w:hAnsi="Cambria" w:cs="Times New Roman"/>
          <w:sz w:val="22"/>
        </w:rPr>
        <w:t xml:space="preserve">(..) </w:t>
      </w:r>
      <w:r w:rsidR="00202028" w:rsidRPr="00202028">
        <w:rPr>
          <w:rFonts w:ascii="Cambria" w:hAnsi="Cambria" w:cs="Times New Roman"/>
          <w:sz w:val="22"/>
        </w:rPr>
        <w:t>effectiveness of fundamental rights in relations</w:t>
      </w:r>
      <w:r w:rsidR="00202028">
        <w:rPr>
          <w:rFonts w:ascii="Cambria" w:hAnsi="Cambria" w:cs="Times New Roman"/>
          <w:sz w:val="22"/>
        </w:rPr>
        <w:t xml:space="preserve"> </w:t>
      </w:r>
      <w:r w:rsidR="00202028" w:rsidRPr="00202028">
        <w:rPr>
          <w:rFonts w:ascii="Cambria" w:hAnsi="Cambria" w:cs="Times New Roman"/>
          <w:sz w:val="22"/>
        </w:rPr>
        <w:t>between individuals</w:t>
      </w:r>
      <w:r w:rsidR="00202028">
        <w:rPr>
          <w:rFonts w:ascii="Cambria" w:hAnsi="Cambria" w:cs="Times New Roman"/>
          <w:sz w:val="22"/>
        </w:rPr>
        <w:t>’</w:t>
      </w:r>
      <w:r w:rsidR="00202028" w:rsidRPr="00202028">
        <w:rPr>
          <w:rFonts w:ascii="Cambria" w:hAnsi="Cambria" w:cs="Times New Roman"/>
          <w:sz w:val="22"/>
        </w:rPr>
        <w:t>.</w:t>
      </w:r>
      <w:r w:rsidR="00202028">
        <w:rPr>
          <w:rStyle w:val="Voetnootmarkering"/>
          <w:rFonts w:ascii="Cambria" w:hAnsi="Cambria" w:cs="Times New Roman"/>
          <w:sz w:val="22"/>
        </w:rPr>
        <w:footnoteReference w:id="111"/>
      </w:r>
    </w:p>
    <w:p w:rsidR="009B7658" w:rsidRDefault="0025075F" w:rsidP="0072040E">
      <w:pPr>
        <w:spacing w:after="0" w:line="240" w:lineRule="auto"/>
        <w:jc w:val="both"/>
        <w:rPr>
          <w:rFonts w:ascii="Cambria" w:hAnsi="Cambria" w:cs="Times New Roman"/>
          <w:sz w:val="22"/>
          <w:lang w:val="en-US"/>
        </w:rPr>
      </w:pPr>
      <w:r>
        <w:rPr>
          <w:rFonts w:ascii="Cambria" w:hAnsi="Cambria" w:cs="Times New Roman"/>
          <w:sz w:val="22"/>
        </w:rPr>
        <w:t xml:space="preserve">The Court in its </w:t>
      </w:r>
      <w:r w:rsidRPr="0025075F">
        <w:rPr>
          <w:rFonts w:ascii="Cambria" w:hAnsi="Cambria" w:cs="Times New Roman"/>
          <w:i/>
          <w:sz w:val="22"/>
        </w:rPr>
        <w:t xml:space="preserve">AMS </w:t>
      </w:r>
      <w:r>
        <w:rPr>
          <w:rFonts w:ascii="Cambria" w:hAnsi="Cambria" w:cs="Times New Roman"/>
          <w:sz w:val="22"/>
        </w:rPr>
        <w:t>de</w:t>
      </w:r>
      <w:r w:rsidR="00DA422D">
        <w:rPr>
          <w:rFonts w:ascii="Cambria" w:hAnsi="Cambria" w:cs="Times New Roman"/>
          <w:sz w:val="22"/>
        </w:rPr>
        <w:t xml:space="preserve">cision also appears to offer an </w:t>
      </w:r>
      <w:r>
        <w:rPr>
          <w:rFonts w:ascii="Cambria" w:hAnsi="Cambria" w:cs="Times New Roman"/>
          <w:sz w:val="22"/>
        </w:rPr>
        <w:t>opening for</w:t>
      </w:r>
      <w:r w:rsidR="002F6F8A">
        <w:rPr>
          <w:rFonts w:ascii="Cambria" w:hAnsi="Cambria" w:cs="Times New Roman"/>
          <w:sz w:val="22"/>
        </w:rPr>
        <w:t xml:space="preserve"> the</w:t>
      </w:r>
      <w:r>
        <w:rPr>
          <w:rFonts w:ascii="Cambria" w:hAnsi="Cambria" w:cs="Times New Roman"/>
          <w:sz w:val="22"/>
        </w:rPr>
        <w:t xml:space="preserve"> </w:t>
      </w:r>
      <w:r w:rsidR="00DA422D">
        <w:rPr>
          <w:rFonts w:ascii="Cambria" w:hAnsi="Cambria" w:cs="Times New Roman"/>
          <w:sz w:val="22"/>
        </w:rPr>
        <w:t xml:space="preserve">possible </w:t>
      </w:r>
      <w:r>
        <w:rPr>
          <w:rFonts w:ascii="Cambria" w:hAnsi="Cambria" w:cs="Times New Roman"/>
          <w:sz w:val="22"/>
        </w:rPr>
        <w:t xml:space="preserve">horizontal </w:t>
      </w:r>
      <w:r w:rsidR="0072040E">
        <w:rPr>
          <w:rFonts w:ascii="Cambria" w:hAnsi="Cambria" w:cs="Times New Roman"/>
          <w:sz w:val="22"/>
        </w:rPr>
        <w:t xml:space="preserve">direct </w:t>
      </w:r>
      <w:r>
        <w:rPr>
          <w:rFonts w:ascii="Cambria" w:hAnsi="Cambria" w:cs="Times New Roman"/>
          <w:sz w:val="22"/>
        </w:rPr>
        <w:t>effect of the Char</w:t>
      </w:r>
      <w:r>
        <w:rPr>
          <w:rFonts w:ascii="Cambria" w:hAnsi="Cambria" w:cs="Times New Roman"/>
          <w:sz w:val="22"/>
        </w:rPr>
        <w:softHyphen/>
        <w:t>ter’s rights.</w:t>
      </w:r>
      <w:r w:rsidR="002D0F67">
        <w:rPr>
          <w:rFonts w:ascii="Cambria" w:hAnsi="Cambria" w:cs="Times New Roman"/>
          <w:sz w:val="22"/>
        </w:rPr>
        <w:t xml:space="preserve"> </w:t>
      </w:r>
      <w:r w:rsidR="006B6B44">
        <w:rPr>
          <w:rFonts w:ascii="Cambria" w:hAnsi="Cambria" w:cs="Times New Roman"/>
          <w:sz w:val="22"/>
        </w:rPr>
        <w:t xml:space="preserve">It is deemed </w:t>
      </w:r>
      <w:r w:rsidR="006B6B44">
        <w:rPr>
          <w:rFonts w:ascii="Cambria" w:hAnsi="Cambria" w:cs="Times New Roman"/>
          <w:sz w:val="22"/>
          <w:lang w:val="en-US"/>
        </w:rPr>
        <w:t xml:space="preserve">necessary </w:t>
      </w:r>
      <w:r w:rsidR="00FD60CC">
        <w:rPr>
          <w:rFonts w:ascii="Cambria" w:hAnsi="Cambria" w:cs="Times New Roman"/>
          <w:sz w:val="22"/>
          <w:lang w:val="en-US"/>
        </w:rPr>
        <w:t>‘</w:t>
      </w:r>
      <w:r w:rsidR="006B6B44">
        <w:rPr>
          <w:rFonts w:ascii="Cambria" w:hAnsi="Cambria" w:cs="Times New Roman"/>
          <w:sz w:val="22"/>
          <w:lang w:val="en-US"/>
        </w:rPr>
        <w:t xml:space="preserve">to ascertain </w:t>
      </w:r>
      <w:r w:rsidR="006B6B44" w:rsidRPr="006B6B44">
        <w:rPr>
          <w:rFonts w:ascii="Cambria" w:hAnsi="Cambria" w:cs="Times New Roman"/>
          <w:sz w:val="22"/>
          <w:lang w:val="en-US"/>
        </w:rPr>
        <w:t xml:space="preserve">whether the case </w:t>
      </w:r>
      <w:r w:rsidR="006B6B44">
        <w:rPr>
          <w:rFonts w:ascii="Cambria" w:hAnsi="Cambria" w:cs="Times New Roman"/>
          <w:sz w:val="22"/>
          <w:lang w:val="en-US"/>
        </w:rPr>
        <w:t xml:space="preserve">at hand </w:t>
      </w:r>
      <w:r w:rsidR="006B6B44" w:rsidRPr="006B6B44">
        <w:rPr>
          <w:rFonts w:ascii="Cambria" w:hAnsi="Cambria" w:cs="Times New Roman"/>
          <w:sz w:val="22"/>
          <w:lang w:val="en-US"/>
        </w:rPr>
        <w:t xml:space="preserve">is similar to </w:t>
      </w:r>
      <w:r w:rsidR="006B6B44" w:rsidRPr="002D0F67">
        <w:rPr>
          <w:rFonts w:ascii="Cambria" w:hAnsi="Cambria" w:cs="Times New Roman"/>
          <w:i/>
          <w:sz w:val="22"/>
          <w:lang w:val="en-US"/>
        </w:rPr>
        <w:t>Kü</w:t>
      </w:r>
      <w:r w:rsidR="006B6B44" w:rsidRPr="002D0F67">
        <w:rPr>
          <w:rFonts w:ascii="Cambria" w:hAnsi="Cambria" w:cs="Times New Roman"/>
          <w:i/>
          <w:sz w:val="22"/>
          <w:lang w:val="en-US"/>
        </w:rPr>
        <w:softHyphen/>
      </w:r>
      <w:r w:rsidR="002D0F67">
        <w:rPr>
          <w:rFonts w:ascii="Cambria" w:hAnsi="Cambria" w:cs="Times New Roman"/>
          <w:i/>
          <w:sz w:val="22"/>
          <w:lang w:val="en-US"/>
        </w:rPr>
        <w:t>c</w:t>
      </w:r>
      <w:r w:rsidR="006B6B44" w:rsidRPr="002D0F67">
        <w:rPr>
          <w:rFonts w:ascii="Cambria" w:hAnsi="Cambria" w:cs="Times New Roman"/>
          <w:i/>
          <w:sz w:val="22"/>
          <w:lang w:val="en-US"/>
        </w:rPr>
        <w:t>ük</w:t>
      </w:r>
      <w:r w:rsidR="0072040E" w:rsidRPr="002D0F67">
        <w:rPr>
          <w:rFonts w:ascii="Cambria" w:hAnsi="Cambria" w:cs="Times New Roman"/>
          <w:i/>
          <w:sz w:val="22"/>
          <w:lang w:val="en-US"/>
        </w:rPr>
        <w:softHyphen/>
      </w:r>
      <w:r w:rsidR="006B6B44" w:rsidRPr="002D0F67">
        <w:rPr>
          <w:rFonts w:ascii="Cambria" w:hAnsi="Cambria" w:cs="Times New Roman"/>
          <w:i/>
          <w:sz w:val="22"/>
          <w:lang w:val="en-US"/>
        </w:rPr>
        <w:softHyphen/>
        <w:t>deveci</w:t>
      </w:r>
      <w:r w:rsidR="006B6B44" w:rsidRPr="006B6B44">
        <w:rPr>
          <w:rFonts w:ascii="Cambria" w:hAnsi="Cambria" w:cs="Times New Roman"/>
          <w:sz w:val="22"/>
          <w:lang w:val="en-US"/>
        </w:rPr>
        <w:t>, so that Article 27 of the</w:t>
      </w:r>
      <w:r w:rsidR="006B6B44">
        <w:rPr>
          <w:rFonts w:ascii="Cambria" w:hAnsi="Cambria" w:cs="Times New Roman"/>
          <w:sz w:val="22"/>
          <w:lang w:val="en-US"/>
        </w:rPr>
        <w:t xml:space="preserve"> </w:t>
      </w:r>
      <w:r w:rsidR="006B6B44" w:rsidRPr="006B6B44">
        <w:rPr>
          <w:rFonts w:ascii="Cambria" w:hAnsi="Cambria" w:cs="Times New Roman"/>
          <w:sz w:val="22"/>
          <w:lang w:val="en-US"/>
        </w:rPr>
        <w:t>Charter, by itself or in con</w:t>
      </w:r>
      <w:r w:rsidR="006B6B44">
        <w:rPr>
          <w:rFonts w:ascii="Cambria" w:hAnsi="Cambria" w:cs="Times New Roman"/>
          <w:sz w:val="22"/>
          <w:lang w:val="en-US"/>
        </w:rPr>
        <w:t>junction with the pro</w:t>
      </w:r>
      <w:r w:rsidR="00FD60CC">
        <w:rPr>
          <w:rFonts w:ascii="Cambria" w:hAnsi="Cambria" w:cs="Times New Roman"/>
          <w:sz w:val="22"/>
          <w:lang w:val="en-US"/>
        </w:rPr>
        <w:softHyphen/>
      </w:r>
      <w:r w:rsidR="006B6B44">
        <w:rPr>
          <w:rFonts w:ascii="Cambria" w:hAnsi="Cambria" w:cs="Times New Roman"/>
          <w:sz w:val="22"/>
          <w:lang w:val="en-US"/>
        </w:rPr>
        <w:t xml:space="preserve">visions of </w:t>
      </w:r>
      <w:r w:rsidR="006B6B44" w:rsidRPr="006B6B44">
        <w:rPr>
          <w:rFonts w:ascii="Cambria" w:hAnsi="Cambria" w:cs="Times New Roman"/>
          <w:sz w:val="22"/>
          <w:lang w:val="en-US"/>
        </w:rPr>
        <w:t>Directive 2002/14, can be invoked in a</w:t>
      </w:r>
      <w:r w:rsidR="006B6B44">
        <w:rPr>
          <w:rFonts w:ascii="Cambria" w:hAnsi="Cambria" w:cs="Times New Roman"/>
          <w:sz w:val="22"/>
          <w:lang w:val="en-US"/>
        </w:rPr>
        <w:t xml:space="preserve"> dispute between individuals</w:t>
      </w:r>
      <w:r w:rsidR="00FD60CC">
        <w:rPr>
          <w:rFonts w:ascii="Cambria" w:hAnsi="Cambria" w:cs="Times New Roman"/>
          <w:sz w:val="22"/>
          <w:lang w:val="en-US"/>
        </w:rPr>
        <w:t>’</w:t>
      </w:r>
      <w:r w:rsidR="006B6B44">
        <w:rPr>
          <w:rFonts w:ascii="Cambria" w:hAnsi="Cambria" w:cs="Times New Roman"/>
          <w:sz w:val="22"/>
          <w:lang w:val="en-US"/>
        </w:rPr>
        <w:t>.</w:t>
      </w:r>
      <w:r w:rsidR="0072040E">
        <w:rPr>
          <w:rStyle w:val="Voetnootmarkering"/>
          <w:rFonts w:ascii="Cambria" w:hAnsi="Cambria" w:cs="Times New Roman"/>
          <w:sz w:val="22"/>
          <w:lang w:val="en-US"/>
        </w:rPr>
        <w:footnoteReference w:id="112"/>
      </w:r>
      <w:r w:rsidR="0072040E">
        <w:rPr>
          <w:rFonts w:ascii="Cambria" w:hAnsi="Cambria" w:cs="Times New Roman"/>
          <w:sz w:val="22"/>
          <w:lang w:val="en-US"/>
        </w:rPr>
        <w:t xml:space="preserve"> </w:t>
      </w:r>
      <w:r w:rsidR="0072040E" w:rsidRPr="00FD60CC">
        <w:rPr>
          <w:rFonts w:ascii="Cambria" w:hAnsi="Cambria" w:cs="Times New Roman"/>
          <w:i/>
          <w:sz w:val="22"/>
          <w:lang w:val="en-US"/>
        </w:rPr>
        <w:t>AMS</w:t>
      </w:r>
      <w:r w:rsidR="0072040E">
        <w:rPr>
          <w:rFonts w:ascii="Cambria" w:hAnsi="Cambria" w:cs="Times New Roman"/>
          <w:sz w:val="22"/>
          <w:lang w:val="en-US"/>
        </w:rPr>
        <w:t xml:space="preserve"> is </w:t>
      </w:r>
      <w:r w:rsidR="00FD60CC">
        <w:rPr>
          <w:rFonts w:ascii="Cambria" w:hAnsi="Cambria" w:cs="Times New Roman"/>
          <w:sz w:val="22"/>
          <w:lang w:val="en-US"/>
        </w:rPr>
        <w:t>the</w:t>
      </w:r>
      <w:r w:rsidR="0072040E">
        <w:rPr>
          <w:rFonts w:ascii="Cambria" w:hAnsi="Cambria" w:cs="Times New Roman"/>
          <w:sz w:val="22"/>
          <w:lang w:val="en-US"/>
        </w:rPr>
        <w:t>n distinguis</w:t>
      </w:r>
      <w:r w:rsidR="0072040E">
        <w:rPr>
          <w:rFonts w:ascii="Cambria" w:hAnsi="Cambria" w:cs="Times New Roman"/>
          <w:sz w:val="22"/>
          <w:lang w:val="en-US"/>
        </w:rPr>
        <w:softHyphen/>
      </w:r>
      <w:r w:rsidR="0072040E" w:rsidRPr="0072040E">
        <w:rPr>
          <w:rFonts w:ascii="Cambria" w:hAnsi="Cambria" w:cs="Times New Roman"/>
          <w:sz w:val="22"/>
          <w:lang w:val="en-US"/>
        </w:rPr>
        <w:t xml:space="preserve">hed from </w:t>
      </w:r>
      <w:r w:rsidR="0072040E" w:rsidRPr="002D0F67">
        <w:rPr>
          <w:rFonts w:ascii="Cambria" w:hAnsi="Cambria" w:cs="Times New Roman"/>
          <w:i/>
          <w:sz w:val="22"/>
          <w:lang w:val="en-US"/>
        </w:rPr>
        <w:t>Kücükdeveci</w:t>
      </w:r>
      <w:r w:rsidR="0072040E" w:rsidRPr="0072040E">
        <w:rPr>
          <w:rFonts w:ascii="Cambria" w:hAnsi="Cambria" w:cs="Times New Roman"/>
          <w:sz w:val="22"/>
          <w:lang w:val="en-US"/>
        </w:rPr>
        <w:t xml:space="preserve"> </w:t>
      </w:r>
      <w:r w:rsidR="0072040E">
        <w:rPr>
          <w:rFonts w:ascii="Cambria" w:hAnsi="Cambria" w:cs="Times New Roman"/>
          <w:sz w:val="22"/>
          <w:lang w:val="en-US"/>
        </w:rPr>
        <w:t>‘</w:t>
      </w:r>
      <w:r w:rsidR="0072040E" w:rsidRPr="0072040E">
        <w:rPr>
          <w:rFonts w:ascii="Cambria" w:hAnsi="Cambria" w:cs="Times New Roman"/>
          <w:sz w:val="22"/>
          <w:lang w:val="en-US"/>
        </w:rPr>
        <w:t>in so far as the principle of non-discrimination on grou</w:t>
      </w:r>
      <w:r w:rsidR="0072040E">
        <w:rPr>
          <w:rFonts w:ascii="Cambria" w:hAnsi="Cambria" w:cs="Times New Roman"/>
          <w:sz w:val="22"/>
          <w:lang w:val="en-US"/>
        </w:rPr>
        <w:t>nds of age</w:t>
      </w:r>
      <w:r w:rsidR="0072040E" w:rsidRPr="0072040E">
        <w:rPr>
          <w:rFonts w:ascii="Cambria" w:hAnsi="Cambria" w:cs="Times New Roman"/>
          <w:sz w:val="22"/>
          <w:lang w:val="en-US"/>
        </w:rPr>
        <w:t>,</w:t>
      </w:r>
      <w:r w:rsidR="0072040E">
        <w:rPr>
          <w:rFonts w:ascii="Cambria" w:hAnsi="Cambria" w:cs="Times New Roman"/>
          <w:sz w:val="22"/>
          <w:lang w:val="en-US"/>
        </w:rPr>
        <w:t xml:space="preserve"> </w:t>
      </w:r>
      <w:r w:rsidR="0072040E" w:rsidRPr="0072040E">
        <w:rPr>
          <w:rFonts w:ascii="Cambria" w:hAnsi="Cambria" w:cs="Times New Roman"/>
          <w:sz w:val="22"/>
          <w:lang w:val="en-US"/>
        </w:rPr>
        <w:t>laid down in Article 21(1) of the Charter, is sufficient in itself to confer on individuals an indi</w:t>
      </w:r>
      <w:r w:rsidR="00624ECA">
        <w:rPr>
          <w:rFonts w:ascii="Cambria" w:hAnsi="Cambria" w:cs="Times New Roman"/>
          <w:sz w:val="22"/>
          <w:lang w:val="en-US"/>
        </w:rPr>
        <w:softHyphen/>
      </w:r>
      <w:r w:rsidR="0072040E" w:rsidRPr="0072040E">
        <w:rPr>
          <w:rFonts w:ascii="Cambria" w:hAnsi="Cambria" w:cs="Times New Roman"/>
          <w:sz w:val="22"/>
          <w:lang w:val="en-US"/>
        </w:rPr>
        <w:t>vi</w:t>
      </w:r>
      <w:r w:rsidR="00624ECA">
        <w:rPr>
          <w:rFonts w:ascii="Cambria" w:hAnsi="Cambria" w:cs="Times New Roman"/>
          <w:sz w:val="22"/>
          <w:lang w:val="en-US"/>
        </w:rPr>
        <w:softHyphen/>
      </w:r>
      <w:r w:rsidR="0072040E" w:rsidRPr="0072040E">
        <w:rPr>
          <w:rFonts w:ascii="Cambria" w:hAnsi="Cambria" w:cs="Times New Roman"/>
          <w:sz w:val="22"/>
          <w:lang w:val="en-US"/>
        </w:rPr>
        <w:t>dual</w:t>
      </w:r>
      <w:r w:rsidR="0072040E">
        <w:rPr>
          <w:rFonts w:ascii="Cambria" w:hAnsi="Cambria" w:cs="Times New Roman"/>
          <w:sz w:val="22"/>
          <w:lang w:val="en-US"/>
        </w:rPr>
        <w:t xml:space="preserve"> </w:t>
      </w:r>
      <w:r w:rsidR="0072040E" w:rsidRPr="0072040E">
        <w:rPr>
          <w:rFonts w:ascii="Cambria" w:hAnsi="Cambria" w:cs="Times New Roman"/>
          <w:sz w:val="22"/>
          <w:lang w:val="en-US"/>
        </w:rPr>
        <w:t>right which they may invoke as such</w:t>
      </w:r>
      <w:r w:rsidR="0072040E">
        <w:rPr>
          <w:rFonts w:ascii="Cambria" w:hAnsi="Cambria" w:cs="Times New Roman"/>
          <w:sz w:val="22"/>
          <w:lang w:val="en-US"/>
        </w:rPr>
        <w:t>’</w:t>
      </w:r>
      <w:r w:rsidR="0072040E" w:rsidRPr="0072040E">
        <w:rPr>
          <w:rFonts w:ascii="Cambria" w:hAnsi="Cambria" w:cs="Times New Roman"/>
          <w:sz w:val="22"/>
          <w:lang w:val="en-US"/>
        </w:rPr>
        <w:t>.</w:t>
      </w:r>
      <w:r w:rsidR="00624ECA">
        <w:rPr>
          <w:rStyle w:val="Voetnootmarkering"/>
          <w:rFonts w:ascii="Cambria" w:hAnsi="Cambria" w:cs="Times New Roman"/>
          <w:sz w:val="22"/>
          <w:lang w:val="en-US"/>
        </w:rPr>
        <w:footnoteReference w:id="113"/>
      </w:r>
      <w:r w:rsidR="0072040E">
        <w:rPr>
          <w:rFonts w:ascii="Cambria" w:hAnsi="Cambria" w:cs="Times New Roman"/>
          <w:sz w:val="22"/>
          <w:lang w:val="en-US"/>
        </w:rPr>
        <w:t xml:space="preserve"> </w:t>
      </w:r>
      <w:r w:rsidR="002D0F67">
        <w:rPr>
          <w:rFonts w:ascii="Cambria" w:hAnsi="Cambria" w:cs="Times New Roman"/>
          <w:sz w:val="22"/>
          <w:lang w:val="en-US"/>
        </w:rPr>
        <w:t xml:space="preserve">As </w:t>
      </w:r>
      <w:r w:rsidR="002F6F8A">
        <w:rPr>
          <w:rFonts w:ascii="Cambria" w:hAnsi="Cambria" w:cs="Times New Roman"/>
          <w:sz w:val="22"/>
          <w:lang w:val="en-US"/>
        </w:rPr>
        <w:t xml:space="preserve">is </w:t>
      </w:r>
      <w:r w:rsidR="002D0F67">
        <w:rPr>
          <w:rFonts w:ascii="Cambria" w:hAnsi="Cambria" w:cs="Times New Roman"/>
          <w:sz w:val="22"/>
          <w:lang w:val="en-US"/>
        </w:rPr>
        <w:t>known, the right of non-discr</w:t>
      </w:r>
      <w:r w:rsidR="00624ECA">
        <w:rPr>
          <w:rFonts w:ascii="Cambria" w:hAnsi="Cambria" w:cs="Times New Roman"/>
          <w:sz w:val="22"/>
          <w:lang w:val="en-US"/>
        </w:rPr>
        <w:t xml:space="preserve">imination, </w:t>
      </w:r>
      <w:r w:rsidR="00624ECA">
        <w:rPr>
          <w:rFonts w:ascii="Cambria" w:hAnsi="Cambria" w:cs="Times New Roman"/>
          <w:sz w:val="22"/>
          <w:lang w:val="en-US"/>
        </w:rPr>
        <w:lastRenderedPageBreak/>
        <w:t xml:space="preserve">being a </w:t>
      </w:r>
      <w:r w:rsidR="002D0F67">
        <w:rPr>
          <w:rFonts w:ascii="Cambria" w:hAnsi="Cambria" w:cs="Times New Roman"/>
          <w:sz w:val="22"/>
          <w:lang w:val="en-US"/>
        </w:rPr>
        <w:t xml:space="preserve">general principle of Union law, was accorded direct horizontal effect in </w:t>
      </w:r>
      <w:r w:rsidR="002D0F67" w:rsidRPr="002D0F67">
        <w:rPr>
          <w:rFonts w:ascii="Cambria" w:hAnsi="Cambria" w:cs="Times New Roman"/>
          <w:i/>
          <w:sz w:val="22"/>
          <w:lang w:val="en-US"/>
        </w:rPr>
        <w:t>Kücükdeveci</w:t>
      </w:r>
      <w:r w:rsidR="002D0F67">
        <w:rPr>
          <w:rFonts w:ascii="Cambria" w:hAnsi="Cambria" w:cs="Times New Roman"/>
          <w:sz w:val="22"/>
          <w:lang w:val="en-US"/>
        </w:rPr>
        <w:t>.</w:t>
      </w:r>
      <w:r w:rsidR="00F141CB">
        <w:rPr>
          <w:rStyle w:val="Voetnootmarkering"/>
          <w:rFonts w:ascii="Cambria" w:hAnsi="Cambria" w:cs="Times New Roman"/>
          <w:sz w:val="22"/>
          <w:lang w:val="en-US"/>
        </w:rPr>
        <w:footnoteReference w:id="114"/>
      </w:r>
      <w:r w:rsidR="002D0F67" w:rsidRPr="002D0F67">
        <w:rPr>
          <w:rFonts w:ascii="Cambria" w:hAnsi="Cambria" w:cs="Times New Roman"/>
          <w:sz w:val="22"/>
          <w:lang w:val="en-US"/>
        </w:rPr>
        <w:t xml:space="preserve"> </w:t>
      </w:r>
      <w:r w:rsidR="002D0F67">
        <w:rPr>
          <w:rFonts w:ascii="Cambria" w:hAnsi="Cambria" w:cs="Times New Roman"/>
          <w:sz w:val="22"/>
          <w:lang w:val="en-US"/>
        </w:rPr>
        <w:t xml:space="preserve">The Court </w:t>
      </w:r>
      <w:r w:rsidR="002F6F8A">
        <w:rPr>
          <w:rFonts w:ascii="Cambria" w:hAnsi="Cambria" w:cs="Times New Roman"/>
          <w:sz w:val="22"/>
          <w:lang w:val="en-US"/>
        </w:rPr>
        <w:t xml:space="preserve">now </w:t>
      </w:r>
      <w:r w:rsidR="002D0F67">
        <w:rPr>
          <w:rFonts w:ascii="Cambria" w:hAnsi="Cambria" w:cs="Times New Roman"/>
          <w:sz w:val="22"/>
          <w:lang w:val="en-US"/>
        </w:rPr>
        <w:t xml:space="preserve">seems to transpose this to the Charter’s right </w:t>
      </w:r>
      <w:r w:rsidR="002F6F8A">
        <w:rPr>
          <w:rFonts w:ascii="Cambria" w:hAnsi="Cambria" w:cs="Times New Roman"/>
          <w:sz w:val="22"/>
          <w:lang w:val="en-US"/>
        </w:rPr>
        <w:t>under</w:t>
      </w:r>
      <w:r w:rsidR="002D0F67">
        <w:rPr>
          <w:rFonts w:ascii="Cambria" w:hAnsi="Cambria" w:cs="Times New Roman"/>
          <w:sz w:val="22"/>
          <w:lang w:val="en-US"/>
        </w:rPr>
        <w:t xml:space="preserve"> </w:t>
      </w:r>
      <w:r w:rsidR="00FD60CC">
        <w:rPr>
          <w:rFonts w:ascii="Cambria" w:hAnsi="Cambria" w:cs="Times New Roman"/>
          <w:sz w:val="22"/>
          <w:lang w:val="en-US"/>
        </w:rPr>
        <w:t xml:space="preserve">Article 21(1). </w:t>
      </w:r>
      <w:r w:rsidR="00DA422D">
        <w:rPr>
          <w:rFonts w:ascii="Cambria" w:hAnsi="Cambria" w:cs="Times New Roman"/>
          <w:sz w:val="22"/>
          <w:lang w:val="en-US"/>
        </w:rPr>
        <w:t>Strictly spea</w:t>
      </w:r>
      <w:r w:rsidR="00624ECA">
        <w:rPr>
          <w:rFonts w:ascii="Cambria" w:hAnsi="Cambria" w:cs="Times New Roman"/>
          <w:sz w:val="22"/>
          <w:lang w:val="en-US"/>
        </w:rPr>
        <w:softHyphen/>
      </w:r>
      <w:r w:rsidR="00DA422D">
        <w:rPr>
          <w:rFonts w:ascii="Cambria" w:hAnsi="Cambria" w:cs="Times New Roman"/>
          <w:sz w:val="22"/>
          <w:lang w:val="en-US"/>
        </w:rPr>
        <w:t>king, the</w:t>
      </w:r>
      <w:r w:rsidR="00BB619B">
        <w:rPr>
          <w:rFonts w:ascii="Cambria" w:hAnsi="Cambria" w:cs="Times New Roman"/>
          <w:sz w:val="22"/>
          <w:lang w:val="en-US"/>
        </w:rPr>
        <w:t xml:space="preserve"> </w:t>
      </w:r>
      <w:r w:rsidR="00DA422D">
        <w:rPr>
          <w:rFonts w:ascii="Cambria" w:hAnsi="Cambria" w:cs="Times New Roman"/>
          <w:sz w:val="22"/>
          <w:lang w:val="en-US"/>
        </w:rPr>
        <w:t xml:space="preserve">consideration </w:t>
      </w:r>
      <w:r w:rsidR="00BB619B">
        <w:rPr>
          <w:rFonts w:ascii="Cambria" w:hAnsi="Cambria" w:cs="Times New Roman"/>
          <w:sz w:val="22"/>
          <w:lang w:val="en-US"/>
        </w:rPr>
        <w:t xml:space="preserve">sees </w:t>
      </w:r>
      <w:r w:rsidR="00DA422D">
        <w:rPr>
          <w:rFonts w:ascii="Cambria" w:hAnsi="Cambria" w:cs="Times New Roman"/>
          <w:sz w:val="22"/>
          <w:lang w:val="en-US"/>
        </w:rPr>
        <w:t xml:space="preserve">only </w:t>
      </w:r>
      <w:r w:rsidR="00BB619B">
        <w:rPr>
          <w:rFonts w:ascii="Cambria" w:hAnsi="Cambria" w:cs="Times New Roman"/>
          <w:sz w:val="22"/>
          <w:lang w:val="en-US"/>
        </w:rPr>
        <w:t xml:space="preserve">to the direct effect of </w:t>
      </w:r>
      <w:r w:rsidR="00624ECA">
        <w:rPr>
          <w:rFonts w:ascii="Cambria" w:hAnsi="Cambria" w:cs="Times New Roman"/>
          <w:sz w:val="22"/>
          <w:lang w:val="en-US"/>
        </w:rPr>
        <w:t xml:space="preserve">Article 21(1) </w:t>
      </w:r>
      <w:r w:rsidR="00BB619B">
        <w:rPr>
          <w:rFonts w:ascii="Cambria" w:hAnsi="Cambria" w:cs="Times New Roman"/>
          <w:sz w:val="22"/>
          <w:lang w:val="en-US"/>
        </w:rPr>
        <w:t>and</w:t>
      </w:r>
      <w:r w:rsidR="002F6F8A">
        <w:rPr>
          <w:rFonts w:ascii="Cambria" w:hAnsi="Cambria" w:cs="Times New Roman"/>
          <w:sz w:val="22"/>
          <w:lang w:val="en-US"/>
        </w:rPr>
        <w:t xml:space="preserve"> does</w:t>
      </w:r>
      <w:r w:rsidR="00BB619B">
        <w:rPr>
          <w:rFonts w:ascii="Cambria" w:hAnsi="Cambria" w:cs="Times New Roman"/>
          <w:sz w:val="22"/>
          <w:lang w:val="en-US"/>
        </w:rPr>
        <w:t xml:space="preserve"> not neces</w:t>
      </w:r>
      <w:r w:rsidR="00DA422D">
        <w:rPr>
          <w:rFonts w:ascii="Cambria" w:hAnsi="Cambria" w:cs="Times New Roman"/>
          <w:sz w:val="22"/>
          <w:lang w:val="en-US"/>
        </w:rPr>
        <w:softHyphen/>
      </w:r>
      <w:r w:rsidR="00BB619B">
        <w:rPr>
          <w:rFonts w:ascii="Cambria" w:hAnsi="Cambria" w:cs="Times New Roman"/>
          <w:sz w:val="22"/>
          <w:lang w:val="en-US"/>
        </w:rPr>
        <w:t>sarily</w:t>
      </w:r>
      <w:r w:rsidR="00DA422D">
        <w:rPr>
          <w:rFonts w:ascii="Cambria" w:hAnsi="Cambria" w:cs="Times New Roman"/>
          <w:sz w:val="22"/>
          <w:lang w:val="en-US"/>
        </w:rPr>
        <w:t xml:space="preserve"> </w:t>
      </w:r>
      <w:r w:rsidR="002F6F8A">
        <w:rPr>
          <w:rFonts w:ascii="Cambria" w:hAnsi="Cambria" w:cs="Times New Roman"/>
          <w:sz w:val="22"/>
          <w:lang w:val="en-US"/>
        </w:rPr>
        <w:t xml:space="preserve">also </w:t>
      </w:r>
      <w:r w:rsidR="00624ECA">
        <w:rPr>
          <w:rFonts w:ascii="Cambria" w:hAnsi="Cambria" w:cs="Times New Roman"/>
          <w:sz w:val="22"/>
          <w:lang w:val="en-US"/>
        </w:rPr>
        <w:t xml:space="preserve">include </w:t>
      </w:r>
      <w:r w:rsidR="00DA422D">
        <w:rPr>
          <w:rFonts w:ascii="Cambria" w:hAnsi="Cambria" w:cs="Times New Roman"/>
          <w:sz w:val="22"/>
          <w:lang w:val="en-US"/>
        </w:rPr>
        <w:t xml:space="preserve">its </w:t>
      </w:r>
      <w:r w:rsidR="00BB619B">
        <w:rPr>
          <w:rFonts w:ascii="Cambria" w:hAnsi="Cambria" w:cs="Times New Roman"/>
          <w:sz w:val="22"/>
          <w:lang w:val="en-US"/>
        </w:rPr>
        <w:t>horizontal effect. Nevertheless, the consideration</w:t>
      </w:r>
      <w:r w:rsidR="00DA422D">
        <w:rPr>
          <w:rFonts w:ascii="Cambria" w:hAnsi="Cambria" w:cs="Times New Roman"/>
          <w:sz w:val="22"/>
          <w:lang w:val="en-US"/>
        </w:rPr>
        <w:t xml:space="preserve"> is </w:t>
      </w:r>
      <w:r w:rsidR="002F6F8A">
        <w:rPr>
          <w:rFonts w:ascii="Cambria" w:hAnsi="Cambria" w:cs="Times New Roman"/>
          <w:sz w:val="22"/>
          <w:lang w:val="en-US"/>
        </w:rPr>
        <w:t>laid</w:t>
      </w:r>
      <w:r w:rsidR="00624ECA">
        <w:rPr>
          <w:rFonts w:ascii="Cambria" w:hAnsi="Cambria" w:cs="Times New Roman"/>
          <w:sz w:val="22"/>
          <w:lang w:val="en-US"/>
        </w:rPr>
        <w:t xml:space="preserve"> down</w:t>
      </w:r>
      <w:r w:rsidR="00DA422D">
        <w:rPr>
          <w:rFonts w:ascii="Cambria" w:hAnsi="Cambria" w:cs="Times New Roman"/>
          <w:sz w:val="22"/>
          <w:lang w:val="en-US"/>
        </w:rPr>
        <w:t xml:space="preserve"> in the context of </w:t>
      </w:r>
      <w:r w:rsidR="003278D1">
        <w:rPr>
          <w:rFonts w:ascii="Cambria" w:hAnsi="Cambria" w:cs="Times New Roman"/>
          <w:sz w:val="22"/>
          <w:lang w:val="en-US"/>
        </w:rPr>
        <w:t>ascer</w:t>
      </w:r>
      <w:r w:rsidR="003278D1">
        <w:rPr>
          <w:rFonts w:ascii="Cambria" w:hAnsi="Cambria" w:cs="Times New Roman"/>
          <w:sz w:val="22"/>
          <w:lang w:val="en-US"/>
        </w:rPr>
        <w:softHyphen/>
        <w:t>taining</w:t>
      </w:r>
      <w:r w:rsidR="00DA422D">
        <w:rPr>
          <w:rFonts w:ascii="Cambria" w:hAnsi="Cambria" w:cs="Times New Roman"/>
          <w:sz w:val="22"/>
          <w:lang w:val="en-US"/>
        </w:rPr>
        <w:t xml:space="preserve"> whether Article 27, similar to </w:t>
      </w:r>
      <w:r w:rsidR="00DA422D" w:rsidRPr="00DA422D">
        <w:rPr>
          <w:rFonts w:ascii="Cambria" w:hAnsi="Cambria" w:cs="Times New Roman"/>
          <w:i/>
          <w:sz w:val="22"/>
          <w:lang w:val="en-US"/>
        </w:rPr>
        <w:t>Kücükdeveci</w:t>
      </w:r>
      <w:r w:rsidR="00DA422D">
        <w:rPr>
          <w:rFonts w:ascii="Cambria" w:hAnsi="Cambria" w:cs="Times New Roman"/>
          <w:sz w:val="22"/>
          <w:lang w:val="en-US"/>
        </w:rPr>
        <w:t xml:space="preserve">, </w:t>
      </w:r>
      <w:r w:rsidR="00DA422D" w:rsidRPr="00DA422D">
        <w:rPr>
          <w:rFonts w:ascii="Cambria" w:hAnsi="Cambria" w:cs="Times New Roman"/>
          <w:sz w:val="22"/>
          <w:lang w:val="en-US"/>
        </w:rPr>
        <w:t>can be invoked in a dis</w:t>
      </w:r>
      <w:r w:rsidR="00B329CA">
        <w:rPr>
          <w:rFonts w:ascii="Cambria" w:hAnsi="Cambria" w:cs="Times New Roman"/>
          <w:sz w:val="22"/>
          <w:lang w:val="en-US"/>
        </w:rPr>
        <w:softHyphen/>
      </w:r>
      <w:r w:rsidR="00DA422D" w:rsidRPr="00DA422D">
        <w:rPr>
          <w:rFonts w:ascii="Cambria" w:hAnsi="Cambria" w:cs="Times New Roman"/>
          <w:sz w:val="22"/>
          <w:lang w:val="en-US"/>
        </w:rPr>
        <w:t>pute between indivi</w:t>
      </w:r>
      <w:r w:rsidR="00624ECA">
        <w:rPr>
          <w:rFonts w:ascii="Cambria" w:hAnsi="Cambria" w:cs="Times New Roman"/>
          <w:sz w:val="22"/>
          <w:lang w:val="en-US"/>
        </w:rPr>
        <w:softHyphen/>
      </w:r>
      <w:r w:rsidR="00DA422D" w:rsidRPr="00DA422D">
        <w:rPr>
          <w:rFonts w:ascii="Cambria" w:hAnsi="Cambria" w:cs="Times New Roman"/>
          <w:sz w:val="22"/>
          <w:lang w:val="en-US"/>
        </w:rPr>
        <w:t>duals</w:t>
      </w:r>
      <w:r w:rsidR="00FD60CC">
        <w:rPr>
          <w:rFonts w:ascii="Cambria" w:hAnsi="Cambria" w:cs="Times New Roman"/>
          <w:sz w:val="22"/>
          <w:lang w:val="en-US"/>
        </w:rPr>
        <w:t>. Furth</w:t>
      </w:r>
      <w:r w:rsidR="00DA422D">
        <w:rPr>
          <w:rFonts w:ascii="Cambria" w:hAnsi="Cambria" w:cs="Times New Roman"/>
          <w:sz w:val="22"/>
          <w:lang w:val="en-US"/>
        </w:rPr>
        <w:t>er</w:t>
      </w:r>
      <w:r w:rsidR="00FD60CC">
        <w:rPr>
          <w:rFonts w:ascii="Cambria" w:hAnsi="Cambria" w:cs="Times New Roman"/>
          <w:sz w:val="22"/>
          <w:lang w:val="en-US"/>
        </w:rPr>
        <w:softHyphen/>
      </w:r>
      <w:r w:rsidR="00DA422D">
        <w:rPr>
          <w:rFonts w:ascii="Cambria" w:hAnsi="Cambria" w:cs="Times New Roman"/>
          <w:sz w:val="22"/>
          <w:lang w:val="en-US"/>
        </w:rPr>
        <w:t xml:space="preserve">more, </w:t>
      </w:r>
      <w:r w:rsidR="00B329CA">
        <w:rPr>
          <w:rFonts w:ascii="Cambria" w:hAnsi="Cambria" w:cs="Times New Roman"/>
          <w:sz w:val="22"/>
          <w:lang w:val="en-US"/>
        </w:rPr>
        <w:t>it appears highly problematic when the right of non-discri</w:t>
      </w:r>
      <w:r w:rsidR="00624ECA">
        <w:rPr>
          <w:rFonts w:ascii="Cambria" w:hAnsi="Cambria" w:cs="Times New Roman"/>
          <w:sz w:val="22"/>
          <w:lang w:val="en-US"/>
        </w:rPr>
        <w:softHyphen/>
        <w:t xml:space="preserve">mination </w:t>
      </w:r>
      <w:r w:rsidR="00B329CA">
        <w:rPr>
          <w:rFonts w:ascii="Cambria" w:hAnsi="Cambria" w:cs="Times New Roman"/>
          <w:sz w:val="22"/>
          <w:lang w:val="en-US"/>
        </w:rPr>
        <w:t xml:space="preserve">in its </w:t>
      </w:r>
      <w:r w:rsidR="002F6F8A">
        <w:rPr>
          <w:rFonts w:ascii="Cambria" w:hAnsi="Cambria" w:cs="Times New Roman"/>
          <w:sz w:val="22"/>
          <w:lang w:val="en-US"/>
        </w:rPr>
        <w:t>guise as a</w:t>
      </w:r>
      <w:r w:rsidR="00B329CA">
        <w:rPr>
          <w:rFonts w:ascii="Cambria" w:hAnsi="Cambria" w:cs="Times New Roman"/>
          <w:sz w:val="22"/>
          <w:lang w:val="en-US"/>
        </w:rPr>
        <w:t xml:space="preserve"> general principle would have horizontal effect</w:t>
      </w:r>
      <w:r w:rsidR="00624ECA">
        <w:rPr>
          <w:rFonts w:ascii="Cambria" w:hAnsi="Cambria" w:cs="Times New Roman"/>
          <w:sz w:val="22"/>
          <w:lang w:val="en-US"/>
        </w:rPr>
        <w:t xml:space="preserve">, but not </w:t>
      </w:r>
      <w:r w:rsidR="00FD60CC">
        <w:rPr>
          <w:rFonts w:ascii="Cambria" w:hAnsi="Cambria" w:cs="Times New Roman"/>
          <w:sz w:val="22"/>
          <w:lang w:val="en-US"/>
        </w:rPr>
        <w:t xml:space="preserve">so </w:t>
      </w:r>
      <w:r w:rsidR="00624ECA">
        <w:rPr>
          <w:rFonts w:ascii="Cambria" w:hAnsi="Cambria" w:cs="Times New Roman"/>
          <w:sz w:val="22"/>
          <w:lang w:val="en-US"/>
        </w:rPr>
        <w:t xml:space="preserve">when it forms a Charter right. </w:t>
      </w:r>
    </w:p>
    <w:p w:rsidR="009B7658" w:rsidRDefault="009B7658" w:rsidP="00195BE4">
      <w:pPr>
        <w:spacing w:after="0" w:line="240" w:lineRule="auto"/>
        <w:jc w:val="both"/>
        <w:rPr>
          <w:rFonts w:ascii="Cambria" w:hAnsi="Cambria" w:cs="Times New Roman"/>
          <w:sz w:val="22"/>
          <w:lang w:val="en-US"/>
        </w:rPr>
      </w:pPr>
    </w:p>
    <w:p w:rsidR="00E850FE" w:rsidRDefault="004E41EE" w:rsidP="00195BE4">
      <w:pPr>
        <w:spacing w:after="0" w:line="240" w:lineRule="auto"/>
        <w:jc w:val="both"/>
        <w:rPr>
          <w:rFonts w:ascii="Cambria" w:hAnsi="Cambria" w:cs="Times New Roman"/>
          <w:sz w:val="22"/>
          <w:lang w:val="en-US"/>
        </w:rPr>
      </w:pPr>
      <w:r>
        <w:rPr>
          <w:rFonts w:ascii="Cambria" w:hAnsi="Cambria" w:cs="Times New Roman"/>
          <w:sz w:val="22"/>
          <w:lang w:val="en-US"/>
        </w:rPr>
        <w:t>To sum up, the Charter</w:t>
      </w:r>
      <w:r w:rsidR="008A3AF1">
        <w:rPr>
          <w:rFonts w:ascii="Cambria" w:hAnsi="Cambria" w:cs="Times New Roman"/>
          <w:sz w:val="22"/>
          <w:lang w:val="en-US"/>
        </w:rPr>
        <w:t xml:space="preserve"> </w:t>
      </w:r>
      <w:r w:rsidR="00E45E0F">
        <w:rPr>
          <w:rFonts w:ascii="Cambria" w:hAnsi="Cambria" w:cs="Times New Roman"/>
          <w:sz w:val="22"/>
          <w:lang w:val="en-US"/>
        </w:rPr>
        <w:t xml:space="preserve">reaffirms the general public interests of the Union and </w:t>
      </w:r>
      <w:r w:rsidR="008A3AF1">
        <w:rPr>
          <w:rFonts w:ascii="Cambria" w:hAnsi="Cambria" w:cs="Times New Roman"/>
          <w:sz w:val="22"/>
          <w:lang w:val="en-US"/>
        </w:rPr>
        <w:t xml:space="preserve">is innovative </w:t>
      </w:r>
      <w:r w:rsidR="00E45E0F">
        <w:rPr>
          <w:rFonts w:ascii="Cambria" w:hAnsi="Cambria" w:cs="Times New Roman"/>
          <w:sz w:val="22"/>
          <w:lang w:val="en-US"/>
        </w:rPr>
        <w:t xml:space="preserve">in that is places social rights and economic freedoms </w:t>
      </w:r>
      <w:r w:rsidR="005C21E6">
        <w:rPr>
          <w:rFonts w:ascii="Cambria" w:hAnsi="Cambria" w:cs="Times New Roman"/>
          <w:sz w:val="22"/>
          <w:lang w:val="en-US"/>
        </w:rPr>
        <w:t>on</w:t>
      </w:r>
      <w:r w:rsidR="00E45E0F">
        <w:rPr>
          <w:rFonts w:ascii="Cambria" w:hAnsi="Cambria" w:cs="Times New Roman"/>
          <w:sz w:val="22"/>
          <w:lang w:val="en-US"/>
        </w:rPr>
        <w:t xml:space="preserve"> an equal footing. </w:t>
      </w:r>
      <w:r w:rsidR="005C21E6">
        <w:rPr>
          <w:rFonts w:ascii="Cambria" w:hAnsi="Cambria" w:cs="Times New Roman"/>
          <w:sz w:val="22"/>
          <w:lang w:val="en-US"/>
        </w:rPr>
        <w:t>Whether</w:t>
      </w:r>
      <w:r w:rsidR="00E45E0F">
        <w:rPr>
          <w:rFonts w:ascii="Cambria" w:hAnsi="Cambria" w:cs="Times New Roman"/>
          <w:sz w:val="22"/>
          <w:lang w:val="en-US"/>
        </w:rPr>
        <w:t xml:space="preserve"> it rebalances social and economic values compar</w:t>
      </w:r>
      <w:r w:rsidR="000971C1">
        <w:rPr>
          <w:rFonts w:ascii="Cambria" w:hAnsi="Cambria" w:cs="Times New Roman"/>
          <w:sz w:val="22"/>
          <w:lang w:val="en-US"/>
        </w:rPr>
        <w:t xml:space="preserve">ed to the way they are handled </w:t>
      </w:r>
      <w:r w:rsidR="00E45E0F">
        <w:rPr>
          <w:rFonts w:ascii="Cambria" w:hAnsi="Cambria" w:cs="Times New Roman"/>
          <w:sz w:val="22"/>
          <w:lang w:val="en-US"/>
        </w:rPr>
        <w:t>in the free movement jurisprudence, re</w:t>
      </w:r>
      <w:r w:rsidR="00E45E0F">
        <w:rPr>
          <w:rFonts w:ascii="Cambria" w:hAnsi="Cambria" w:cs="Times New Roman"/>
          <w:sz w:val="22"/>
          <w:lang w:val="en-US"/>
        </w:rPr>
        <w:softHyphen/>
        <w:t>mains to be seen</w:t>
      </w:r>
      <w:r w:rsidR="005C21E6">
        <w:rPr>
          <w:rFonts w:ascii="Cambria" w:hAnsi="Cambria" w:cs="Times New Roman"/>
          <w:sz w:val="22"/>
          <w:lang w:val="en-US"/>
        </w:rPr>
        <w:t>,</w:t>
      </w:r>
      <w:r w:rsidR="00E45E0F">
        <w:rPr>
          <w:rFonts w:ascii="Cambria" w:hAnsi="Cambria" w:cs="Times New Roman"/>
          <w:sz w:val="22"/>
          <w:lang w:val="en-US"/>
        </w:rPr>
        <w:t xml:space="preserve"> however</w:t>
      </w:r>
      <w:r w:rsidR="00FC11EF">
        <w:rPr>
          <w:rFonts w:ascii="Cambria" w:hAnsi="Cambria" w:cs="Times New Roman"/>
          <w:sz w:val="22"/>
          <w:lang w:val="en-US"/>
        </w:rPr>
        <w:t xml:space="preserve">. Some hurdles have to be taken, like in respect of the distinction </w:t>
      </w:r>
      <w:r w:rsidR="005C21E6">
        <w:rPr>
          <w:rFonts w:ascii="Cambria" w:hAnsi="Cambria" w:cs="Times New Roman"/>
          <w:sz w:val="22"/>
          <w:lang w:val="en-US"/>
        </w:rPr>
        <w:t>between</w:t>
      </w:r>
      <w:r w:rsidR="00FC11EF">
        <w:rPr>
          <w:rFonts w:ascii="Cambria" w:hAnsi="Cambria" w:cs="Times New Roman"/>
          <w:sz w:val="22"/>
          <w:lang w:val="en-US"/>
        </w:rPr>
        <w:t xml:space="preserve"> ‘rights’ and ‘principl</w:t>
      </w:r>
      <w:r w:rsidR="00065F9B">
        <w:rPr>
          <w:rFonts w:ascii="Cambria" w:hAnsi="Cambria" w:cs="Times New Roman"/>
          <w:sz w:val="22"/>
          <w:lang w:val="en-US"/>
        </w:rPr>
        <w:t>e</w:t>
      </w:r>
      <w:r w:rsidR="00FC11EF">
        <w:rPr>
          <w:rFonts w:ascii="Cambria" w:hAnsi="Cambria" w:cs="Times New Roman"/>
          <w:sz w:val="22"/>
          <w:lang w:val="en-US"/>
        </w:rPr>
        <w:t xml:space="preserve">s’ and direct and horizontal effect. The </w:t>
      </w:r>
      <w:r w:rsidR="00FC11EF" w:rsidRPr="000971C1">
        <w:rPr>
          <w:rFonts w:ascii="Cambria" w:hAnsi="Cambria" w:cs="Times New Roman"/>
          <w:i/>
          <w:sz w:val="22"/>
          <w:lang w:val="en-US"/>
        </w:rPr>
        <w:t>AMS</w:t>
      </w:r>
      <w:r w:rsidR="00FC11EF">
        <w:rPr>
          <w:rFonts w:ascii="Cambria" w:hAnsi="Cambria" w:cs="Times New Roman"/>
          <w:sz w:val="22"/>
          <w:lang w:val="en-US"/>
        </w:rPr>
        <w:t xml:space="preserve"> case might </w:t>
      </w:r>
      <w:r w:rsidR="005C21E6">
        <w:rPr>
          <w:rFonts w:ascii="Cambria" w:hAnsi="Cambria" w:cs="Times New Roman"/>
          <w:sz w:val="22"/>
          <w:lang w:val="en-US"/>
        </w:rPr>
        <w:t>give rise to a</w:t>
      </w:r>
      <w:r w:rsidR="00FC11EF">
        <w:rPr>
          <w:rFonts w:ascii="Cambria" w:hAnsi="Cambria" w:cs="Times New Roman"/>
          <w:sz w:val="22"/>
          <w:lang w:val="en-US"/>
        </w:rPr>
        <w:t xml:space="preserve"> hope that the Court will assess direct (and horizontal) effect on the wording of the particular Charter right, irrespective of the category it belong</w:t>
      </w:r>
      <w:r w:rsidR="00A8000F">
        <w:rPr>
          <w:rFonts w:ascii="Cambria" w:hAnsi="Cambria" w:cs="Times New Roman"/>
          <w:sz w:val="22"/>
          <w:lang w:val="en-US"/>
        </w:rPr>
        <w:t>s</w:t>
      </w:r>
      <w:r w:rsidR="00FC11EF">
        <w:rPr>
          <w:rFonts w:ascii="Cambria" w:hAnsi="Cambria" w:cs="Times New Roman"/>
          <w:sz w:val="22"/>
          <w:lang w:val="en-US"/>
        </w:rPr>
        <w:t xml:space="preserve"> to. Still, the </w:t>
      </w:r>
      <w:r w:rsidR="00E850FE" w:rsidRPr="00E850FE">
        <w:rPr>
          <w:rFonts w:ascii="Cambria" w:hAnsi="Cambria" w:cs="Times New Roman"/>
          <w:sz w:val="22"/>
          <w:lang w:val="en-US"/>
        </w:rPr>
        <w:t>miscellaneous set of rights</w:t>
      </w:r>
      <w:r w:rsidR="00E850FE">
        <w:rPr>
          <w:rFonts w:ascii="Cambria" w:hAnsi="Cambria" w:cs="Times New Roman"/>
          <w:sz w:val="22"/>
          <w:lang w:val="en-US"/>
        </w:rPr>
        <w:t xml:space="preserve"> contained </w:t>
      </w:r>
      <w:r w:rsidR="00065F9B">
        <w:rPr>
          <w:rFonts w:ascii="Cambria" w:hAnsi="Cambria" w:cs="Times New Roman"/>
          <w:sz w:val="22"/>
          <w:lang w:val="en-US"/>
        </w:rPr>
        <w:t>in</w:t>
      </w:r>
      <w:r w:rsidR="00E850FE">
        <w:rPr>
          <w:rFonts w:ascii="Cambria" w:hAnsi="Cambria" w:cs="Times New Roman"/>
          <w:sz w:val="22"/>
          <w:lang w:val="en-US"/>
        </w:rPr>
        <w:t xml:space="preserve"> the Charter, including economic freedoms raised to the level of human rights, offers the Court the possibility to selective</w:t>
      </w:r>
      <w:r w:rsidR="000B7021">
        <w:rPr>
          <w:rFonts w:ascii="Cambria" w:hAnsi="Cambria" w:cs="Times New Roman"/>
          <w:sz w:val="22"/>
          <w:lang w:val="en-US"/>
        </w:rPr>
        <w:t>ly</w:t>
      </w:r>
      <w:r w:rsidR="00E850FE">
        <w:rPr>
          <w:rFonts w:ascii="Cambria" w:hAnsi="Cambria" w:cs="Times New Roman"/>
          <w:sz w:val="22"/>
          <w:lang w:val="en-US"/>
        </w:rPr>
        <w:t xml:space="preserve"> rely on the Charter</w:t>
      </w:r>
      <w:r w:rsidR="000B7021">
        <w:rPr>
          <w:rFonts w:ascii="Cambria" w:hAnsi="Cambria" w:cs="Times New Roman"/>
          <w:sz w:val="22"/>
          <w:lang w:val="en-US"/>
        </w:rPr>
        <w:t>,</w:t>
      </w:r>
      <w:r w:rsidR="00E850FE">
        <w:rPr>
          <w:rFonts w:ascii="Cambria" w:hAnsi="Cambria" w:cs="Times New Roman"/>
          <w:sz w:val="22"/>
          <w:lang w:val="en-US"/>
        </w:rPr>
        <w:t xml:space="preserve"> when interpreting European or national social policy </w:t>
      </w:r>
      <w:r w:rsidR="000B7021">
        <w:rPr>
          <w:rFonts w:ascii="Cambria" w:hAnsi="Cambria" w:cs="Times New Roman"/>
          <w:sz w:val="22"/>
          <w:lang w:val="en-US"/>
        </w:rPr>
        <w:t>regula</w:t>
      </w:r>
      <w:r w:rsidR="000B7021">
        <w:rPr>
          <w:rFonts w:ascii="Cambria" w:hAnsi="Cambria" w:cs="Times New Roman"/>
          <w:sz w:val="22"/>
          <w:lang w:val="en-US"/>
        </w:rPr>
        <w:softHyphen/>
        <w:t xml:space="preserve">tion that </w:t>
      </w:r>
      <w:r w:rsidR="00E850FE">
        <w:rPr>
          <w:rFonts w:ascii="Cambria" w:hAnsi="Cambria" w:cs="Times New Roman"/>
          <w:sz w:val="22"/>
          <w:lang w:val="en-US"/>
        </w:rPr>
        <w:t xml:space="preserve">disagrees with economic </w:t>
      </w:r>
      <w:r w:rsidR="005C4CCA">
        <w:rPr>
          <w:rFonts w:ascii="Cambria" w:hAnsi="Cambria" w:cs="Times New Roman"/>
          <w:sz w:val="22"/>
          <w:lang w:val="en-US"/>
        </w:rPr>
        <w:t xml:space="preserve">values. </w:t>
      </w:r>
      <w:r w:rsidR="000971C1">
        <w:rPr>
          <w:rFonts w:ascii="Cambria" w:hAnsi="Cambria" w:cs="Times New Roman"/>
          <w:sz w:val="22"/>
          <w:lang w:val="en-US"/>
        </w:rPr>
        <w:t xml:space="preserve">In </w:t>
      </w:r>
      <w:r w:rsidR="00FA74B2">
        <w:rPr>
          <w:rFonts w:ascii="Cambria" w:hAnsi="Cambria" w:cs="Times New Roman"/>
          <w:sz w:val="22"/>
          <w:lang w:val="en-US"/>
        </w:rPr>
        <w:t xml:space="preserve">cases in which fundamental freedoms are relied upon by economic actors the Charter </w:t>
      </w:r>
      <w:r w:rsidR="005C21E6">
        <w:rPr>
          <w:rFonts w:ascii="Cambria" w:hAnsi="Cambria" w:cs="Times New Roman"/>
          <w:sz w:val="22"/>
          <w:lang w:val="en-US"/>
        </w:rPr>
        <w:t>is</w:t>
      </w:r>
      <w:r w:rsidR="00FA74B2">
        <w:rPr>
          <w:rFonts w:ascii="Cambria" w:hAnsi="Cambria" w:cs="Times New Roman"/>
          <w:sz w:val="22"/>
          <w:lang w:val="en-US"/>
        </w:rPr>
        <w:t xml:space="preserve"> not </w:t>
      </w:r>
      <w:r w:rsidR="005C4CCA">
        <w:rPr>
          <w:rFonts w:ascii="Cambria" w:hAnsi="Cambria" w:cs="Times New Roman"/>
          <w:sz w:val="22"/>
          <w:lang w:val="en-US"/>
        </w:rPr>
        <w:t>likely</w:t>
      </w:r>
      <w:r w:rsidR="005C21E6">
        <w:rPr>
          <w:rFonts w:ascii="Cambria" w:hAnsi="Cambria" w:cs="Times New Roman"/>
          <w:sz w:val="22"/>
          <w:lang w:val="en-US"/>
        </w:rPr>
        <w:t xml:space="preserve"> to</w:t>
      </w:r>
      <w:r w:rsidR="005C4CCA">
        <w:rPr>
          <w:rFonts w:ascii="Cambria" w:hAnsi="Cambria" w:cs="Times New Roman"/>
          <w:sz w:val="22"/>
          <w:lang w:val="en-US"/>
        </w:rPr>
        <w:t xml:space="preserve"> </w:t>
      </w:r>
      <w:r w:rsidR="00FA74B2">
        <w:rPr>
          <w:rFonts w:ascii="Cambria" w:hAnsi="Cambria" w:cs="Times New Roman"/>
          <w:sz w:val="22"/>
          <w:lang w:val="en-US"/>
        </w:rPr>
        <w:t xml:space="preserve">change the traditional scheme for assessing national measures in the light of free movement. </w:t>
      </w:r>
      <w:r w:rsidR="005C4CCA">
        <w:rPr>
          <w:rFonts w:ascii="Cambria" w:hAnsi="Cambria" w:cs="Times New Roman"/>
          <w:sz w:val="22"/>
          <w:lang w:val="en-US"/>
        </w:rPr>
        <w:t xml:space="preserve">It can even be doubted whether this scheme </w:t>
      </w:r>
      <w:r w:rsidR="00FA74B2">
        <w:rPr>
          <w:rFonts w:ascii="Cambria" w:hAnsi="Cambria" w:cs="Times New Roman"/>
          <w:sz w:val="22"/>
          <w:lang w:val="en-US"/>
        </w:rPr>
        <w:t>is upset in cases in which trade unions</w:t>
      </w:r>
      <w:r w:rsidR="005C21E6">
        <w:rPr>
          <w:rFonts w:ascii="Cambria" w:hAnsi="Cambria" w:cs="Times New Roman"/>
          <w:sz w:val="22"/>
          <w:lang w:val="en-US"/>
        </w:rPr>
        <w:t>,</w:t>
      </w:r>
      <w:r w:rsidR="00FA74B2">
        <w:rPr>
          <w:rFonts w:ascii="Cambria" w:hAnsi="Cambria" w:cs="Times New Roman"/>
          <w:sz w:val="22"/>
          <w:lang w:val="en-US"/>
        </w:rPr>
        <w:t xml:space="preserve"> </w:t>
      </w:r>
      <w:r w:rsidR="005C4CCA">
        <w:rPr>
          <w:rFonts w:ascii="Cambria" w:hAnsi="Cambria" w:cs="Times New Roman"/>
          <w:sz w:val="22"/>
          <w:lang w:val="en-US"/>
        </w:rPr>
        <w:t>for instance</w:t>
      </w:r>
      <w:r w:rsidR="005C21E6">
        <w:rPr>
          <w:rFonts w:ascii="Cambria" w:hAnsi="Cambria" w:cs="Times New Roman"/>
          <w:sz w:val="22"/>
          <w:lang w:val="en-US"/>
        </w:rPr>
        <w:t>,</w:t>
      </w:r>
      <w:r w:rsidR="005C4CCA">
        <w:rPr>
          <w:rFonts w:ascii="Cambria" w:hAnsi="Cambria" w:cs="Times New Roman"/>
          <w:sz w:val="22"/>
          <w:lang w:val="en-US"/>
        </w:rPr>
        <w:t xml:space="preserve"> </w:t>
      </w:r>
      <w:r w:rsidR="00FA74B2">
        <w:rPr>
          <w:rFonts w:ascii="Cambria" w:hAnsi="Cambria" w:cs="Times New Roman"/>
          <w:sz w:val="22"/>
          <w:lang w:val="en-US"/>
        </w:rPr>
        <w:t xml:space="preserve">would rely on the </w:t>
      </w:r>
      <w:r w:rsidR="005C4CCA">
        <w:rPr>
          <w:rFonts w:ascii="Cambria" w:hAnsi="Cambria" w:cs="Times New Roman"/>
          <w:sz w:val="22"/>
          <w:lang w:val="en-US"/>
        </w:rPr>
        <w:t xml:space="preserve">Charter’s right to collective bargaining </w:t>
      </w:r>
      <w:r w:rsidR="00FA74B2">
        <w:rPr>
          <w:rFonts w:ascii="Cambria" w:hAnsi="Cambria" w:cs="Times New Roman"/>
          <w:sz w:val="22"/>
          <w:lang w:val="en-US"/>
        </w:rPr>
        <w:t xml:space="preserve">to set </w:t>
      </w:r>
      <w:r w:rsidR="005C21E6">
        <w:rPr>
          <w:rFonts w:ascii="Cambria" w:hAnsi="Cambria" w:cs="Times New Roman"/>
          <w:sz w:val="22"/>
          <w:lang w:val="en-US"/>
        </w:rPr>
        <w:t>aside</w:t>
      </w:r>
      <w:r w:rsidR="00FA74B2">
        <w:rPr>
          <w:rFonts w:ascii="Cambria" w:hAnsi="Cambria" w:cs="Times New Roman"/>
          <w:sz w:val="22"/>
          <w:lang w:val="en-US"/>
        </w:rPr>
        <w:t xml:space="preserve"> national acts giving effect to the Viking &amp; Laval jurisprudence.</w:t>
      </w:r>
    </w:p>
    <w:p w:rsidR="00E850FE" w:rsidRDefault="00E850FE" w:rsidP="00195BE4">
      <w:pPr>
        <w:spacing w:after="0" w:line="240" w:lineRule="auto"/>
        <w:jc w:val="both"/>
        <w:rPr>
          <w:rFonts w:ascii="Cambria" w:hAnsi="Cambria" w:cs="Times New Roman"/>
          <w:sz w:val="22"/>
          <w:lang w:val="en-US"/>
        </w:rPr>
      </w:pPr>
    </w:p>
    <w:p w:rsidR="009B7658" w:rsidRDefault="009B7658" w:rsidP="00195BE4">
      <w:pPr>
        <w:spacing w:after="0" w:line="240" w:lineRule="auto"/>
        <w:jc w:val="both"/>
        <w:rPr>
          <w:rFonts w:ascii="Cambria" w:hAnsi="Cambria" w:cs="Times New Roman"/>
          <w:sz w:val="22"/>
          <w:lang w:val="en-US"/>
        </w:rPr>
      </w:pPr>
    </w:p>
    <w:p w:rsidR="00C301AE" w:rsidRPr="000B14B8" w:rsidRDefault="00845290" w:rsidP="00065F9B">
      <w:pPr>
        <w:spacing w:after="0" w:line="240" w:lineRule="auto"/>
        <w:jc w:val="both"/>
        <w:outlineLvl w:val="0"/>
        <w:rPr>
          <w:rFonts w:ascii="Cambria" w:hAnsi="Cambria" w:cs="Times New Roman"/>
          <w:sz w:val="22"/>
          <w:lang w:val="en-US"/>
        </w:rPr>
      </w:pPr>
      <w:r w:rsidRPr="00845290">
        <w:rPr>
          <w:rFonts w:ascii="Cambria" w:hAnsi="Cambria" w:cs="Times New Roman"/>
          <w:b/>
          <w:sz w:val="22"/>
          <w:lang w:val="en-US"/>
        </w:rPr>
        <w:t>6</w:t>
      </w:r>
      <w:r w:rsidRPr="00845290">
        <w:rPr>
          <w:rFonts w:ascii="Cambria" w:hAnsi="Cambria" w:cs="Times New Roman"/>
          <w:b/>
          <w:sz w:val="22"/>
          <w:lang w:val="en-US"/>
        </w:rPr>
        <w:tab/>
        <w:t>Conclusions</w:t>
      </w:r>
    </w:p>
    <w:p w:rsidR="00C301AE" w:rsidRPr="000B14B8" w:rsidRDefault="00C301AE" w:rsidP="00195BE4">
      <w:pPr>
        <w:spacing w:after="0" w:line="240" w:lineRule="auto"/>
        <w:jc w:val="both"/>
        <w:rPr>
          <w:rFonts w:ascii="Cambria" w:hAnsi="Cambria" w:cs="Times New Roman"/>
          <w:sz w:val="22"/>
          <w:lang w:val="en-US"/>
        </w:rPr>
      </w:pPr>
    </w:p>
    <w:p w:rsidR="00EE117D" w:rsidRDefault="00071043" w:rsidP="00071043">
      <w:pPr>
        <w:spacing w:after="0" w:line="240" w:lineRule="auto"/>
        <w:jc w:val="both"/>
        <w:rPr>
          <w:rFonts w:ascii="Cambria" w:hAnsi="Cambria" w:cs="Times New Roman"/>
          <w:sz w:val="22"/>
        </w:rPr>
      </w:pPr>
      <w:r w:rsidRPr="00071043">
        <w:rPr>
          <w:rFonts w:ascii="Cambria" w:hAnsi="Cambria" w:cs="Times New Roman"/>
          <w:sz w:val="22"/>
        </w:rPr>
        <w:t>Notwithstanding the social purposes of the Union, the mul</w:t>
      </w:r>
      <w:r w:rsidR="000B7021">
        <w:rPr>
          <w:rFonts w:ascii="Cambria" w:hAnsi="Cambria" w:cs="Times New Roman"/>
          <w:sz w:val="22"/>
        </w:rPr>
        <w:t>ti</w:t>
      </w:r>
      <w:r w:rsidR="005C21E6">
        <w:rPr>
          <w:rFonts w:ascii="Cambria" w:hAnsi="Cambria" w:cs="Times New Roman"/>
          <w:sz w:val="22"/>
        </w:rPr>
        <w:t>-</w:t>
      </w:r>
      <w:r w:rsidR="000B7021">
        <w:rPr>
          <w:rFonts w:ascii="Cambria" w:hAnsi="Cambria" w:cs="Times New Roman"/>
          <w:sz w:val="22"/>
        </w:rPr>
        <w:t xml:space="preserve">level distribution of powers, </w:t>
      </w:r>
      <w:r w:rsidRPr="00071043">
        <w:rPr>
          <w:rFonts w:ascii="Cambria" w:hAnsi="Cambria" w:cs="Times New Roman"/>
          <w:sz w:val="22"/>
        </w:rPr>
        <w:t xml:space="preserve">by which the European market is to be </w:t>
      </w:r>
      <w:r w:rsidR="00EE117D">
        <w:rPr>
          <w:rFonts w:ascii="Cambria" w:hAnsi="Cambria" w:cs="Times New Roman"/>
          <w:sz w:val="22"/>
        </w:rPr>
        <w:t>‘</w:t>
      </w:r>
      <w:r w:rsidRPr="00071043">
        <w:rPr>
          <w:rFonts w:ascii="Cambria" w:hAnsi="Cambria" w:cs="Times New Roman"/>
          <w:sz w:val="22"/>
        </w:rPr>
        <w:t>socially embedded</w:t>
      </w:r>
      <w:r w:rsidR="00EE117D">
        <w:rPr>
          <w:rFonts w:ascii="Cambria" w:hAnsi="Cambria" w:cs="Times New Roman"/>
          <w:sz w:val="22"/>
        </w:rPr>
        <w:t>’</w:t>
      </w:r>
      <w:r w:rsidRPr="00071043">
        <w:rPr>
          <w:rFonts w:ascii="Cambria" w:hAnsi="Cambria" w:cs="Times New Roman"/>
          <w:sz w:val="22"/>
        </w:rPr>
        <w:t xml:space="preserve"> mainly through differen</w:t>
      </w:r>
      <w:r w:rsidRPr="00071043">
        <w:rPr>
          <w:rFonts w:ascii="Cambria" w:hAnsi="Cambria" w:cs="Times New Roman"/>
          <w:sz w:val="22"/>
        </w:rPr>
        <w:softHyphen/>
        <w:t xml:space="preserve">tiated policies at the national level, </w:t>
      </w:r>
      <w:r w:rsidR="00EE117D">
        <w:rPr>
          <w:rFonts w:ascii="Cambria" w:hAnsi="Cambria" w:cs="Times New Roman"/>
          <w:sz w:val="22"/>
        </w:rPr>
        <w:t>lead to a decoupling of the highly intertwined economic and social spheres of the post-welfare state.</w:t>
      </w:r>
      <w:r w:rsidR="00551B8C">
        <w:rPr>
          <w:rFonts w:ascii="Cambria" w:hAnsi="Cambria" w:cs="Times New Roman"/>
          <w:sz w:val="22"/>
        </w:rPr>
        <w:t xml:space="preserve"> </w:t>
      </w:r>
      <w:r w:rsidR="001B1206" w:rsidRPr="001B1206">
        <w:rPr>
          <w:rFonts w:ascii="Cambria" w:hAnsi="Cambria" w:cs="Times New Roman"/>
          <w:sz w:val="22"/>
          <w:lang w:val="en-US"/>
        </w:rPr>
        <w:t xml:space="preserve">Through this, Europe was in fact constituted as a dual polity. </w:t>
      </w:r>
      <w:r w:rsidR="001A6E45">
        <w:rPr>
          <w:rFonts w:ascii="Cambria" w:hAnsi="Cambria" w:cs="Times New Roman"/>
          <w:sz w:val="22"/>
        </w:rPr>
        <w:t>E</w:t>
      </w:r>
      <w:r w:rsidR="00551B8C">
        <w:rPr>
          <w:rFonts w:ascii="Cambria" w:hAnsi="Cambria" w:cs="Times New Roman"/>
          <w:sz w:val="22"/>
        </w:rPr>
        <w:t xml:space="preserve">conomic values are </w:t>
      </w:r>
      <w:r w:rsidR="002D39FA">
        <w:rPr>
          <w:rFonts w:ascii="Cambria" w:hAnsi="Cambria" w:cs="Times New Roman"/>
          <w:sz w:val="22"/>
        </w:rPr>
        <w:t xml:space="preserve">predominantly </w:t>
      </w:r>
      <w:r w:rsidR="00551B8C">
        <w:rPr>
          <w:rFonts w:ascii="Cambria" w:hAnsi="Cambria" w:cs="Times New Roman"/>
          <w:sz w:val="22"/>
        </w:rPr>
        <w:t xml:space="preserve">furthered by </w:t>
      </w:r>
      <w:r w:rsidR="00551B8C">
        <w:rPr>
          <w:rFonts w:ascii="Cambria" w:hAnsi="Cambria" w:cs="Times New Roman"/>
          <w:sz w:val="22"/>
          <w:lang w:val="en-US"/>
        </w:rPr>
        <w:t>a</w:t>
      </w:r>
      <w:r w:rsidR="00FF70AC">
        <w:rPr>
          <w:rFonts w:ascii="Cambria" w:hAnsi="Cambria" w:cs="Times New Roman"/>
          <w:sz w:val="22"/>
          <w:lang w:val="en-US"/>
        </w:rPr>
        <w:t>n European</w:t>
      </w:r>
      <w:r w:rsidR="00551B8C">
        <w:rPr>
          <w:rFonts w:ascii="Cambria" w:hAnsi="Cambria" w:cs="Times New Roman"/>
          <w:sz w:val="22"/>
          <w:lang w:val="en-US"/>
        </w:rPr>
        <w:t xml:space="preserve"> law-based order of </w:t>
      </w:r>
      <w:r w:rsidR="00CD1AEC">
        <w:rPr>
          <w:rFonts w:ascii="Cambria" w:hAnsi="Cambria" w:cs="Times New Roman"/>
          <w:sz w:val="22"/>
          <w:lang w:val="en-US"/>
        </w:rPr>
        <w:t xml:space="preserve">fundamental </w:t>
      </w:r>
      <w:r w:rsidR="00551B8C">
        <w:rPr>
          <w:rFonts w:ascii="Cambria" w:hAnsi="Cambria" w:cs="Times New Roman"/>
          <w:sz w:val="22"/>
          <w:lang w:val="en-US"/>
        </w:rPr>
        <w:t xml:space="preserve">freedoms </w:t>
      </w:r>
      <w:r w:rsidR="001B1206">
        <w:rPr>
          <w:rFonts w:ascii="Cambria" w:hAnsi="Cambria" w:cs="Times New Roman"/>
          <w:sz w:val="22"/>
          <w:lang w:val="en-US"/>
        </w:rPr>
        <w:t>and principl</w:t>
      </w:r>
      <w:r w:rsidR="005A1263">
        <w:rPr>
          <w:rFonts w:ascii="Cambria" w:hAnsi="Cambria" w:cs="Times New Roman"/>
          <w:sz w:val="22"/>
          <w:lang w:val="en-US"/>
        </w:rPr>
        <w:t xml:space="preserve">es of direct effect and primacy, </w:t>
      </w:r>
      <w:r w:rsidR="00551B8C" w:rsidRPr="00551B8C">
        <w:rPr>
          <w:rFonts w:ascii="Cambria" w:hAnsi="Cambria" w:cs="Times New Roman"/>
          <w:sz w:val="22"/>
          <w:lang w:val="en-US"/>
        </w:rPr>
        <w:t>independent from political decisio</w:t>
      </w:r>
      <w:r w:rsidR="00551B8C">
        <w:rPr>
          <w:rFonts w:ascii="Cambria" w:hAnsi="Cambria" w:cs="Times New Roman"/>
          <w:sz w:val="22"/>
          <w:lang w:val="en-US"/>
        </w:rPr>
        <w:t>n</w:t>
      </w:r>
      <w:r w:rsidR="005A1263">
        <w:rPr>
          <w:rFonts w:ascii="Cambria" w:hAnsi="Cambria" w:cs="Times New Roman"/>
          <w:sz w:val="22"/>
          <w:lang w:val="en-US"/>
        </w:rPr>
        <w:t>.</w:t>
      </w:r>
      <w:r w:rsidR="00CD1AEC">
        <w:rPr>
          <w:rFonts w:ascii="Cambria" w:hAnsi="Cambria" w:cs="Times New Roman"/>
          <w:sz w:val="22"/>
          <w:lang w:val="en-US"/>
        </w:rPr>
        <w:t xml:space="preserve"> W</w:t>
      </w:r>
      <w:r w:rsidR="00551B8C">
        <w:rPr>
          <w:rFonts w:ascii="Cambria" w:hAnsi="Cambria" w:cs="Times New Roman"/>
          <w:sz w:val="22"/>
          <w:lang w:val="en-US"/>
        </w:rPr>
        <w:t xml:space="preserve">hilst social values </w:t>
      </w:r>
      <w:r w:rsidR="00FF70AC">
        <w:rPr>
          <w:rFonts w:ascii="Cambria" w:hAnsi="Cambria" w:cs="Times New Roman"/>
          <w:sz w:val="22"/>
          <w:lang w:val="en-US"/>
        </w:rPr>
        <w:t xml:space="preserve">must be furthered by national </w:t>
      </w:r>
      <w:r w:rsidR="005A1263">
        <w:rPr>
          <w:rFonts w:ascii="Cambria" w:hAnsi="Cambria" w:cs="Times New Roman"/>
          <w:sz w:val="22"/>
          <w:lang w:val="en-US"/>
        </w:rPr>
        <w:t>‘</w:t>
      </w:r>
      <w:r w:rsidR="00551B8C">
        <w:rPr>
          <w:rFonts w:ascii="Cambria" w:hAnsi="Cambria" w:cs="Times New Roman"/>
          <w:sz w:val="22"/>
          <w:lang w:val="en-US"/>
        </w:rPr>
        <w:t>political</w:t>
      </w:r>
      <w:r w:rsidR="005A1263">
        <w:rPr>
          <w:rFonts w:ascii="Cambria" w:hAnsi="Cambria" w:cs="Times New Roman"/>
          <w:sz w:val="22"/>
          <w:lang w:val="en-US"/>
        </w:rPr>
        <w:t>’</w:t>
      </w:r>
      <w:r w:rsidR="00551B8C">
        <w:rPr>
          <w:rFonts w:ascii="Cambria" w:hAnsi="Cambria" w:cs="Times New Roman"/>
          <w:sz w:val="22"/>
          <w:lang w:val="en-US"/>
        </w:rPr>
        <w:t xml:space="preserve"> legislation</w:t>
      </w:r>
      <w:r w:rsidR="00FF70AC">
        <w:rPr>
          <w:rFonts w:ascii="Cambria" w:hAnsi="Cambria" w:cs="Times New Roman"/>
          <w:sz w:val="22"/>
          <w:lang w:val="en-US"/>
        </w:rPr>
        <w:t xml:space="preserve"> or, at most, secondary European social policy law. </w:t>
      </w:r>
      <w:r w:rsidR="00551B8C">
        <w:rPr>
          <w:rFonts w:ascii="Cambria" w:hAnsi="Cambria" w:cs="Times New Roman"/>
          <w:sz w:val="22"/>
        </w:rPr>
        <w:t xml:space="preserve">As a result </w:t>
      </w:r>
      <w:r w:rsidR="00271516">
        <w:rPr>
          <w:rFonts w:ascii="Cambria" w:hAnsi="Cambria" w:cs="Times New Roman"/>
          <w:sz w:val="22"/>
        </w:rPr>
        <w:t xml:space="preserve">of this, </w:t>
      </w:r>
      <w:r w:rsidR="001B1206">
        <w:rPr>
          <w:rFonts w:ascii="Cambria" w:hAnsi="Cambria" w:cs="Times New Roman"/>
          <w:sz w:val="22"/>
        </w:rPr>
        <w:t>(</w:t>
      </w:r>
      <w:r w:rsidR="00DB3299">
        <w:rPr>
          <w:rFonts w:ascii="Cambria" w:hAnsi="Cambria" w:cs="Times New Roman"/>
          <w:sz w:val="22"/>
        </w:rPr>
        <w:t>the search for</w:t>
      </w:r>
      <w:r w:rsidR="001B1206">
        <w:rPr>
          <w:rFonts w:ascii="Cambria" w:hAnsi="Cambria" w:cs="Times New Roman"/>
          <w:sz w:val="22"/>
        </w:rPr>
        <w:t>)</w:t>
      </w:r>
      <w:r w:rsidR="00DB3299">
        <w:rPr>
          <w:rFonts w:ascii="Cambria" w:hAnsi="Cambria" w:cs="Times New Roman"/>
          <w:sz w:val="22"/>
        </w:rPr>
        <w:t xml:space="preserve"> </w:t>
      </w:r>
      <w:r w:rsidR="00551B8C">
        <w:rPr>
          <w:rFonts w:ascii="Cambria" w:hAnsi="Cambria" w:cs="Times New Roman"/>
          <w:sz w:val="22"/>
        </w:rPr>
        <w:t>an equili</w:t>
      </w:r>
      <w:r w:rsidR="001B1206">
        <w:rPr>
          <w:rFonts w:ascii="Cambria" w:hAnsi="Cambria" w:cs="Times New Roman"/>
          <w:sz w:val="22"/>
        </w:rPr>
        <w:softHyphen/>
      </w:r>
      <w:r w:rsidR="00551B8C">
        <w:rPr>
          <w:rFonts w:ascii="Cambria" w:hAnsi="Cambria" w:cs="Times New Roman"/>
          <w:sz w:val="22"/>
        </w:rPr>
        <w:t xml:space="preserve">brium between </w:t>
      </w:r>
      <w:r w:rsidR="00DB3299">
        <w:rPr>
          <w:rFonts w:ascii="Cambria" w:hAnsi="Cambria" w:cs="Times New Roman"/>
          <w:sz w:val="22"/>
        </w:rPr>
        <w:t>conflicting</w:t>
      </w:r>
      <w:r w:rsidR="005A1263">
        <w:rPr>
          <w:rFonts w:ascii="Cambria" w:hAnsi="Cambria" w:cs="Times New Roman"/>
          <w:sz w:val="22"/>
        </w:rPr>
        <w:t xml:space="preserve"> </w:t>
      </w:r>
      <w:r w:rsidR="00551B8C">
        <w:rPr>
          <w:rFonts w:ascii="Cambria" w:hAnsi="Cambria" w:cs="Times New Roman"/>
          <w:sz w:val="22"/>
        </w:rPr>
        <w:t>market-making and market-correcting policies</w:t>
      </w:r>
      <w:r w:rsidR="00CD1AEC">
        <w:rPr>
          <w:rFonts w:ascii="Cambria" w:hAnsi="Cambria" w:cs="Times New Roman"/>
          <w:sz w:val="22"/>
        </w:rPr>
        <w:t xml:space="preserve">, </w:t>
      </w:r>
      <w:r w:rsidR="00CD1AEC" w:rsidRPr="00CD1AEC">
        <w:rPr>
          <w:rFonts w:ascii="Cambria" w:hAnsi="Cambria" w:cs="Times New Roman"/>
          <w:sz w:val="22"/>
        </w:rPr>
        <w:t>common to social market economies</w:t>
      </w:r>
      <w:r w:rsidR="00CD1AEC">
        <w:rPr>
          <w:rFonts w:ascii="Cambria" w:hAnsi="Cambria" w:cs="Times New Roman"/>
          <w:sz w:val="22"/>
        </w:rPr>
        <w:t xml:space="preserve">, </w:t>
      </w:r>
      <w:r w:rsidR="005A1263">
        <w:rPr>
          <w:rFonts w:ascii="Cambria" w:hAnsi="Cambria" w:cs="Times New Roman"/>
          <w:sz w:val="22"/>
        </w:rPr>
        <w:t>could</w:t>
      </w:r>
      <w:r w:rsidR="00FF70AC">
        <w:rPr>
          <w:rFonts w:ascii="Cambria" w:hAnsi="Cambria" w:cs="Times New Roman"/>
          <w:sz w:val="22"/>
        </w:rPr>
        <w:t xml:space="preserve"> no longer be established by political demo</w:t>
      </w:r>
      <w:r w:rsidR="00CD1AEC">
        <w:rPr>
          <w:rFonts w:ascii="Cambria" w:hAnsi="Cambria" w:cs="Times New Roman"/>
          <w:sz w:val="22"/>
        </w:rPr>
        <w:softHyphen/>
      </w:r>
      <w:r w:rsidR="00CD1AEC">
        <w:rPr>
          <w:rFonts w:ascii="Cambria" w:hAnsi="Cambria" w:cs="Times New Roman"/>
          <w:sz w:val="22"/>
        </w:rPr>
        <w:softHyphen/>
      </w:r>
      <w:r w:rsidR="00FF70AC">
        <w:rPr>
          <w:rFonts w:ascii="Cambria" w:hAnsi="Cambria" w:cs="Times New Roman"/>
          <w:sz w:val="22"/>
        </w:rPr>
        <w:t xml:space="preserve">cratic decision at </w:t>
      </w:r>
      <w:r w:rsidR="00CD1AEC">
        <w:rPr>
          <w:rFonts w:ascii="Cambria" w:hAnsi="Cambria" w:cs="Times New Roman"/>
          <w:sz w:val="22"/>
        </w:rPr>
        <w:t xml:space="preserve">one and the same level. </w:t>
      </w:r>
    </w:p>
    <w:p w:rsidR="00DB3299" w:rsidRDefault="00DB3299" w:rsidP="00071043">
      <w:pPr>
        <w:spacing w:after="0" w:line="240" w:lineRule="auto"/>
        <w:jc w:val="both"/>
        <w:rPr>
          <w:rFonts w:ascii="Cambria" w:hAnsi="Cambria" w:cs="Times New Roman"/>
          <w:sz w:val="22"/>
        </w:rPr>
      </w:pPr>
    </w:p>
    <w:p w:rsidR="00BC2953" w:rsidRDefault="00217511" w:rsidP="00DE5267">
      <w:pPr>
        <w:spacing w:after="0" w:line="240" w:lineRule="auto"/>
        <w:jc w:val="both"/>
        <w:rPr>
          <w:rFonts w:ascii="Cambria" w:hAnsi="Cambria" w:cs="Times New Roman"/>
          <w:sz w:val="22"/>
        </w:rPr>
      </w:pPr>
      <w:r>
        <w:rPr>
          <w:rFonts w:ascii="Cambria" w:hAnsi="Cambria" w:cs="Times New Roman"/>
          <w:sz w:val="22"/>
        </w:rPr>
        <w:t xml:space="preserve">In order to </w:t>
      </w:r>
      <w:r w:rsidR="0081792E">
        <w:rPr>
          <w:rFonts w:ascii="Cambria" w:hAnsi="Cambria" w:cs="Times New Roman"/>
          <w:sz w:val="22"/>
        </w:rPr>
        <w:t>prevent</w:t>
      </w:r>
      <w:r w:rsidR="00217D86">
        <w:rPr>
          <w:rFonts w:ascii="Cambria" w:hAnsi="Cambria" w:cs="Times New Roman"/>
          <w:sz w:val="22"/>
        </w:rPr>
        <w:t xml:space="preserve"> the risk of </w:t>
      </w:r>
      <w:r w:rsidR="00DB3299" w:rsidRPr="00DB3299">
        <w:rPr>
          <w:rFonts w:ascii="Cambria" w:hAnsi="Cambria" w:cs="Times New Roman"/>
          <w:sz w:val="22"/>
          <w:lang w:val="en-US"/>
        </w:rPr>
        <w:t>(national) social values becom</w:t>
      </w:r>
      <w:r w:rsidR="005C21E6">
        <w:rPr>
          <w:rFonts w:ascii="Cambria" w:hAnsi="Cambria" w:cs="Times New Roman"/>
          <w:sz w:val="22"/>
          <w:lang w:val="en-US"/>
        </w:rPr>
        <w:t>ing</w:t>
      </w:r>
      <w:r w:rsidR="00DB3299" w:rsidRPr="00DB3299">
        <w:rPr>
          <w:rFonts w:ascii="Cambria" w:hAnsi="Cambria" w:cs="Times New Roman"/>
          <w:sz w:val="22"/>
          <w:lang w:val="en-US"/>
        </w:rPr>
        <w:t xml:space="preserve"> subsumed under (European) economic values</w:t>
      </w:r>
      <w:r w:rsidR="00CD1AEC">
        <w:rPr>
          <w:rFonts w:ascii="Cambria" w:hAnsi="Cambria" w:cs="Times New Roman"/>
          <w:sz w:val="22"/>
          <w:lang w:val="en-US"/>
        </w:rPr>
        <w:t xml:space="preserve">, </w:t>
      </w:r>
      <w:r w:rsidR="00244EBC">
        <w:rPr>
          <w:rFonts w:ascii="Cambria" w:hAnsi="Cambria" w:cs="Times New Roman"/>
          <w:sz w:val="22"/>
          <w:lang w:val="en-US"/>
        </w:rPr>
        <w:t xml:space="preserve">European </w:t>
      </w:r>
      <w:r w:rsidR="00BC2953">
        <w:rPr>
          <w:rFonts w:ascii="Cambria" w:hAnsi="Cambria" w:cs="Times New Roman"/>
          <w:sz w:val="22"/>
          <w:lang w:val="en-US"/>
        </w:rPr>
        <w:t>political efforts</w:t>
      </w:r>
      <w:r w:rsidR="001B1206">
        <w:rPr>
          <w:rFonts w:ascii="Cambria" w:hAnsi="Cambria" w:cs="Times New Roman"/>
          <w:sz w:val="22"/>
          <w:lang w:val="en-US"/>
        </w:rPr>
        <w:t xml:space="preserve"> to </w:t>
      </w:r>
      <w:r w:rsidR="00244EBC">
        <w:rPr>
          <w:rFonts w:ascii="Cambria" w:hAnsi="Cambria" w:cs="Times New Roman"/>
          <w:sz w:val="22"/>
          <w:lang w:val="en-US"/>
        </w:rPr>
        <w:t>reinstall</w:t>
      </w:r>
      <w:r w:rsidR="00217D86" w:rsidRPr="00217D86">
        <w:rPr>
          <w:rFonts w:ascii="Cambria" w:hAnsi="Cambria" w:cs="Times New Roman"/>
          <w:sz w:val="22"/>
        </w:rPr>
        <w:t xml:space="preserve"> ‘market-making’ and ‘market-correcting’ policy purposes </w:t>
      </w:r>
      <w:r w:rsidR="005C21E6">
        <w:rPr>
          <w:rFonts w:ascii="Cambria" w:hAnsi="Cambria" w:cs="Times New Roman"/>
          <w:sz w:val="22"/>
        </w:rPr>
        <w:t>on</w:t>
      </w:r>
      <w:r w:rsidR="00217D86" w:rsidRPr="00217D86">
        <w:rPr>
          <w:rFonts w:ascii="Cambria" w:hAnsi="Cambria" w:cs="Times New Roman"/>
          <w:sz w:val="22"/>
        </w:rPr>
        <w:t xml:space="preserve"> </w:t>
      </w:r>
      <w:r w:rsidR="001B1206">
        <w:rPr>
          <w:rFonts w:ascii="Cambria" w:hAnsi="Cambria" w:cs="Times New Roman"/>
          <w:sz w:val="22"/>
        </w:rPr>
        <w:t>the same constitutional footing</w:t>
      </w:r>
      <w:r w:rsidR="00217D86" w:rsidRPr="00217D86">
        <w:rPr>
          <w:rFonts w:ascii="Cambria" w:hAnsi="Cambria" w:cs="Times New Roman"/>
          <w:sz w:val="22"/>
        </w:rPr>
        <w:t xml:space="preserve"> as had existed at the national level</w:t>
      </w:r>
      <w:r w:rsidR="00244EBC">
        <w:rPr>
          <w:rFonts w:ascii="Cambria" w:hAnsi="Cambria" w:cs="Times New Roman"/>
          <w:sz w:val="22"/>
        </w:rPr>
        <w:t xml:space="preserve">, </w:t>
      </w:r>
      <w:r w:rsidR="001B1206">
        <w:rPr>
          <w:rFonts w:ascii="Cambria" w:hAnsi="Cambria" w:cs="Times New Roman"/>
          <w:sz w:val="22"/>
        </w:rPr>
        <w:t xml:space="preserve">ran counter in the past to </w:t>
      </w:r>
      <w:r w:rsidR="00196B45">
        <w:rPr>
          <w:rFonts w:ascii="Cambria" w:hAnsi="Cambria" w:cs="Times New Roman"/>
          <w:sz w:val="22"/>
        </w:rPr>
        <w:t xml:space="preserve">the </w:t>
      </w:r>
      <w:r w:rsidRPr="00217511">
        <w:rPr>
          <w:rFonts w:ascii="Cambria" w:hAnsi="Cambria" w:cs="Times New Roman"/>
          <w:sz w:val="22"/>
        </w:rPr>
        <w:t>diversity of national welfare systems</w:t>
      </w:r>
      <w:r>
        <w:rPr>
          <w:rFonts w:ascii="Cambria" w:hAnsi="Cambria" w:cs="Times New Roman"/>
          <w:sz w:val="22"/>
        </w:rPr>
        <w:t xml:space="preserve">. </w:t>
      </w:r>
      <w:r w:rsidR="005C21E6">
        <w:rPr>
          <w:rFonts w:ascii="Cambria" w:hAnsi="Cambria" w:cs="Times New Roman"/>
          <w:sz w:val="22"/>
        </w:rPr>
        <w:t>Alt</w:t>
      </w:r>
      <w:r w:rsidR="00D9144B">
        <w:rPr>
          <w:rFonts w:ascii="Cambria" w:hAnsi="Cambria" w:cs="Times New Roman"/>
          <w:sz w:val="22"/>
        </w:rPr>
        <w:t>hough t</w:t>
      </w:r>
      <w:r>
        <w:rPr>
          <w:rFonts w:ascii="Cambria" w:hAnsi="Cambria" w:cs="Times New Roman"/>
          <w:sz w:val="22"/>
        </w:rPr>
        <w:t xml:space="preserve">he strict division of tasks, </w:t>
      </w:r>
      <w:r w:rsidRPr="00217511">
        <w:rPr>
          <w:rFonts w:ascii="Cambria" w:hAnsi="Cambria" w:cs="Times New Roman"/>
          <w:sz w:val="22"/>
        </w:rPr>
        <w:t xml:space="preserve">by which the European market was to be socially embedded by </w:t>
      </w:r>
      <w:r>
        <w:rPr>
          <w:rFonts w:ascii="Cambria" w:hAnsi="Cambria" w:cs="Times New Roman"/>
          <w:sz w:val="22"/>
        </w:rPr>
        <w:t xml:space="preserve">national policy </w:t>
      </w:r>
      <w:r w:rsidR="00D9144B">
        <w:rPr>
          <w:rFonts w:ascii="Cambria" w:hAnsi="Cambria" w:cs="Times New Roman"/>
          <w:sz w:val="22"/>
        </w:rPr>
        <w:t xml:space="preserve">only, </w:t>
      </w:r>
      <w:r>
        <w:rPr>
          <w:rFonts w:ascii="Cambria" w:hAnsi="Cambria" w:cs="Times New Roman"/>
          <w:sz w:val="22"/>
        </w:rPr>
        <w:t>was blurred</w:t>
      </w:r>
      <w:r w:rsidR="00196B45">
        <w:rPr>
          <w:rFonts w:ascii="Cambria" w:hAnsi="Cambria" w:cs="Times New Roman"/>
          <w:sz w:val="22"/>
        </w:rPr>
        <w:t xml:space="preserve"> by the Maastricht and Amsterdam Treaties</w:t>
      </w:r>
      <w:r>
        <w:rPr>
          <w:rFonts w:ascii="Cambria" w:hAnsi="Cambria" w:cs="Times New Roman"/>
          <w:sz w:val="22"/>
        </w:rPr>
        <w:t xml:space="preserve">, </w:t>
      </w:r>
      <w:r w:rsidR="00D9144B">
        <w:rPr>
          <w:rFonts w:ascii="Cambria" w:hAnsi="Cambria" w:cs="Times New Roman"/>
          <w:sz w:val="22"/>
        </w:rPr>
        <w:t xml:space="preserve">the </w:t>
      </w:r>
      <w:r>
        <w:rPr>
          <w:rFonts w:ascii="Cambria" w:hAnsi="Cambria" w:cs="Times New Roman"/>
          <w:sz w:val="22"/>
        </w:rPr>
        <w:t xml:space="preserve">social competences inserted in the Treaty </w:t>
      </w:r>
      <w:r w:rsidR="00D9144B">
        <w:rPr>
          <w:rFonts w:ascii="Cambria" w:hAnsi="Cambria" w:cs="Times New Roman"/>
          <w:sz w:val="22"/>
        </w:rPr>
        <w:t xml:space="preserve">are still incomplete and have not been used to </w:t>
      </w:r>
      <w:r w:rsidR="005C21E6">
        <w:rPr>
          <w:rFonts w:ascii="Cambria" w:hAnsi="Cambria" w:cs="Times New Roman"/>
          <w:sz w:val="22"/>
        </w:rPr>
        <w:t xml:space="preserve">their </w:t>
      </w:r>
      <w:r w:rsidR="00D9144B">
        <w:rPr>
          <w:rFonts w:ascii="Cambria" w:hAnsi="Cambria" w:cs="Times New Roman"/>
          <w:sz w:val="22"/>
        </w:rPr>
        <w:t xml:space="preserve">fullest extent. </w:t>
      </w:r>
    </w:p>
    <w:p w:rsidR="00196B45" w:rsidRDefault="00CA1C8E" w:rsidP="00DE5267">
      <w:pPr>
        <w:spacing w:after="0" w:line="240" w:lineRule="auto"/>
        <w:jc w:val="both"/>
        <w:rPr>
          <w:rFonts w:ascii="Cambria" w:hAnsi="Cambria" w:cs="Times New Roman"/>
          <w:sz w:val="22"/>
        </w:rPr>
      </w:pPr>
      <w:r>
        <w:rPr>
          <w:rFonts w:ascii="Cambria" w:hAnsi="Cambria" w:cs="Times New Roman"/>
          <w:sz w:val="22"/>
        </w:rPr>
        <w:t xml:space="preserve">Nowadays, </w:t>
      </w:r>
      <w:r w:rsidR="00DE5267">
        <w:rPr>
          <w:rFonts w:ascii="Cambria" w:hAnsi="Cambria" w:cs="Times New Roman"/>
          <w:sz w:val="22"/>
        </w:rPr>
        <w:t xml:space="preserve">the </w:t>
      </w:r>
      <w:r w:rsidR="00DE5267" w:rsidRPr="00DE5267">
        <w:rPr>
          <w:rFonts w:ascii="Cambria" w:hAnsi="Cambria" w:cs="Times New Roman"/>
          <w:sz w:val="22"/>
        </w:rPr>
        <w:t>structural dif</w:t>
      </w:r>
      <w:r w:rsidR="00DE5267" w:rsidRPr="00DE5267">
        <w:rPr>
          <w:rFonts w:ascii="Cambria" w:hAnsi="Cambria" w:cs="Times New Roman"/>
          <w:sz w:val="22"/>
        </w:rPr>
        <w:softHyphen/>
        <w:t xml:space="preserve">ferences </w:t>
      </w:r>
      <w:r w:rsidR="00DE5267">
        <w:rPr>
          <w:rFonts w:ascii="Cambria" w:hAnsi="Cambria" w:cs="Times New Roman"/>
          <w:sz w:val="22"/>
        </w:rPr>
        <w:t xml:space="preserve">between national social systems, of which any reform will always </w:t>
      </w:r>
      <w:r w:rsidR="005C21E6">
        <w:rPr>
          <w:rFonts w:ascii="Cambria" w:hAnsi="Cambria" w:cs="Times New Roman"/>
          <w:sz w:val="22"/>
        </w:rPr>
        <w:t>have</w:t>
      </w:r>
      <w:r w:rsidR="00DE5267">
        <w:rPr>
          <w:rFonts w:ascii="Cambria" w:hAnsi="Cambria" w:cs="Times New Roman"/>
          <w:sz w:val="22"/>
        </w:rPr>
        <w:t xml:space="preserve"> highly political salience,</w:t>
      </w:r>
      <w:r w:rsidR="00196B45">
        <w:rPr>
          <w:rFonts w:ascii="Cambria" w:hAnsi="Cambria" w:cs="Times New Roman"/>
          <w:sz w:val="22"/>
        </w:rPr>
        <w:t xml:space="preserve"> have only but increased </w:t>
      </w:r>
      <w:r>
        <w:rPr>
          <w:rFonts w:ascii="Cambria" w:hAnsi="Cambria" w:cs="Times New Roman"/>
          <w:sz w:val="22"/>
        </w:rPr>
        <w:t>a</w:t>
      </w:r>
      <w:r w:rsidRPr="00CA1C8E">
        <w:rPr>
          <w:rFonts w:ascii="Cambria" w:hAnsi="Cambria" w:cs="Times New Roman"/>
          <w:sz w:val="22"/>
        </w:rPr>
        <w:t xml:space="preserve">fter the </w:t>
      </w:r>
      <w:r>
        <w:rPr>
          <w:rFonts w:ascii="Cambria" w:hAnsi="Cambria" w:cs="Times New Roman"/>
          <w:sz w:val="22"/>
        </w:rPr>
        <w:t xml:space="preserve">successive </w:t>
      </w:r>
      <w:r w:rsidRPr="00CA1C8E">
        <w:rPr>
          <w:rFonts w:ascii="Cambria" w:hAnsi="Cambria" w:cs="Times New Roman"/>
          <w:sz w:val="22"/>
        </w:rPr>
        <w:t>enlargements of the EU</w:t>
      </w:r>
      <w:r>
        <w:rPr>
          <w:rFonts w:ascii="Cambria" w:hAnsi="Cambria" w:cs="Times New Roman"/>
          <w:sz w:val="22"/>
        </w:rPr>
        <w:t xml:space="preserve">. This practically rules out any rebalancing </w:t>
      </w:r>
      <w:r w:rsidR="00BC2953">
        <w:rPr>
          <w:rFonts w:ascii="Cambria" w:hAnsi="Cambria" w:cs="Times New Roman"/>
          <w:sz w:val="22"/>
        </w:rPr>
        <w:t xml:space="preserve">between </w:t>
      </w:r>
      <w:r>
        <w:rPr>
          <w:rFonts w:ascii="Cambria" w:hAnsi="Cambria" w:cs="Times New Roman"/>
          <w:sz w:val="22"/>
        </w:rPr>
        <w:t>the E</w:t>
      </w:r>
      <w:r w:rsidR="00D45A79">
        <w:rPr>
          <w:rFonts w:ascii="Cambria" w:hAnsi="Cambria" w:cs="Times New Roman"/>
          <w:sz w:val="22"/>
        </w:rPr>
        <w:t>U economic and social dimension</w:t>
      </w:r>
      <w:r>
        <w:rPr>
          <w:rFonts w:ascii="Cambria" w:hAnsi="Cambria" w:cs="Times New Roman"/>
          <w:sz w:val="22"/>
        </w:rPr>
        <w:t xml:space="preserve"> by </w:t>
      </w:r>
      <w:r w:rsidR="00D45A79">
        <w:rPr>
          <w:rFonts w:ascii="Cambria" w:hAnsi="Cambria" w:cs="Times New Roman"/>
          <w:sz w:val="22"/>
        </w:rPr>
        <w:t xml:space="preserve">way of </w:t>
      </w:r>
      <w:r>
        <w:rPr>
          <w:rFonts w:ascii="Cambria" w:hAnsi="Cambria" w:cs="Times New Roman"/>
          <w:sz w:val="22"/>
        </w:rPr>
        <w:t>poli</w:t>
      </w:r>
      <w:r w:rsidR="00BC2953">
        <w:rPr>
          <w:rFonts w:ascii="Cambria" w:hAnsi="Cambria" w:cs="Times New Roman"/>
          <w:sz w:val="22"/>
        </w:rPr>
        <w:t xml:space="preserve">tical </w:t>
      </w:r>
      <w:r w:rsidR="00D45A79">
        <w:rPr>
          <w:rFonts w:ascii="Cambria" w:hAnsi="Cambria" w:cs="Times New Roman"/>
          <w:sz w:val="22"/>
        </w:rPr>
        <w:t>agreement</w:t>
      </w:r>
      <w:r w:rsidR="006F777D">
        <w:rPr>
          <w:rFonts w:ascii="Cambria" w:hAnsi="Cambria" w:cs="Times New Roman"/>
          <w:sz w:val="22"/>
        </w:rPr>
        <w:t>.</w:t>
      </w:r>
    </w:p>
    <w:p w:rsidR="00831293" w:rsidRDefault="00831293" w:rsidP="00831293">
      <w:pPr>
        <w:spacing w:after="0" w:line="240" w:lineRule="auto"/>
        <w:jc w:val="both"/>
        <w:rPr>
          <w:rFonts w:ascii="Cambria" w:hAnsi="Cambria" w:cs="Times New Roman"/>
          <w:sz w:val="22"/>
          <w:lang w:val="en-US"/>
        </w:rPr>
      </w:pPr>
      <w:r>
        <w:rPr>
          <w:rFonts w:ascii="Cambria" w:hAnsi="Cambria" w:cs="Times New Roman"/>
          <w:sz w:val="22"/>
        </w:rPr>
        <w:t>This political re</w:t>
      </w:r>
      <w:r w:rsidR="00465D3B">
        <w:rPr>
          <w:rFonts w:ascii="Cambria" w:hAnsi="Cambria" w:cs="Times New Roman"/>
          <w:sz w:val="22"/>
        </w:rPr>
        <w:t>ality</w:t>
      </w:r>
      <w:r w:rsidR="00453F41">
        <w:rPr>
          <w:rFonts w:ascii="Cambria" w:hAnsi="Cambria" w:cs="Times New Roman"/>
          <w:sz w:val="22"/>
        </w:rPr>
        <w:t>,</w:t>
      </w:r>
      <w:r>
        <w:rPr>
          <w:rFonts w:ascii="Cambria" w:hAnsi="Cambria" w:cs="Times New Roman"/>
          <w:sz w:val="22"/>
        </w:rPr>
        <w:t xml:space="preserve"> </w:t>
      </w:r>
      <w:r w:rsidR="00465D3B">
        <w:rPr>
          <w:rFonts w:ascii="Cambria" w:hAnsi="Cambria" w:cs="Times New Roman"/>
          <w:sz w:val="22"/>
        </w:rPr>
        <w:t xml:space="preserve">taken </w:t>
      </w:r>
      <w:r w:rsidR="00D7196E">
        <w:rPr>
          <w:rFonts w:ascii="Cambria" w:hAnsi="Cambria" w:cs="Times New Roman"/>
          <w:sz w:val="22"/>
        </w:rPr>
        <w:t xml:space="preserve">together with the </w:t>
      </w:r>
      <w:r w:rsidR="00D7196E" w:rsidRPr="00D7196E">
        <w:rPr>
          <w:rFonts w:ascii="Cambria" w:hAnsi="Cambria" w:cs="Times New Roman"/>
          <w:sz w:val="22"/>
          <w:lang w:val="en-US"/>
        </w:rPr>
        <w:t>institutional impediment</w:t>
      </w:r>
      <w:r w:rsidR="00D7196E">
        <w:rPr>
          <w:rFonts w:ascii="Cambria" w:hAnsi="Cambria" w:cs="Times New Roman"/>
          <w:sz w:val="22"/>
          <w:lang w:val="en-US"/>
        </w:rPr>
        <w:t>s of</w:t>
      </w:r>
      <w:r w:rsidR="00D7196E" w:rsidRPr="00D7196E">
        <w:rPr>
          <w:rFonts w:ascii="Cambria" w:hAnsi="Cambria" w:cs="Times New Roman"/>
          <w:sz w:val="22"/>
          <w:lang w:val="en-US"/>
        </w:rPr>
        <w:t xml:space="preserve"> </w:t>
      </w:r>
      <w:r w:rsidR="00D7196E">
        <w:rPr>
          <w:rFonts w:ascii="Cambria" w:hAnsi="Cambria" w:cs="Times New Roman"/>
          <w:sz w:val="22"/>
          <w:lang w:val="en-US"/>
        </w:rPr>
        <w:t xml:space="preserve">the Union’s architecture in </w:t>
      </w:r>
      <w:r w:rsidR="00D7196E" w:rsidRPr="00D7196E">
        <w:rPr>
          <w:rFonts w:ascii="Cambria" w:hAnsi="Cambria" w:cs="Times New Roman"/>
          <w:sz w:val="22"/>
          <w:lang w:val="en-US"/>
        </w:rPr>
        <w:t>the socio-economic field</w:t>
      </w:r>
      <w:r w:rsidR="00465D3B">
        <w:rPr>
          <w:rFonts w:ascii="Cambria" w:hAnsi="Cambria" w:cs="Times New Roman"/>
          <w:sz w:val="22"/>
          <w:lang w:val="en-US"/>
        </w:rPr>
        <w:t xml:space="preserve">, </w:t>
      </w:r>
      <w:r>
        <w:rPr>
          <w:rFonts w:ascii="Cambria" w:hAnsi="Cambria" w:cs="Times New Roman"/>
          <w:sz w:val="22"/>
          <w:lang w:val="en-US"/>
        </w:rPr>
        <w:t xml:space="preserve">deals the </w:t>
      </w:r>
      <w:r w:rsidR="00065F9B">
        <w:rPr>
          <w:rFonts w:ascii="Cambria" w:hAnsi="Cambria" w:cs="Times New Roman"/>
          <w:sz w:val="22"/>
          <w:lang w:val="en-US"/>
        </w:rPr>
        <w:t>CJEU</w:t>
      </w:r>
      <w:r>
        <w:rPr>
          <w:rFonts w:ascii="Cambria" w:hAnsi="Cambria" w:cs="Times New Roman"/>
          <w:sz w:val="22"/>
          <w:lang w:val="en-US"/>
        </w:rPr>
        <w:t xml:space="preserve"> a pivotal </w:t>
      </w:r>
      <w:r w:rsidR="00465D3B">
        <w:rPr>
          <w:rFonts w:ascii="Cambria" w:hAnsi="Cambria" w:cs="Times New Roman"/>
          <w:sz w:val="22"/>
          <w:lang w:val="en-US"/>
        </w:rPr>
        <w:t xml:space="preserve">card whenever </w:t>
      </w:r>
      <w:r w:rsidRPr="00831293">
        <w:rPr>
          <w:rFonts w:ascii="Cambria" w:hAnsi="Cambria" w:cs="Times New Roman"/>
          <w:sz w:val="22"/>
          <w:lang w:val="en-US"/>
        </w:rPr>
        <w:t xml:space="preserve">conflicts </w:t>
      </w:r>
      <w:r w:rsidR="00465D3B">
        <w:rPr>
          <w:rFonts w:ascii="Cambria" w:hAnsi="Cambria" w:cs="Times New Roman"/>
          <w:sz w:val="22"/>
          <w:lang w:val="en-US"/>
        </w:rPr>
        <w:t xml:space="preserve">arise </w:t>
      </w:r>
      <w:r w:rsidRPr="00831293">
        <w:rPr>
          <w:rFonts w:ascii="Cambria" w:hAnsi="Cambria" w:cs="Times New Roman"/>
          <w:sz w:val="22"/>
          <w:lang w:val="en-US"/>
        </w:rPr>
        <w:lastRenderedPageBreak/>
        <w:t>between economic values vested in the European fundamental freedoms and the system of undistorted com</w:t>
      </w:r>
      <w:r w:rsidR="00465D3B">
        <w:rPr>
          <w:rFonts w:ascii="Cambria" w:hAnsi="Cambria" w:cs="Times New Roman"/>
          <w:sz w:val="22"/>
          <w:lang w:val="en-US"/>
        </w:rPr>
        <w:softHyphen/>
      </w:r>
      <w:r w:rsidRPr="00831293">
        <w:rPr>
          <w:rFonts w:ascii="Cambria" w:hAnsi="Cambria" w:cs="Times New Roman"/>
          <w:sz w:val="22"/>
          <w:lang w:val="en-US"/>
        </w:rPr>
        <w:t>petition, and social values vested in self-determined national policies</w:t>
      </w:r>
      <w:r w:rsidR="00465D3B">
        <w:rPr>
          <w:rFonts w:ascii="Cambria" w:hAnsi="Cambria" w:cs="Times New Roman"/>
          <w:sz w:val="22"/>
          <w:lang w:val="en-US"/>
        </w:rPr>
        <w:t xml:space="preserve"> or European secondary social policy legislation.</w:t>
      </w:r>
    </w:p>
    <w:p w:rsidR="006B6270" w:rsidRDefault="006B6270" w:rsidP="00831293">
      <w:pPr>
        <w:spacing w:after="0" w:line="240" w:lineRule="auto"/>
        <w:jc w:val="both"/>
        <w:rPr>
          <w:rFonts w:ascii="Cambria" w:hAnsi="Cambria" w:cs="Times New Roman"/>
          <w:sz w:val="22"/>
          <w:lang w:val="en-US"/>
        </w:rPr>
      </w:pPr>
    </w:p>
    <w:p w:rsidR="00A71655" w:rsidRDefault="00465D3B" w:rsidP="00831293">
      <w:pPr>
        <w:spacing w:after="0" w:line="240" w:lineRule="auto"/>
        <w:jc w:val="both"/>
        <w:rPr>
          <w:rFonts w:ascii="Cambria" w:hAnsi="Cambria" w:cs="Times New Roman"/>
          <w:sz w:val="22"/>
          <w:lang w:val="en-US"/>
        </w:rPr>
      </w:pPr>
      <w:r>
        <w:rPr>
          <w:rFonts w:ascii="Cambria" w:hAnsi="Cambria" w:cs="Times New Roman"/>
          <w:sz w:val="22"/>
          <w:lang w:val="en-US"/>
        </w:rPr>
        <w:t>Self-evidently, a court of law is bound to</w:t>
      </w:r>
      <w:r w:rsidR="00453F41">
        <w:rPr>
          <w:rFonts w:ascii="Cambria" w:hAnsi="Cambria" w:cs="Times New Roman"/>
          <w:sz w:val="22"/>
          <w:lang w:val="en-US"/>
        </w:rPr>
        <w:t xml:space="preserve"> find</w:t>
      </w:r>
      <w:r>
        <w:rPr>
          <w:rFonts w:ascii="Cambria" w:hAnsi="Cambria" w:cs="Times New Roman"/>
          <w:sz w:val="22"/>
          <w:lang w:val="en-US"/>
        </w:rPr>
        <w:t xml:space="preserve"> </w:t>
      </w:r>
      <w:r w:rsidR="00623C98">
        <w:rPr>
          <w:rFonts w:ascii="Cambria" w:hAnsi="Cambria" w:cs="Times New Roman"/>
          <w:sz w:val="22"/>
          <w:lang w:val="en-US"/>
        </w:rPr>
        <w:t>‘</w:t>
      </w:r>
      <w:r>
        <w:rPr>
          <w:rFonts w:ascii="Cambria" w:hAnsi="Cambria" w:cs="Times New Roman"/>
          <w:sz w:val="22"/>
          <w:lang w:val="en-US"/>
        </w:rPr>
        <w:t>suboptimal</w:t>
      </w:r>
      <w:r w:rsidR="00623C98">
        <w:rPr>
          <w:rFonts w:ascii="Cambria" w:hAnsi="Cambria" w:cs="Times New Roman"/>
          <w:sz w:val="22"/>
          <w:lang w:val="en-US"/>
        </w:rPr>
        <w:t>’</w:t>
      </w:r>
      <w:r>
        <w:rPr>
          <w:rFonts w:ascii="Cambria" w:hAnsi="Cambria" w:cs="Times New Roman"/>
          <w:sz w:val="22"/>
          <w:lang w:val="en-US"/>
        </w:rPr>
        <w:t xml:space="preserve"> solutions. It cannot contribute to positive integration requiring p</w:t>
      </w:r>
      <w:r w:rsidR="000B7021">
        <w:rPr>
          <w:rFonts w:ascii="Cambria" w:hAnsi="Cambria" w:cs="Times New Roman"/>
          <w:sz w:val="22"/>
          <w:lang w:val="en-US"/>
        </w:rPr>
        <w:t xml:space="preserve">olicy choices, </w:t>
      </w:r>
      <w:r w:rsidR="00321E5F">
        <w:rPr>
          <w:rFonts w:ascii="Cambria" w:hAnsi="Cambria" w:cs="Times New Roman"/>
          <w:sz w:val="22"/>
          <w:lang w:val="en-US"/>
        </w:rPr>
        <w:t xml:space="preserve">and decisions are necessarily </w:t>
      </w:r>
      <w:r w:rsidR="00EB1AB3">
        <w:rPr>
          <w:rFonts w:ascii="Cambria" w:hAnsi="Cambria" w:cs="Times New Roman"/>
          <w:sz w:val="22"/>
          <w:lang w:val="en-US"/>
        </w:rPr>
        <w:t>delivered on a case-</w:t>
      </w:r>
      <w:r w:rsidR="00453F41">
        <w:rPr>
          <w:rFonts w:ascii="Cambria" w:hAnsi="Cambria" w:cs="Times New Roman"/>
          <w:sz w:val="22"/>
          <w:lang w:val="en-US"/>
        </w:rPr>
        <w:t>by</w:t>
      </w:r>
      <w:r w:rsidR="00EB1AB3">
        <w:rPr>
          <w:rFonts w:ascii="Cambria" w:hAnsi="Cambria" w:cs="Times New Roman"/>
          <w:sz w:val="22"/>
          <w:lang w:val="en-US"/>
        </w:rPr>
        <w:t>-</w:t>
      </w:r>
      <w:r>
        <w:rPr>
          <w:rFonts w:ascii="Cambria" w:hAnsi="Cambria" w:cs="Times New Roman"/>
          <w:sz w:val="22"/>
          <w:lang w:val="en-US"/>
        </w:rPr>
        <w:t>case basis</w:t>
      </w:r>
      <w:r w:rsidR="00321E5F">
        <w:rPr>
          <w:rFonts w:ascii="Cambria" w:hAnsi="Cambria" w:cs="Times New Roman"/>
          <w:sz w:val="22"/>
          <w:lang w:val="en-US"/>
        </w:rPr>
        <w:t xml:space="preserve"> depending on the facts of the case and the legal questions which are thereby raised.</w:t>
      </w:r>
      <w:r w:rsidR="002B7AC8">
        <w:rPr>
          <w:rFonts w:ascii="Cambria" w:hAnsi="Cambria" w:cs="Times New Roman"/>
          <w:sz w:val="22"/>
          <w:lang w:val="en-US"/>
        </w:rPr>
        <w:t xml:space="preserve"> Within </w:t>
      </w:r>
      <w:r w:rsidR="008E4329">
        <w:rPr>
          <w:rFonts w:ascii="Cambria" w:hAnsi="Cambria" w:cs="Times New Roman"/>
          <w:sz w:val="22"/>
          <w:lang w:val="en-US"/>
        </w:rPr>
        <w:t xml:space="preserve">the setting of a </w:t>
      </w:r>
      <w:r w:rsidR="002B7AC8">
        <w:rPr>
          <w:rFonts w:ascii="Cambria" w:hAnsi="Cambria" w:cs="Times New Roman"/>
          <w:sz w:val="22"/>
          <w:lang w:val="en-US"/>
        </w:rPr>
        <w:t>multi-level</w:t>
      </w:r>
      <w:r w:rsidR="008E4329">
        <w:rPr>
          <w:rFonts w:ascii="Cambria" w:hAnsi="Cambria" w:cs="Times New Roman"/>
          <w:sz w:val="22"/>
          <w:lang w:val="en-US"/>
        </w:rPr>
        <w:t>,</w:t>
      </w:r>
      <w:r w:rsidR="002B7AC8">
        <w:rPr>
          <w:rFonts w:ascii="Cambria" w:hAnsi="Cambria" w:cs="Times New Roman"/>
          <w:sz w:val="22"/>
          <w:lang w:val="en-US"/>
        </w:rPr>
        <w:t xml:space="preserve"> distributional system of sovereignty</w:t>
      </w:r>
      <w:r w:rsidR="008E4329">
        <w:rPr>
          <w:rFonts w:ascii="Cambria" w:hAnsi="Cambria" w:cs="Times New Roman"/>
          <w:sz w:val="22"/>
          <w:lang w:val="en-US"/>
        </w:rPr>
        <w:t xml:space="preserve"> in the socio-economic field and in the light of the </w:t>
      </w:r>
      <w:r w:rsidR="00623C98">
        <w:rPr>
          <w:rFonts w:ascii="Cambria" w:hAnsi="Cambria" w:cs="Times New Roman"/>
          <w:sz w:val="22"/>
          <w:lang w:val="en-US"/>
        </w:rPr>
        <w:t xml:space="preserve">broad general </w:t>
      </w:r>
      <w:r w:rsidR="008E4329">
        <w:rPr>
          <w:rFonts w:ascii="Cambria" w:hAnsi="Cambria" w:cs="Times New Roman"/>
          <w:sz w:val="22"/>
          <w:lang w:val="en-US"/>
        </w:rPr>
        <w:t xml:space="preserve">objectives of the Union, </w:t>
      </w:r>
      <w:r w:rsidR="00623C98">
        <w:rPr>
          <w:rFonts w:ascii="Cambria" w:hAnsi="Cambria" w:cs="Times New Roman"/>
          <w:sz w:val="22"/>
          <w:lang w:val="en-US"/>
        </w:rPr>
        <w:t xml:space="preserve">a supranational court, however, </w:t>
      </w:r>
      <w:r w:rsidR="001B6E65">
        <w:rPr>
          <w:rFonts w:ascii="Cambria" w:hAnsi="Cambria" w:cs="Times New Roman"/>
          <w:sz w:val="22"/>
          <w:lang w:val="en-US"/>
        </w:rPr>
        <w:t xml:space="preserve">is </w:t>
      </w:r>
      <w:r w:rsidR="00623C98">
        <w:rPr>
          <w:rFonts w:ascii="Cambria" w:hAnsi="Cambria" w:cs="Times New Roman"/>
          <w:sz w:val="22"/>
          <w:lang w:val="en-US"/>
        </w:rPr>
        <w:t>in princip</w:t>
      </w:r>
      <w:r w:rsidR="00453F41">
        <w:rPr>
          <w:rFonts w:ascii="Cambria" w:hAnsi="Cambria" w:cs="Times New Roman"/>
          <w:sz w:val="22"/>
          <w:lang w:val="en-US"/>
        </w:rPr>
        <w:t>le</w:t>
      </w:r>
      <w:r w:rsidR="00623C98">
        <w:rPr>
          <w:rFonts w:ascii="Cambria" w:hAnsi="Cambria" w:cs="Times New Roman"/>
          <w:sz w:val="22"/>
          <w:lang w:val="en-US"/>
        </w:rPr>
        <w:t xml:space="preserve"> </w:t>
      </w:r>
      <w:r w:rsidR="008E4329">
        <w:rPr>
          <w:rFonts w:ascii="Cambria" w:hAnsi="Cambria" w:cs="Times New Roman"/>
          <w:sz w:val="22"/>
          <w:lang w:val="en-US"/>
        </w:rPr>
        <w:t>capable</w:t>
      </w:r>
      <w:r w:rsidR="00623C98">
        <w:rPr>
          <w:rFonts w:ascii="Cambria" w:hAnsi="Cambria" w:cs="Times New Roman"/>
          <w:sz w:val="22"/>
          <w:lang w:val="en-US"/>
        </w:rPr>
        <w:t xml:space="preserve"> of weighing conflicting economic</w:t>
      </w:r>
      <w:r w:rsidR="00F209CE">
        <w:rPr>
          <w:rFonts w:ascii="Cambria" w:hAnsi="Cambria" w:cs="Times New Roman"/>
          <w:sz w:val="22"/>
          <w:lang w:val="en-US"/>
        </w:rPr>
        <w:t xml:space="preserve"> and social values</w:t>
      </w:r>
      <w:r w:rsidR="00291019">
        <w:rPr>
          <w:rFonts w:ascii="Cambria" w:hAnsi="Cambria" w:cs="Times New Roman"/>
          <w:sz w:val="22"/>
          <w:lang w:val="en-US"/>
        </w:rPr>
        <w:t xml:space="preserve"> on an equal footing</w:t>
      </w:r>
      <w:r w:rsidR="00F209CE">
        <w:rPr>
          <w:rFonts w:ascii="Cambria" w:hAnsi="Cambria" w:cs="Times New Roman"/>
          <w:sz w:val="22"/>
          <w:lang w:val="en-US"/>
        </w:rPr>
        <w:t xml:space="preserve">. </w:t>
      </w:r>
    </w:p>
    <w:p w:rsidR="003B17CF" w:rsidRDefault="008E4329" w:rsidP="00831293">
      <w:pPr>
        <w:spacing w:after="0" w:line="240" w:lineRule="auto"/>
        <w:jc w:val="both"/>
        <w:rPr>
          <w:rFonts w:ascii="Cambria" w:hAnsi="Cambria" w:cs="Times New Roman"/>
          <w:sz w:val="22"/>
        </w:rPr>
      </w:pPr>
      <w:r>
        <w:rPr>
          <w:rFonts w:ascii="Cambria" w:hAnsi="Cambria" w:cs="Times New Roman"/>
          <w:sz w:val="22"/>
          <w:lang w:val="en-US"/>
        </w:rPr>
        <w:t xml:space="preserve">It turns out from the case law discussed that </w:t>
      </w:r>
      <w:r w:rsidR="00EB1AB3" w:rsidRPr="00EB1AB3">
        <w:rPr>
          <w:rFonts w:ascii="Cambria" w:hAnsi="Cambria" w:cs="Times New Roman"/>
          <w:sz w:val="22"/>
          <w:lang w:val="en-US"/>
        </w:rPr>
        <w:t xml:space="preserve">the free movement scheme </w:t>
      </w:r>
      <w:r w:rsidR="00EB1AB3">
        <w:rPr>
          <w:rFonts w:ascii="Cambria" w:hAnsi="Cambria" w:cs="Times New Roman"/>
          <w:sz w:val="22"/>
          <w:lang w:val="en-US"/>
        </w:rPr>
        <w:t xml:space="preserve">applied by the Court in this respect </w:t>
      </w:r>
      <w:r w:rsidR="00EB1AB3" w:rsidRPr="00EB1AB3">
        <w:rPr>
          <w:rFonts w:ascii="Cambria" w:hAnsi="Cambria" w:cs="Times New Roman"/>
          <w:sz w:val="22"/>
          <w:lang w:val="en-US"/>
        </w:rPr>
        <w:t>potentially allows for the consideration of social policy objectives and social rights – similar to other fundament</w:t>
      </w:r>
      <w:r w:rsidR="00EB1AB3">
        <w:rPr>
          <w:rFonts w:ascii="Cambria" w:hAnsi="Cambria" w:cs="Times New Roman"/>
          <w:sz w:val="22"/>
          <w:lang w:val="en-US"/>
        </w:rPr>
        <w:t xml:space="preserve">al rights and public interests. </w:t>
      </w:r>
      <w:r w:rsidR="00F209CE">
        <w:rPr>
          <w:rFonts w:ascii="Cambria" w:hAnsi="Cambria" w:cs="Times New Roman"/>
          <w:sz w:val="22"/>
          <w:lang w:val="en-US"/>
        </w:rPr>
        <w:t xml:space="preserve">It is </w:t>
      </w:r>
      <w:r w:rsidR="00F209CE">
        <w:rPr>
          <w:rFonts w:ascii="Cambria" w:hAnsi="Cambria" w:cs="Times New Roman"/>
          <w:sz w:val="22"/>
        </w:rPr>
        <w:t xml:space="preserve">often the </w:t>
      </w:r>
      <w:r w:rsidR="00623C98">
        <w:rPr>
          <w:rFonts w:ascii="Cambria" w:hAnsi="Cambria" w:cs="Times New Roman"/>
          <w:sz w:val="22"/>
        </w:rPr>
        <w:t>propor</w:t>
      </w:r>
      <w:r w:rsidR="00FB5E83">
        <w:rPr>
          <w:rFonts w:ascii="Cambria" w:hAnsi="Cambria" w:cs="Times New Roman"/>
          <w:sz w:val="22"/>
        </w:rPr>
        <w:softHyphen/>
      </w:r>
      <w:r w:rsidR="00623C98">
        <w:rPr>
          <w:rFonts w:ascii="Cambria" w:hAnsi="Cambria" w:cs="Times New Roman"/>
          <w:sz w:val="22"/>
        </w:rPr>
        <w:t>tionality</w:t>
      </w:r>
      <w:r w:rsidR="00F209CE">
        <w:rPr>
          <w:rFonts w:ascii="Cambria" w:hAnsi="Cambria" w:cs="Times New Roman"/>
          <w:sz w:val="22"/>
        </w:rPr>
        <w:t xml:space="preserve"> test applied </w:t>
      </w:r>
      <w:r w:rsidR="00291019">
        <w:rPr>
          <w:rFonts w:ascii="Cambria" w:hAnsi="Cambria" w:cs="Times New Roman"/>
          <w:sz w:val="22"/>
        </w:rPr>
        <w:t xml:space="preserve">that </w:t>
      </w:r>
      <w:r w:rsidR="00F209CE">
        <w:rPr>
          <w:rFonts w:ascii="Cambria" w:hAnsi="Cambria" w:cs="Times New Roman"/>
          <w:sz w:val="22"/>
        </w:rPr>
        <w:t>plays a key role.</w:t>
      </w:r>
      <w:r w:rsidR="00F209CE" w:rsidRPr="00F209CE">
        <w:rPr>
          <w:rFonts w:ascii="Cambria" w:hAnsi="Cambria" w:cs="Times New Roman"/>
          <w:sz w:val="22"/>
        </w:rPr>
        <w:t xml:space="preserve"> In spite of ‘the language of prima facie breach of economic rights’ </w:t>
      </w:r>
      <w:r w:rsidR="00F209CE">
        <w:rPr>
          <w:rFonts w:ascii="Cambria" w:hAnsi="Cambria" w:cs="Times New Roman"/>
          <w:sz w:val="22"/>
        </w:rPr>
        <w:t xml:space="preserve">that comes with the free movement </w:t>
      </w:r>
      <w:r w:rsidR="00F209CE" w:rsidRPr="00F209CE">
        <w:rPr>
          <w:rFonts w:ascii="Cambria" w:hAnsi="Cambria" w:cs="Times New Roman"/>
          <w:sz w:val="22"/>
        </w:rPr>
        <w:t>scheme,</w:t>
      </w:r>
      <w:r w:rsidR="00F209CE">
        <w:rPr>
          <w:rFonts w:ascii="Cambria" w:hAnsi="Cambria" w:cs="Times New Roman"/>
          <w:sz w:val="22"/>
        </w:rPr>
        <w:t xml:space="preserve"> the Court developed</w:t>
      </w:r>
      <w:r w:rsidR="00291019">
        <w:rPr>
          <w:rFonts w:ascii="Cambria" w:hAnsi="Cambria" w:cs="Times New Roman"/>
          <w:sz w:val="22"/>
        </w:rPr>
        <w:t xml:space="preserve"> marginal or procedural</w:t>
      </w:r>
      <w:r w:rsidR="00FB5E83">
        <w:rPr>
          <w:rFonts w:ascii="Cambria" w:hAnsi="Cambria" w:cs="Times New Roman"/>
          <w:sz w:val="22"/>
        </w:rPr>
        <w:t xml:space="preserve"> forms of </w:t>
      </w:r>
      <w:r w:rsidR="00291019">
        <w:rPr>
          <w:rFonts w:ascii="Cambria" w:hAnsi="Cambria" w:cs="Times New Roman"/>
          <w:sz w:val="22"/>
        </w:rPr>
        <w:t>proportionality</w:t>
      </w:r>
      <w:r w:rsidR="00FB5E83">
        <w:rPr>
          <w:rFonts w:ascii="Cambria" w:hAnsi="Cambria" w:cs="Times New Roman"/>
          <w:sz w:val="22"/>
        </w:rPr>
        <w:t xml:space="preserve"> </w:t>
      </w:r>
      <w:r w:rsidR="00291019">
        <w:rPr>
          <w:rFonts w:ascii="Cambria" w:hAnsi="Cambria" w:cs="Times New Roman"/>
          <w:sz w:val="22"/>
        </w:rPr>
        <w:t xml:space="preserve">that </w:t>
      </w:r>
      <w:r w:rsidR="001B6E65">
        <w:rPr>
          <w:rFonts w:ascii="Cambria" w:hAnsi="Cambria" w:cs="Times New Roman"/>
          <w:sz w:val="22"/>
        </w:rPr>
        <w:t xml:space="preserve">in fact can </w:t>
      </w:r>
      <w:r w:rsidR="00A71655">
        <w:rPr>
          <w:rFonts w:ascii="Cambria" w:hAnsi="Cambria" w:cs="Times New Roman"/>
          <w:sz w:val="22"/>
        </w:rPr>
        <w:t xml:space="preserve">put conflicting </w:t>
      </w:r>
      <w:r w:rsidR="00291019">
        <w:rPr>
          <w:rFonts w:ascii="Cambria" w:hAnsi="Cambria" w:cs="Times New Roman"/>
          <w:sz w:val="22"/>
        </w:rPr>
        <w:t>human rights</w:t>
      </w:r>
      <w:r w:rsidR="00EA556F">
        <w:rPr>
          <w:rFonts w:ascii="Cambria" w:hAnsi="Cambria" w:cs="Times New Roman"/>
          <w:sz w:val="22"/>
        </w:rPr>
        <w:t>’</w:t>
      </w:r>
      <w:r w:rsidR="00291019">
        <w:rPr>
          <w:rFonts w:ascii="Cambria" w:hAnsi="Cambria" w:cs="Times New Roman"/>
          <w:sz w:val="22"/>
        </w:rPr>
        <w:t xml:space="preserve"> protection and fundamental freedoms </w:t>
      </w:r>
      <w:r w:rsidR="00291019" w:rsidRPr="00291019">
        <w:rPr>
          <w:rFonts w:ascii="Cambria" w:hAnsi="Cambria" w:cs="Times New Roman"/>
          <w:sz w:val="22"/>
        </w:rPr>
        <w:t>on an equal footing</w:t>
      </w:r>
      <w:r w:rsidR="00291019">
        <w:rPr>
          <w:rFonts w:ascii="Cambria" w:hAnsi="Cambria" w:cs="Times New Roman"/>
          <w:sz w:val="22"/>
        </w:rPr>
        <w:t>.</w:t>
      </w:r>
      <w:r w:rsidR="001B6E65">
        <w:rPr>
          <w:rFonts w:ascii="Cambria" w:hAnsi="Cambria" w:cs="Times New Roman"/>
          <w:sz w:val="22"/>
        </w:rPr>
        <w:t xml:space="preserve"> At the same time, the case law on especially European employment rights (posted workers, </w:t>
      </w:r>
      <w:r w:rsidR="00C00295">
        <w:rPr>
          <w:rFonts w:ascii="Cambria" w:hAnsi="Cambria" w:cs="Times New Roman"/>
          <w:sz w:val="22"/>
        </w:rPr>
        <w:t xml:space="preserve">the </w:t>
      </w:r>
      <w:r w:rsidR="001B6E65">
        <w:rPr>
          <w:rFonts w:ascii="Cambria" w:hAnsi="Cambria" w:cs="Times New Roman"/>
          <w:sz w:val="22"/>
        </w:rPr>
        <w:t xml:space="preserve">transfer of </w:t>
      </w:r>
      <w:r w:rsidR="00C00295">
        <w:rPr>
          <w:rFonts w:ascii="Cambria" w:hAnsi="Cambria" w:cs="Times New Roman"/>
          <w:sz w:val="22"/>
        </w:rPr>
        <w:t xml:space="preserve">an </w:t>
      </w:r>
      <w:r w:rsidR="001B6E65">
        <w:rPr>
          <w:rFonts w:ascii="Cambria" w:hAnsi="Cambria" w:cs="Times New Roman"/>
          <w:sz w:val="22"/>
        </w:rPr>
        <w:t xml:space="preserve">undertaking) and the fundamental right to collective bargaining in case of </w:t>
      </w:r>
      <w:r w:rsidR="00C00295">
        <w:rPr>
          <w:rFonts w:ascii="Cambria" w:hAnsi="Cambria" w:cs="Times New Roman"/>
          <w:sz w:val="22"/>
        </w:rPr>
        <w:t xml:space="preserve">a </w:t>
      </w:r>
      <w:r w:rsidR="001B6E65">
        <w:rPr>
          <w:rFonts w:ascii="Cambria" w:hAnsi="Cambria" w:cs="Times New Roman"/>
          <w:sz w:val="22"/>
        </w:rPr>
        <w:t xml:space="preserve">conflict with fundamental economic freedoms, </w:t>
      </w:r>
      <w:r w:rsidR="00C00295">
        <w:rPr>
          <w:rFonts w:ascii="Cambria" w:hAnsi="Cambria" w:cs="Times New Roman"/>
          <w:sz w:val="22"/>
        </w:rPr>
        <w:t xml:space="preserve">does not </w:t>
      </w:r>
      <w:r w:rsidR="001B6E65">
        <w:rPr>
          <w:rFonts w:ascii="Cambria" w:hAnsi="Cambria" w:cs="Times New Roman"/>
          <w:sz w:val="22"/>
        </w:rPr>
        <w:t>always</w:t>
      </w:r>
      <w:r w:rsidR="00C00295">
        <w:rPr>
          <w:rFonts w:ascii="Cambria" w:hAnsi="Cambria" w:cs="Times New Roman"/>
          <w:sz w:val="22"/>
        </w:rPr>
        <w:t xml:space="preserve"> seem to be</w:t>
      </w:r>
      <w:r w:rsidR="001B6E65">
        <w:rPr>
          <w:rFonts w:ascii="Cambria" w:hAnsi="Cambria" w:cs="Times New Roman"/>
          <w:sz w:val="22"/>
        </w:rPr>
        <w:t xml:space="preserve"> consistent in that regard. The Court sometimes raises the suspicion of being inclined to</w:t>
      </w:r>
      <w:r w:rsidR="003B17CF">
        <w:rPr>
          <w:rFonts w:ascii="Cambria" w:hAnsi="Cambria" w:cs="Times New Roman"/>
          <w:sz w:val="22"/>
        </w:rPr>
        <w:t xml:space="preserve"> subordinate the former to the latter. </w:t>
      </w:r>
    </w:p>
    <w:p w:rsidR="00AD625A" w:rsidRDefault="003B17CF" w:rsidP="00AD625A">
      <w:pPr>
        <w:spacing w:after="0" w:line="240" w:lineRule="auto"/>
        <w:jc w:val="both"/>
        <w:rPr>
          <w:rFonts w:ascii="Cambria" w:hAnsi="Cambria"/>
          <w:sz w:val="22"/>
          <w:lang w:val="en-US"/>
        </w:rPr>
      </w:pPr>
      <w:r>
        <w:rPr>
          <w:rFonts w:ascii="Cambria" w:hAnsi="Cambria" w:cs="Times New Roman"/>
          <w:sz w:val="22"/>
        </w:rPr>
        <w:t>Particular</w:t>
      </w:r>
      <w:r w:rsidR="00C00295">
        <w:rPr>
          <w:rFonts w:ascii="Cambria" w:hAnsi="Cambria" w:cs="Times New Roman"/>
          <w:sz w:val="22"/>
        </w:rPr>
        <w:t>ly</w:t>
      </w:r>
      <w:r>
        <w:rPr>
          <w:rFonts w:ascii="Cambria" w:hAnsi="Cambria" w:cs="Times New Roman"/>
          <w:sz w:val="22"/>
        </w:rPr>
        <w:t xml:space="preserve"> when the four freedoms clash with fundamental human rights</w:t>
      </w:r>
      <w:r w:rsidR="00C00295">
        <w:rPr>
          <w:rFonts w:ascii="Cambria" w:hAnsi="Cambria" w:cs="Times New Roman"/>
          <w:sz w:val="22"/>
        </w:rPr>
        <w:t>,</w:t>
      </w:r>
      <w:r>
        <w:rPr>
          <w:rFonts w:ascii="Cambria" w:hAnsi="Cambria" w:cs="Times New Roman"/>
          <w:sz w:val="22"/>
        </w:rPr>
        <w:t xml:space="preserve"> </w:t>
      </w:r>
      <w:r w:rsidR="00C00295">
        <w:rPr>
          <w:rFonts w:ascii="Cambria" w:hAnsi="Cambria" w:cs="Times New Roman"/>
          <w:sz w:val="22"/>
        </w:rPr>
        <w:t xml:space="preserve">a </w:t>
      </w:r>
      <w:r>
        <w:rPr>
          <w:rFonts w:ascii="Cambria" w:hAnsi="Cambria"/>
          <w:sz w:val="22"/>
          <w:lang w:val="en-US"/>
        </w:rPr>
        <w:t>p</w:t>
      </w:r>
      <w:r w:rsidR="0030731E" w:rsidRPr="003B17CF">
        <w:rPr>
          <w:rFonts w:ascii="Cambria" w:hAnsi="Cambria"/>
          <w:sz w:val="22"/>
          <w:lang w:val="en-US"/>
        </w:rPr>
        <w:t xml:space="preserve">rocedural review as suggested by Barnard or </w:t>
      </w:r>
      <w:r>
        <w:rPr>
          <w:rFonts w:ascii="Cambria" w:hAnsi="Cambria"/>
          <w:sz w:val="22"/>
          <w:lang w:val="en-US"/>
        </w:rPr>
        <w:t xml:space="preserve">a </w:t>
      </w:r>
      <w:r w:rsidR="0030731E" w:rsidRPr="003B17CF">
        <w:rPr>
          <w:rFonts w:ascii="Cambria" w:hAnsi="Cambria"/>
          <w:sz w:val="22"/>
          <w:lang w:val="en-US"/>
        </w:rPr>
        <w:t xml:space="preserve">true balancing approach as suggested by AG Trstenjak </w:t>
      </w:r>
      <w:r w:rsidR="0046139B">
        <w:rPr>
          <w:rFonts w:ascii="Cambria" w:hAnsi="Cambria"/>
          <w:sz w:val="22"/>
          <w:lang w:val="en-US"/>
        </w:rPr>
        <w:t xml:space="preserve">in </w:t>
      </w:r>
      <w:r w:rsidR="0030731E" w:rsidRPr="003B17CF">
        <w:rPr>
          <w:rFonts w:ascii="Cambria" w:hAnsi="Cambria"/>
          <w:i/>
          <w:sz w:val="22"/>
          <w:lang w:val="en-US"/>
        </w:rPr>
        <w:t>Commission v Germany</w:t>
      </w:r>
      <w:r w:rsidR="00AD625A">
        <w:rPr>
          <w:rFonts w:ascii="Cambria" w:hAnsi="Cambria"/>
          <w:sz w:val="22"/>
          <w:lang w:val="en-US"/>
        </w:rPr>
        <w:t xml:space="preserve"> could be in order</w:t>
      </w:r>
      <w:r>
        <w:rPr>
          <w:rFonts w:ascii="Cambria" w:hAnsi="Cambria"/>
          <w:sz w:val="22"/>
          <w:lang w:val="en-US"/>
        </w:rPr>
        <w:t>.</w:t>
      </w:r>
      <w:r>
        <w:rPr>
          <w:rStyle w:val="Voetnootmarkering"/>
          <w:rFonts w:ascii="Cambria" w:hAnsi="Cambria"/>
          <w:sz w:val="22"/>
          <w:lang w:val="en-US"/>
        </w:rPr>
        <w:footnoteReference w:id="115"/>
      </w:r>
      <w:r w:rsidR="00AD625A">
        <w:rPr>
          <w:rFonts w:ascii="Cambria" w:hAnsi="Cambria"/>
          <w:sz w:val="22"/>
          <w:lang w:val="en-US"/>
        </w:rPr>
        <w:t xml:space="preserve"> </w:t>
      </w:r>
      <w:r w:rsidR="00C00295">
        <w:rPr>
          <w:rFonts w:ascii="Cambria" w:hAnsi="Cambria"/>
          <w:sz w:val="22"/>
          <w:lang w:val="en-US"/>
        </w:rPr>
        <w:t>Alt</w:t>
      </w:r>
      <w:r w:rsidR="00AD625A">
        <w:rPr>
          <w:rFonts w:ascii="Cambria" w:hAnsi="Cambria"/>
          <w:sz w:val="22"/>
          <w:lang w:val="en-US"/>
        </w:rPr>
        <w:t>hough the EU Charter on Human R</w:t>
      </w:r>
      <w:r>
        <w:rPr>
          <w:rFonts w:ascii="Cambria" w:hAnsi="Cambria"/>
          <w:sz w:val="22"/>
          <w:lang w:val="en-US"/>
        </w:rPr>
        <w:t>ights</w:t>
      </w:r>
      <w:r w:rsidR="00AD625A">
        <w:rPr>
          <w:rFonts w:ascii="Cambria" w:hAnsi="Cambria"/>
          <w:sz w:val="22"/>
          <w:lang w:val="en-US"/>
        </w:rPr>
        <w:t xml:space="preserve">, due to some hurdles discussed, will probably not have a major influence on the present ways by which the Court strives for </w:t>
      </w:r>
      <w:r w:rsidR="00C00295">
        <w:rPr>
          <w:rFonts w:ascii="Cambria" w:hAnsi="Cambria"/>
          <w:sz w:val="22"/>
          <w:lang w:val="en-US"/>
        </w:rPr>
        <w:t xml:space="preserve">the </w:t>
      </w:r>
      <w:r w:rsidR="00AD625A">
        <w:rPr>
          <w:rFonts w:ascii="Cambria" w:hAnsi="Cambria"/>
          <w:sz w:val="22"/>
          <w:lang w:val="en-US"/>
        </w:rPr>
        <w:t>reconcilia</w:t>
      </w:r>
      <w:r w:rsidR="00AD625A">
        <w:rPr>
          <w:rFonts w:ascii="Cambria" w:hAnsi="Cambria"/>
          <w:sz w:val="22"/>
          <w:lang w:val="en-US"/>
        </w:rPr>
        <w:softHyphen/>
        <w:t xml:space="preserve">tion of economic and social values, </w:t>
      </w:r>
      <w:r w:rsidR="00B82EE6">
        <w:rPr>
          <w:rFonts w:ascii="Cambria" w:hAnsi="Cambria"/>
          <w:sz w:val="22"/>
          <w:lang w:val="en-US"/>
        </w:rPr>
        <w:t xml:space="preserve">nevertheless the Charter </w:t>
      </w:r>
      <w:r w:rsidR="00C00295">
        <w:rPr>
          <w:rFonts w:ascii="Cambria" w:hAnsi="Cambria"/>
          <w:sz w:val="22"/>
          <w:lang w:val="en-US"/>
        </w:rPr>
        <w:t>at</w:t>
      </w:r>
      <w:r w:rsidR="00AD625A">
        <w:rPr>
          <w:rFonts w:ascii="Cambria" w:hAnsi="Cambria"/>
          <w:sz w:val="22"/>
          <w:lang w:val="en-US"/>
        </w:rPr>
        <w:t xml:space="preserve"> least</w:t>
      </w:r>
      <w:r w:rsidR="00B82EE6">
        <w:rPr>
          <w:rFonts w:ascii="Cambria" w:hAnsi="Cambria"/>
          <w:sz w:val="22"/>
          <w:lang w:val="en-US"/>
        </w:rPr>
        <w:t xml:space="preserve"> makes</w:t>
      </w:r>
      <w:r w:rsidR="00AD625A">
        <w:rPr>
          <w:rFonts w:ascii="Cambria" w:hAnsi="Cambria"/>
          <w:sz w:val="22"/>
          <w:lang w:val="en-US"/>
        </w:rPr>
        <w:t xml:space="preserve"> clear </w:t>
      </w:r>
      <w:r w:rsidR="00C00295">
        <w:rPr>
          <w:rFonts w:ascii="Cambria" w:hAnsi="Cambria"/>
          <w:sz w:val="22"/>
          <w:lang w:val="en-US"/>
        </w:rPr>
        <w:t xml:space="preserve">that </w:t>
      </w:r>
      <w:r w:rsidR="00B82EE6">
        <w:rPr>
          <w:rFonts w:ascii="Cambria" w:hAnsi="Cambria"/>
          <w:sz w:val="22"/>
          <w:lang w:val="en-US"/>
        </w:rPr>
        <w:t xml:space="preserve">there is no hierarchy </w:t>
      </w:r>
      <w:r w:rsidR="00AD625A">
        <w:rPr>
          <w:rFonts w:ascii="Cambria" w:hAnsi="Cambria"/>
          <w:sz w:val="22"/>
          <w:lang w:val="en-US"/>
        </w:rPr>
        <w:t>of norms</w:t>
      </w:r>
      <w:r w:rsidR="00B82EE6">
        <w:rPr>
          <w:rFonts w:ascii="Cambria" w:hAnsi="Cambria"/>
          <w:sz w:val="22"/>
          <w:lang w:val="en-US"/>
        </w:rPr>
        <w:t xml:space="preserve"> and, therefore, also </w:t>
      </w:r>
      <w:r w:rsidR="00AD625A" w:rsidRPr="00AD625A">
        <w:rPr>
          <w:rFonts w:ascii="Cambria" w:hAnsi="Cambria"/>
          <w:sz w:val="22"/>
          <w:lang w:val="en-US"/>
        </w:rPr>
        <w:t xml:space="preserve">social </w:t>
      </w:r>
      <w:r w:rsidR="00B82EE6">
        <w:rPr>
          <w:rFonts w:ascii="Cambria" w:hAnsi="Cambria"/>
          <w:sz w:val="22"/>
          <w:lang w:val="en-US"/>
        </w:rPr>
        <w:t xml:space="preserve">fundamental </w:t>
      </w:r>
      <w:r w:rsidR="00AD625A" w:rsidRPr="00AD625A">
        <w:rPr>
          <w:rFonts w:ascii="Cambria" w:hAnsi="Cambria"/>
          <w:sz w:val="22"/>
          <w:lang w:val="en-US"/>
        </w:rPr>
        <w:t>rights should be assessed on their merits and not subsumed under other objectives.</w:t>
      </w:r>
    </w:p>
    <w:p w:rsidR="006B6270" w:rsidRDefault="006B6270" w:rsidP="00DF3AD8">
      <w:pPr>
        <w:spacing w:after="0" w:line="240" w:lineRule="auto"/>
        <w:jc w:val="both"/>
        <w:rPr>
          <w:rFonts w:ascii="Cambria" w:hAnsi="Cambria"/>
          <w:sz w:val="22"/>
          <w:lang w:val="en-US"/>
        </w:rPr>
      </w:pPr>
    </w:p>
    <w:p w:rsidR="007A7A75" w:rsidRDefault="006B6270" w:rsidP="00DF3AD8">
      <w:pPr>
        <w:spacing w:after="0" w:line="240" w:lineRule="auto"/>
        <w:jc w:val="both"/>
        <w:rPr>
          <w:rFonts w:ascii="Cambria" w:hAnsi="Cambria" w:cs="Times New Roman"/>
          <w:sz w:val="22"/>
          <w:lang w:val="en-US"/>
        </w:rPr>
      </w:pPr>
      <w:r>
        <w:rPr>
          <w:rFonts w:ascii="Cambria" w:hAnsi="Cambria"/>
          <w:sz w:val="22"/>
          <w:lang w:val="en-US"/>
        </w:rPr>
        <w:t>To conclude, a</w:t>
      </w:r>
      <w:r w:rsidR="00B82EE6" w:rsidRPr="00B82EE6">
        <w:rPr>
          <w:rFonts w:ascii="Cambria" w:hAnsi="Cambria"/>
          <w:sz w:val="22"/>
          <w:lang w:val="en-US"/>
        </w:rPr>
        <w:t xml:space="preserve"> true balancing approach</w:t>
      </w:r>
      <w:r w:rsidR="00B82EE6">
        <w:rPr>
          <w:rFonts w:ascii="Cambria" w:hAnsi="Cambria"/>
          <w:sz w:val="22"/>
          <w:lang w:val="en-US"/>
        </w:rPr>
        <w:t xml:space="preserve"> of fundamental freedoms and (</w:t>
      </w:r>
      <w:r w:rsidR="00C00295">
        <w:rPr>
          <w:rFonts w:ascii="Cambria" w:hAnsi="Cambria"/>
          <w:sz w:val="22"/>
          <w:lang w:val="en-US"/>
        </w:rPr>
        <w:t xml:space="preserve">the </w:t>
      </w:r>
      <w:r w:rsidR="00B82EE6">
        <w:rPr>
          <w:rFonts w:ascii="Cambria" w:hAnsi="Cambria"/>
          <w:sz w:val="22"/>
          <w:lang w:val="en-US"/>
        </w:rPr>
        <w:t>protection of) funda</w:t>
      </w:r>
      <w:r w:rsidR="00D34F03">
        <w:rPr>
          <w:rFonts w:ascii="Cambria" w:hAnsi="Cambria"/>
          <w:sz w:val="22"/>
          <w:lang w:val="en-US"/>
        </w:rPr>
        <w:softHyphen/>
      </w:r>
      <w:r w:rsidR="00B82EE6">
        <w:rPr>
          <w:rFonts w:ascii="Cambria" w:hAnsi="Cambria"/>
          <w:sz w:val="22"/>
          <w:lang w:val="en-US"/>
        </w:rPr>
        <w:t xml:space="preserve">mental </w:t>
      </w:r>
      <w:r w:rsidR="00F966BA">
        <w:rPr>
          <w:rFonts w:ascii="Cambria" w:hAnsi="Cambria"/>
          <w:sz w:val="22"/>
          <w:lang w:val="en-US"/>
        </w:rPr>
        <w:t xml:space="preserve">social </w:t>
      </w:r>
      <w:r w:rsidR="00B82EE6">
        <w:rPr>
          <w:rFonts w:ascii="Cambria" w:hAnsi="Cambria"/>
          <w:sz w:val="22"/>
          <w:lang w:val="en-US"/>
        </w:rPr>
        <w:t>rights might lessen the ‘effet utile’ of the economic freedoms</w:t>
      </w:r>
      <w:r w:rsidR="00F966BA">
        <w:rPr>
          <w:rFonts w:ascii="Cambria" w:hAnsi="Cambria"/>
          <w:sz w:val="22"/>
          <w:lang w:val="en-US"/>
        </w:rPr>
        <w:t xml:space="preserve"> to a certain extent. But would</w:t>
      </w:r>
      <w:r w:rsidR="002F7EC9">
        <w:rPr>
          <w:rFonts w:ascii="Cambria" w:hAnsi="Cambria"/>
          <w:sz w:val="22"/>
          <w:lang w:val="en-US"/>
        </w:rPr>
        <w:t xml:space="preserve"> this not </w:t>
      </w:r>
      <w:r w:rsidR="00F966BA">
        <w:rPr>
          <w:rFonts w:ascii="Cambria" w:hAnsi="Cambria"/>
          <w:sz w:val="22"/>
          <w:lang w:val="en-US"/>
        </w:rPr>
        <w:t xml:space="preserve">be </w:t>
      </w:r>
      <w:r w:rsidR="002F7EC9">
        <w:rPr>
          <w:rFonts w:ascii="Cambria" w:hAnsi="Cambria"/>
          <w:sz w:val="22"/>
          <w:lang w:val="en-US"/>
        </w:rPr>
        <w:t>counter</w:t>
      </w:r>
      <w:r w:rsidR="00B82EE6">
        <w:rPr>
          <w:rFonts w:ascii="Cambria" w:hAnsi="Cambria"/>
          <w:sz w:val="22"/>
          <w:lang w:val="en-US"/>
        </w:rPr>
        <w:t>balanced</w:t>
      </w:r>
      <w:r w:rsidR="000B7021">
        <w:rPr>
          <w:rFonts w:ascii="Cambria" w:hAnsi="Cambria"/>
          <w:sz w:val="22"/>
          <w:lang w:val="en-US"/>
        </w:rPr>
        <w:t xml:space="preserve"> by the increased </w:t>
      </w:r>
      <w:r>
        <w:rPr>
          <w:rFonts w:ascii="Cambria" w:hAnsi="Cambria"/>
          <w:sz w:val="22"/>
          <w:lang w:val="en-US"/>
        </w:rPr>
        <w:t xml:space="preserve">margin of discretion </w:t>
      </w:r>
      <w:r w:rsidR="000B7021">
        <w:rPr>
          <w:rFonts w:ascii="Cambria" w:hAnsi="Cambria"/>
          <w:sz w:val="22"/>
          <w:lang w:val="en-US"/>
        </w:rPr>
        <w:t xml:space="preserve">to pursue </w:t>
      </w:r>
      <w:r w:rsidR="002F7EC9">
        <w:rPr>
          <w:rFonts w:ascii="Cambria" w:hAnsi="Cambria"/>
          <w:sz w:val="22"/>
          <w:lang w:val="en-US"/>
        </w:rPr>
        <w:t xml:space="preserve">differentiated, market-correcting </w:t>
      </w:r>
      <w:r>
        <w:rPr>
          <w:rFonts w:ascii="Cambria" w:hAnsi="Cambria"/>
          <w:sz w:val="22"/>
          <w:lang w:val="en-US"/>
        </w:rPr>
        <w:t>policies</w:t>
      </w:r>
      <w:r w:rsidR="00F966BA">
        <w:rPr>
          <w:rFonts w:ascii="Cambria" w:hAnsi="Cambria"/>
          <w:sz w:val="22"/>
          <w:lang w:val="en-US"/>
        </w:rPr>
        <w:t xml:space="preserve">, </w:t>
      </w:r>
      <w:r w:rsidR="007A7A75">
        <w:rPr>
          <w:rFonts w:ascii="Cambria" w:hAnsi="Cambria"/>
          <w:sz w:val="22"/>
          <w:lang w:val="en-US"/>
        </w:rPr>
        <w:t xml:space="preserve">at least </w:t>
      </w:r>
      <w:r w:rsidR="00F966BA">
        <w:rPr>
          <w:rFonts w:ascii="Cambria" w:hAnsi="Cambria"/>
          <w:sz w:val="22"/>
          <w:lang w:val="en-US"/>
        </w:rPr>
        <w:t xml:space="preserve">for as long as the </w:t>
      </w:r>
      <w:r w:rsidR="007A7A75">
        <w:rPr>
          <w:rFonts w:ascii="Cambria" w:hAnsi="Cambria"/>
          <w:sz w:val="22"/>
          <w:lang w:val="en-US"/>
        </w:rPr>
        <w:t>‘political u</w:t>
      </w:r>
      <w:r w:rsidR="00F966BA">
        <w:rPr>
          <w:rFonts w:ascii="Cambria" w:hAnsi="Cambria"/>
          <w:sz w:val="22"/>
          <w:lang w:val="en-US"/>
        </w:rPr>
        <w:t>nion</w:t>
      </w:r>
      <w:r w:rsidR="007A7A75">
        <w:rPr>
          <w:rFonts w:ascii="Cambria" w:hAnsi="Cambria"/>
          <w:sz w:val="22"/>
          <w:lang w:val="en-US"/>
        </w:rPr>
        <w:t>’</w:t>
      </w:r>
      <w:r w:rsidR="00F966BA">
        <w:rPr>
          <w:rFonts w:ascii="Cambria" w:hAnsi="Cambria"/>
          <w:sz w:val="22"/>
          <w:lang w:val="en-US"/>
        </w:rPr>
        <w:t xml:space="preserve"> cannot fully live up to its own commitment to</w:t>
      </w:r>
      <w:r w:rsidR="00C00295">
        <w:rPr>
          <w:rFonts w:ascii="Cambria" w:hAnsi="Cambria"/>
          <w:sz w:val="22"/>
          <w:lang w:val="en-US"/>
        </w:rPr>
        <w:t xml:space="preserve"> a</w:t>
      </w:r>
      <w:r w:rsidR="00F966BA">
        <w:rPr>
          <w:rFonts w:ascii="Cambria" w:hAnsi="Cambria"/>
          <w:sz w:val="22"/>
          <w:lang w:val="en-US"/>
        </w:rPr>
        <w:t xml:space="preserve"> ‘social market economy’?</w:t>
      </w:r>
      <w:r>
        <w:rPr>
          <w:rFonts w:ascii="Cambria" w:hAnsi="Cambria"/>
          <w:sz w:val="22"/>
          <w:lang w:val="en-US"/>
        </w:rPr>
        <w:t xml:space="preserve"> Still, </w:t>
      </w:r>
      <w:r>
        <w:rPr>
          <w:rFonts w:ascii="Cambria" w:hAnsi="Cambria" w:cs="Times New Roman"/>
          <w:sz w:val="22"/>
          <w:lang w:val="en-US"/>
        </w:rPr>
        <w:t>w</w:t>
      </w:r>
      <w:r w:rsidR="003B17CF">
        <w:rPr>
          <w:rFonts w:ascii="Cambria" w:hAnsi="Cambria" w:cs="Times New Roman"/>
          <w:sz w:val="22"/>
          <w:lang w:val="en-US"/>
        </w:rPr>
        <w:t xml:space="preserve">hether this </w:t>
      </w:r>
      <w:r>
        <w:rPr>
          <w:rFonts w:ascii="Cambria" w:hAnsi="Cambria" w:cs="Times New Roman"/>
          <w:sz w:val="22"/>
          <w:lang w:val="en-US"/>
        </w:rPr>
        <w:t>is all likely to happen</w:t>
      </w:r>
      <w:r w:rsidR="007A7A75">
        <w:rPr>
          <w:rFonts w:ascii="Cambria" w:hAnsi="Cambria" w:cs="Times New Roman"/>
          <w:sz w:val="22"/>
          <w:lang w:val="en-US"/>
        </w:rPr>
        <w:t xml:space="preserve"> in the near future</w:t>
      </w:r>
      <w:r w:rsidR="003B17CF">
        <w:rPr>
          <w:rFonts w:ascii="Cambria" w:hAnsi="Cambria" w:cs="Times New Roman"/>
          <w:sz w:val="22"/>
          <w:lang w:val="en-US"/>
        </w:rPr>
        <w:t>, is another matter.</w:t>
      </w:r>
      <w:r>
        <w:rPr>
          <w:rFonts w:ascii="Cambria" w:hAnsi="Cambria" w:cs="Times New Roman"/>
          <w:sz w:val="22"/>
          <w:lang w:val="en-US"/>
        </w:rPr>
        <w:t xml:space="preserve"> If the Court’s opinion</w:t>
      </w:r>
      <w:r w:rsidRPr="006B6270">
        <w:t xml:space="preserve"> </w:t>
      </w:r>
      <w:r w:rsidRPr="006B6270">
        <w:rPr>
          <w:rFonts w:ascii="Cambria" w:hAnsi="Cambria" w:cs="Times New Roman"/>
          <w:sz w:val="22"/>
          <w:lang w:val="en-US"/>
        </w:rPr>
        <w:t>regarding the EU’s accession to the ECHR</w:t>
      </w:r>
      <w:r>
        <w:rPr>
          <w:rFonts w:ascii="Cambria" w:hAnsi="Cambria" w:cs="Times New Roman"/>
          <w:sz w:val="22"/>
          <w:lang w:val="en-US"/>
        </w:rPr>
        <w:t xml:space="preserve"> is </w:t>
      </w:r>
      <w:r w:rsidR="00BC75C7">
        <w:rPr>
          <w:rFonts w:ascii="Cambria" w:hAnsi="Cambria" w:cs="Times New Roman"/>
          <w:sz w:val="22"/>
          <w:lang w:val="en-US"/>
        </w:rPr>
        <w:t xml:space="preserve">any indication, the </w:t>
      </w:r>
      <w:r w:rsidR="00065F9B">
        <w:rPr>
          <w:rFonts w:ascii="Cambria" w:hAnsi="Cambria" w:cs="Times New Roman"/>
          <w:sz w:val="22"/>
          <w:lang w:val="en-US"/>
        </w:rPr>
        <w:t>CJEU</w:t>
      </w:r>
      <w:r w:rsidR="00BC75C7">
        <w:rPr>
          <w:rFonts w:ascii="Cambria" w:hAnsi="Cambria" w:cs="Times New Roman"/>
          <w:sz w:val="22"/>
          <w:lang w:val="en-US"/>
        </w:rPr>
        <w:t xml:space="preserve"> is </w:t>
      </w:r>
      <w:r w:rsidR="007A7A75">
        <w:rPr>
          <w:rFonts w:ascii="Cambria" w:hAnsi="Cambria" w:cs="Times New Roman"/>
          <w:sz w:val="22"/>
          <w:lang w:val="en-US"/>
        </w:rPr>
        <w:t xml:space="preserve">not ready to take the edge off important principles of its </w:t>
      </w:r>
      <w:r w:rsidR="00DD383F">
        <w:rPr>
          <w:rFonts w:ascii="Cambria" w:hAnsi="Cambria" w:cs="Times New Roman"/>
          <w:sz w:val="22"/>
          <w:lang w:val="en-US"/>
        </w:rPr>
        <w:t xml:space="preserve">self-construed, </w:t>
      </w:r>
      <w:r w:rsidR="00A5427B">
        <w:rPr>
          <w:rFonts w:ascii="Cambria" w:hAnsi="Cambria" w:cs="Times New Roman"/>
          <w:sz w:val="22"/>
          <w:lang w:val="en-US"/>
        </w:rPr>
        <w:t xml:space="preserve">autonomous legal order, such as </w:t>
      </w:r>
      <w:r w:rsidR="007A7A75">
        <w:rPr>
          <w:rFonts w:ascii="Cambria" w:hAnsi="Cambria" w:cs="Times New Roman"/>
          <w:sz w:val="22"/>
          <w:lang w:val="en-US"/>
        </w:rPr>
        <w:t>supremacy or effectiveness.</w:t>
      </w:r>
      <w:r w:rsidR="00A5427B">
        <w:rPr>
          <w:rStyle w:val="Voetnootmarkering"/>
          <w:rFonts w:ascii="Cambria" w:hAnsi="Cambria" w:cs="Times New Roman"/>
          <w:sz w:val="22"/>
          <w:lang w:val="en-US"/>
        </w:rPr>
        <w:footnoteReference w:id="116"/>
      </w:r>
    </w:p>
    <w:sectPr w:rsidR="007A7A75" w:rsidSect="002B66E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DDC" w:rsidRDefault="00386DDC" w:rsidP="00E94165">
      <w:pPr>
        <w:spacing w:after="0" w:line="240" w:lineRule="auto"/>
      </w:pPr>
      <w:r>
        <w:separator/>
      </w:r>
    </w:p>
  </w:endnote>
  <w:endnote w:type="continuationSeparator" w:id="0">
    <w:p w:rsidR="00386DDC" w:rsidRDefault="00386DDC" w:rsidP="00E94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049015"/>
      <w:docPartObj>
        <w:docPartGallery w:val="Page Numbers (Bottom of Page)"/>
        <w:docPartUnique/>
      </w:docPartObj>
    </w:sdtPr>
    <w:sdtContent>
      <w:p w:rsidR="00386DDC" w:rsidRDefault="007B022E">
        <w:pPr>
          <w:pStyle w:val="Voettekst"/>
          <w:jc w:val="right"/>
        </w:pPr>
        <w:r w:rsidRPr="007B022E">
          <w:fldChar w:fldCharType="begin"/>
        </w:r>
        <w:r w:rsidR="00386DDC">
          <w:instrText>PAGE   \* MERGEFORMAT</w:instrText>
        </w:r>
        <w:r w:rsidRPr="007B022E">
          <w:fldChar w:fldCharType="separate"/>
        </w:r>
        <w:r w:rsidR="00064155" w:rsidRPr="00064155">
          <w:rPr>
            <w:noProof/>
            <w:lang w:val="nl-NL"/>
          </w:rPr>
          <w:t>1</w:t>
        </w:r>
        <w:r>
          <w:rPr>
            <w:noProof/>
            <w:lang w:val="nl-NL"/>
          </w:rPr>
          <w:fldChar w:fldCharType="end"/>
        </w:r>
      </w:p>
    </w:sdtContent>
  </w:sdt>
  <w:p w:rsidR="00386DDC" w:rsidRDefault="00386DD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DDC" w:rsidRDefault="00386DDC" w:rsidP="00E94165">
      <w:pPr>
        <w:spacing w:after="0" w:line="240" w:lineRule="auto"/>
      </w:pPr>
      <w:r>
        <w:separator/>
      </w:r>
    </w:p>
  </w:footnote>
  <w:footnote w:type="continuationSeparator" w:id="0">
    <w:p w:rsidR="00386DDC" w:rsidRDefault="00386DDC" w:rsidP="00E94165">
      <w:pPr>
        <w:spacing w:after="0" w:line="240" w:lineRule="auto"/>
      </w:pPr>
      <w:r>
        <w:continuationSeparator/>
      </w:r>
    </w:p>
  </w:footnote>
  <w:footnote w:id="1">
    <w:p w:rsidR="00386DDC" w:rsidRPr="00110B03" w:rsidRDefault="00386DDC" w:rsidP="002E2605">
      <w:pPr>
        <w:pStyle w:val="Normaalweb"/>
        <w:spacing w:before="0" w:beforeAutospacing="0" w:after="0" w:afterAutospacing="0"/>
        <w:rPr>
          <w:rFonts w:ascii="Cambria" w:hAnsi="Cambria"/>
          <w:sz w:val="16"/>
          <w:szCs w:val="16"/>
          <w:lang w:val="en-US"/>
        </w:rPr>
      </w:pPr>
      <w:r w:rsidRPr="00B34A94">
        <w:rPr>
          <w:rStyle w:val="Voetnootmarkering"/>
          <w:rFonts w:ascii="Cambria" w:hAnsi="Cambria"/>
          <w:sz w:val="16"/>
          <w:szCs w:val="16"/>
        </w:rPr>
        <w:footnoteRef/>
      </w:r>
      <w:r w:rsidR="00FC5F2F" w:rsidRPr="00FC5F2F">
        <w:rPr>
          <w:rFonts w:ascii="Cambria" w:hAnsi="Cambria"/>
          <w:sz w:val="16"/>
          <w:szCs w:val="16"/>
          <w:lang w:val="en-US"/>
        </w:rPr>
        <w:t xml:space="preserve"> H. VAN EIJKEN, </w:t>
      </w:r>
      <w:r w:rsidR="00FC5F2F" w:rsidRPr="00FC5F2F">
        <w:rPr>
          <w:rFonts w:ascii="Cambria" w:hAnsi="Cambria"/>
          <w:i/>
          <w:sz w:val="16"/>
          <w:szCs w:val="16"/>
          <w:lang w:val="en-US"/>
        </w:rPr>
        <w:t>EU Citizenship &amp; the Constitutionalisation of the European Union</w:t>
      </w:r>
      <w:r w:rsidR="00FC5F2F" w:rsidRPr="00FC5F2F">
        <w:rPr>
          <w:rFonts w:ascii="Cambria" w:hAnsi="Cambria"/>
          <w:sz w:val="16"/>
          <w:szCs w:val="16"/>
          <w:lang w:val="en-US"/>
        </w:rPr>
        <w:t xml:space="preserve">, Europa Law Publishing, Groningen 2015, p. 253. See also N. SHUIBHNE, 'The Resilience of EU Market Citizenship' (2010) 47:6 </w:t>
      </w:r>
      <w:r w:rsidR="00FC5F2F" w:rsidRPr="00FC5F2F">
        <w:rPr>
          <w:rFonts w:ascii="Cambria" w:hAnsi="Cambria"/>
          <w:i/>
          <w:sz w:val="16"/>
          <w:szCs w:val="16"/>
          <w:lang w:val="en-US"/>
        </w:rPr>
        <w:t>Common Market Law Review</w:t>
      </w:r>
      <w:r w:rsidR="00FC5F2F" w:rsidRPr="00FC5F2F">
        <w:rPr>
          <w:rFonts w:ascii="Cambria" w:hAnsi="Cambria"/>
          <w:sz w:val="16"/>
          <w:szCs w:val="16"/>
          <w:lang w:val="en-US"/>
        </w:rPr>
        <w:t xml:space="preserve">, pp. 1597-628. </w:t>
      </w:r>
    </w:p>
  </w:footnote>
  <w:footnote w:id="2">
    <w:p w:rsidR="00386DDC" w:rsidRPr="002E2605" w:rsidRDefault="00386DDC">
      <w:pPr>
        <w:pStyle w:val="Voetnoottekst"/>
        <w:jc w:val="both"/>
        <w:rPr>
          <w:rFonts w:ascii="Cambria" w:hAnsi="Cambria" w:cs="Times New Roman"/>
          <w:sz w:val="16"/>
          <w:szCs w:val="16"/>
          <w:lang w:val="en-US"/>
        </w:rPr>
      </w:pPr>
      <w:r w:rsidRPr="00B34A94">
        <w:rPr>
          <w:rStyle w:val="Voetnootmarkering"/>
          <w:rFonts w:ascii="Cambria" w:hAnsi="Cambria" w:cs="Times New Roman"/>
          <w:sz w:val="16"/>
          <w:szCs w:val="16"/>
        </w:rPr>
        <w:footnoteRef/>
      </w:r>
      <w:r w:rsidRPr="00B34A94">
        <w:rPr>
          <w:rFonts w:ascii="Cambria" w:hAnsi="Cambria" w:cs="Times New Roman"/>
          <w:sz w:val="16"/>
          <w:szCs w:val="16"/>
        </w:rPr>
        <w:t xml:space="preserve"> C. </w:t>
      </w:r>
      <w:r w:rsidRPr="00B34A94">
        <w:rPr>
          <w:rFonts w:ascii="Cambria" w:hAnsi="Cambria" w:cs="Times New Roman"/>
          <w:sz w:val="16"/>
          <w:szCs w:val="16"/>
          <w:lang w:val="en-US"/>
        </w:rPr>
        <w:t>BARNARD, ‘The Protection of Fundamental Social Rights in Europe after Lisbon: A Question of Conflicts of Interests’ in S.A. DE VRIES et al. (</w:t>
      </w:r>
      <w:r>
        <w:rPr>
          <w:rFonts w:ascii="Cambria" w:hAnsi="Cambria" w:cs="Times New Roman"/>
          <w:sz w:val="16"/>
          <w:szCs w:val="16"/>
          <w:lang w:val="en-US"/>
        </w:rPr>
        <w:t>e</w:t>
      </w:r>
      <w:r w:rsidRPr="00B34A94">
        <w:rPr>
          <w:rFonts w:ascii="Cambria" w:hAnsi="Cambria" w:cs="Times New Roman"/>
          <w:sz w:val="16"/>
          <w:szCs w:val="16"/>
          <w:lang w:val="en-US"/>
        </w:rPr>
        <w:t xml:space="preserve">ds.), </w:t>
      </w:r>
      <w:r w:rsidRPr="00B34A94">
        <w:rPr>
          <w:rFonts w:ascii="Cambria" w:hAnsi="Cambria" w:cs="Times New Roman"/>
          <w:i/>
          <w:sz w:val="16"/>
          <w:szCs w:val="16"/>
          <w:lang w:val="en-US"/>
        </w:rPr>
        <w:t>The Protection of Fundamental Rights in the EU After Lisbon</w:t>
      </w:r>
      <w:r w:rsidRPr="00B34A94">
        <w:rPr>
          <w:rFonts w:ascii="Cambria" w:hAnsi="Cambria" w:cs="Times New Roman"/>
          <w:sz w:val="16"/>
          <w:szCs w:val="16"/>
          <w:lang w:val="en-US"/>
        </w:rPr>
        <w:t>, Hart Publishing, Oxford 2013, p. 41.</w:t>
      </w:r>
    </w:p>
  </w:footnote>
  <w:footnote w:id="3">
    <w:p w:rsidR="00386DDC" w:rsidRPr="00B34A94" w:rsidRDefault="00386DDC">
      <w:pPr>
        <w:pStyle w:val="Voetnoottekst"/>
        <w:jc w:val="both"/>
        <w:rPr>
          <w:rFonts w:ascii="Cambria" w:hAnsi="Cambria" w:cs="Times New Roman"/>
          <w:sz w:val="16"/>
          <w:szCs w:val="16"/>
        </w:rPr>
      </w:pPr>
      <w:r w:rsidRPr="00B34A94">
        <w:rPr>
          <w:rStyle w:val="Voetnootmarkering"/>
          <w:rFonts w:ascii="Cambria" w:hAnsi="Cambria" w:cs="Times New Roman"/>
          <w:sz w:val="16"/>
          <w:szCs w:val="16"/>
        </w:rPr>
        <w:footnoteRef/>
      </w:r>
      <w:r w:rsidRPr="00B34A94">
        <w:rPr>
          <w:rFonts w:ascii="Cambria" w:hAnsi="Cambria" w:cs="Times New Roman"/>
          <w:sz w:val="16"/>
          <w:szCs w:val="16"/>
        </w:rPr>
        <w:t xml:space="preserve"> </w:t>
      </w:r>
      <w:r w:rsidRPr="00B34A94">
        <w:rPr>
          <w:rFonts w:ascii="Cambria" w:hAnsi="Cambria"/>
          <w:sz w:val="16"/>
          <w:szCs w:val="16"/>
        </w:rPr>
        <w:t>Case C-438,</w:t>
      </w:r>
      <w:r w:rsidRPr="00B34A94">
        <w:rPr>
          <w:rFonts w:ascii="Cambria" w:hAnsi="Cambria"/>
          <w:i/>
          <w:iCs/>
          <w:sz w:val="16"/>
          <w:szCs w:val="16"/>
        </w:rPr>
        <w:t xml:space="preserve"> Viking</w:t>
      </w:r>
      <w:r w:rsidRPr="00B34A94">
        <w:rPr>
          <w:rFonts w:ascii="Cambria" w:hAnsi="Cambria"/>
          <w:sz w:val="16"/>
          <w:szCs w:val="16"/>
        </w:rPr>
        <w:t xml:space="preserve">, ECLI:EU:C:2007:772; Case C-341/05 </w:t>
      </w:r>
      <w:r w:rsidRPr="00B34A94">
        <w:rPr>
          <w:rFonts w:ascii="Cambria" w:hAnsi="Cambria"/>
          <w:i/>
          <w:iCs/>
          <w:sz w:val="16"/>
          <w:szCs w:val="16"/>
        </w:rPr>
        <w:t>Laval</w:t>
      </w:r>
      <w:r w:rsidRPr="00B34A94">
        <w:rPr>
          <w:rFonts w:ascii="Cambria" w:hAnsi="Cambria"/>
          <w:sz w:val="16"/>
          <w:szCs w:val="16"/>
        </w:rPr>
        <w:t>, ECLI:EU:C:2007:809.</w:t>
      </w:r>
    </w:p>
  </w:footnote>
  <w:footnote w:id="4">
    <w:p w:rsidR="00386DDC" w:rsidRPr="00B34A94" w:rsidRDefault="00386DDC" w:rsidP="004C740B">
      <w:pPr>
        <w:pStyle w:val="Voetnoottekst"/>
        <w:rPr>
          <w:rFonts w:ascii="Cambria" w:hAnsi="Cambria"/>
          <w:sz w:val="16"/>
          <w:szCs w:val="16"/>
        </w:rPr>
      </w:pPr>
      <w:r w:rsidRPr="00B34A94">
        <w:rPr>
          <w:rStyle w:val="Voetnootmarkering"/>
          <w:rFonts w:ascii="Cambria" w:hAnsi="Cambria"/>
          <w:sz w:val="16"/>
          <w:szCs w:val="16"/>
        </w:rPr>
        <w:footnoteRef/>
      </w:r>
      <w:r w:rsidRPr="00B34A94">
        <w:rPr>
          <w:rFonts w:ascii="Cambria" w:hAnsi="Cambria"/>
          <w:sz w:val="16"/>
          <w:szCs w:val="16"/>
        </w:rPr>
        <w:t xml:space="preserve"> </w:t>
      </w:r>
      <w:r w:rsidRPr="00B34A94">
        <w:rPr>
          <w:rFonts w:ascii="Cambria" w:hAnsi="Cambria"/>
          <w:i/>
          <w:sz w:val="16"/>
          <w:szCs w:val="16"/>
        </w:rPr>
        <w:t>I.a.</w:t>
      </w:r>
      <w:r w:rsidRPr="00B34A94">
        <w:rPr>
          <w:rFonts w:ascii="Cambria" w:hAnsi="Cambria"/>
          <w:sz w:val="16"/>
          <w:szCs w:val="16"/>
        </w:rPr>
        <w:t xml:space="preserve">, A. DAVIES, ‘One Step Forward, Two Steps Back? The Viking and Laval Cases in the ECJ’ (2008) 2 </w:t>
      </w:r>
      <w:r w:rsidRPr="00B34A94">
        <w:rPr>
          <w:rFonts w:ascii="Cambria" w:hAnsi="Cambria"/>
          <w:i/>
          <w:sz w:val="16"/>
          <w:szCs w:val="16"/>
        </w:rPr>
        <w:t>Industrial Law Journal</w:t>
      </w:r>
      <w:r w:rsidRPr="00B34A94">
        <w:rPr>
          <w:rFonts w:ascii="Cambria" w:hAnsi="Cambria"/>
          <w:sz w:val="16"/>
          <w:szCs w:val="16"/>
        </w:rPr>
        <w:t xml:space="preserve">, pp. 127-148; P. SYRPIS &amp; T. NOVITZ, ‘Economic and social rights in conflict: Political and judicial approaches to their reconciliation’ (2008) 33:3 </w:t>
      </w:r>
      <w:r w:rsidRPr="00B34A94">
        <w:rPr>
          <w:rFonts w:ascii="Cambria" w:hAnsi="Cambria"/>
          <w:i/>
          <w:iCs/>
          <w:sz w:val="16"/>
          <w:szCs w:val="16"/>
        </w:rPr>
        <w:t>European Law Review,</w:t>
      </w:r>
      <w:r w:rsidRPr="00B34A94">
        <w:rPr>
          <w:rFonts w:ascii="Cambria" w:hAnsi="Cambria"/>
          <w:sz w:val="16"/>
          <w:szCs w:val="16"/>
        </w:rPr>
        <w:t xml:space="preserve"> pp. 411-426; A.G. VELDMAN, ‘The Protection of the Fundamental Right to Strike within the Context of the European Internal Market’ (2013) 9:1 </w:t>
      </w:r>
      <w:r w:rsidRPr="00B34A94">
        <w:rPr>
          <w:rFonts w:ascii="Cambria" w:hAnsi="Cambria"/>
          <w:i/>
          <w:sz w:val="16"/>
          <w:szCs w:val="16"/>
        </w:rPr>
        <w:t>Utrecht Law Review</w:t>
      </w:r>
      <w:r w:rsidRPr="00B34A94">
        <w:rPr>
          <w:rFonts w:ascii="Cambria" w:hAnsi="Cambria"/>
          <w:sz w:val="16"/>
          <w:szCs w:val="16"/>
        </w:rPr>
        <w:t>, pp. 104-117.</w:t>
      </w:r>
    </w:p>
  </w:footnote>
  <w:footnote w:id="5">
    <w:p w:rsidR="00386DDC" w:rsidRPr="00B34A94" w:rsidRDefault="00386DDC">
      <w:pPr>
        <w:pStyle w:val="Voetnoottekst"/>
        <w:jc w:val="both"/>
        <w:rPr>
          <w:rFonts w:ascii="Cambria" w:hAnsi="Cambria"/>
          <w:sz w:val="16"/>
          <w:szCs w:val="16"/>
        </w:rPr>
      </w:pPr>
      <w:r w:rsidRPr="00B34A94">
        <w:rPr>
          <w:rStyle w:val="Voetnootmarkering"/>
          <w:rFonts w:ascii="Cambria" w:hAnsi="Cambria"/>
          <w:sz w:val="16"/>
          <w:szCs w:val="16"/>
        </w:rPr>
        <w:footnoteRef/>
      </w:r>
      <w:r w:rsidRPr="00B34A94">
        <w:rPr>
          <w:rFonts w:ascii="Cambria" w:hAnsi="Cambria"/>
          <w:sz w:val="16"/>
          <w:szCs w:val="16"/>
        </w:rPr>
        <w:t xml:space="preserve"> Article 2 of Part I (‘Principles’) of the Treaty establishing a European Economic Community, 1957.</w:t>
      </w:r>
    </w:p>
  </w:footnote>
  <w:footnote w:id="6">
    <w:p w:rsidR="00386DDC" w:rsidRPr="007A2CA5" w:rsidRDefault="00386DDC" w:rsidP="006C41E0">
      <w:pPr>
        <w:pStyle w:val="Voetnoottekst"/>
        <w:jc w:val="both"/>
        <w:rPr>
          <w:rFonts w:ascii="Cambria" w:hAnsi="Cambria"/>
          <w:sz w:val="16"/>
          <w:szCs w:val="18"/>
        </w:rPr>
      </w:pPr>
      <w:r w:rsidRPr="00B34A94">
        <w:rPr>
          <w:rStyle w:val="Voetnootmarkering"/>
          <w:rFonts w:ascii="Cambria" w:hAnsi="Cambria"/>
          <w:sz w:val="16"/>
          <w:szCs w:val="16"/>
        </w:rPr>
        <w:footnoteRef/>
      </w:r>
      <w:r w:rsidRPr="00B34A94">
        <w:rPr>
          <w:rFonts w:ascii="Cambria" w:hAnsi="Cambria"/>
          <w:sz w:val="16"/>
          <w:szCs w:val="16"/>
        </w:rPr>
        <w:t xml:space="preserve"> Part II (‘Foundations of the Community’) of the EEC-Treaty, 1957.</w:t>
      </w:r>
    </w:p>
  </w:footnote>
  <w:footnote w:id="7">
    <w:p w:rsidR="00386DDC" w:rsidRPr="00110B03" w:rsidRDefault="00386DDC">
      <w:pPr>
        <w:pStyle w:val="Voetnoottekst"/>
        <w:jc w:val="both"/>
        <w:rPr>
          <w:rFonts w:ascii="Cambria" w:hAnsi="Cambria"/>
          <w:sz w:val="16"/>
          <w:szCs w:val="16"/>
          <w:lang w:val="es-ES"/>
        </w:rPr>
      </w:pPr>
      <w:r w:rsidRPr="008F0CE7">
        <w:rPr>
          <w:rStyle w:val="Voetnootmarkering"/>
          <w:rFonts w:ascii="Cambria" w:hAnsi="Cambria"/>
          <w:sz w:val="16"/>
          <w:szCs w:val="16"/>
        </w:rPr>
        <w:footnoteRef/>
      </w:r>
      <w:r w:rsidR="00FC5F2F" w:rsidRPr="00FC5F2F">
        <w:rPr>
          <w:rFonts w:ascii="Cambria" w:hAnsi="Cambria"/>
          <w:sz w:val="16"/>
          <w:szCs w:val="16"/>
          <w:lang w:val="es-ES"/>
        </w:rPr>
        <w:t xml:space="preserve"> Case C-26/62, </w:t>
      </w:r>
      <w:r w:rsidR="00FC5F2F" w:rsidRPr="00FC5F2F">
        <w:rPr>
          <w:rFonts w:ascii="Cambria" w:hAnsi="Cambria"/>
          <w:i/>
          <w:sz w:val="16"/>
          <w:szCs w:val="16"/>
          <w:lang w:val="es-ES"/>
        </w:rPr>
        <w:t>Van Gend &amp; Loos</w:t>
      </w:r>
      <w:r w:rsidR="00FC5F2F" w:rsidRPr="00FC5F2F">
        <w:rPr>
          <w:rFonts w:ascii="Cambria" w:hAnsi="Cambria"/>
          <w:sz w:val="16"/>
          <w:szCs w:val="16"/>
          <w:lang w:val="es-ES"/>
        </w:rPr>
        <w:t xml:space="preserve">, ECLI:EU:C:1963:1; Case  C-6/64, </w:t>
      </w:r>
      <w:r w:rsidR="00FC5F2F" w:rsidRPr="00FC5F2F">
        <w:rPr>
          <w:rFonts w:ascii="Cambria" w:hAnsi="Cambria"/>
          <w:i/>
          <w:sz w:val="16"/>
          <w:szCs w:val="16"/>
          <w:lang w:val="es-ES"/>
        </w:rPr>
        <w:t>Costa v. Enel</w:t>
      </w:r>
      <w:r w:rsidR="00FC5F2F" w:rsidRPr="00FC5F2F">
        <w:rPr>
          <w:rFonts w:ascii="Cambria" w:hAnsi="Cambria"/>
          <w:sz w:val="16"/>
          <w:szCs w:val="16"/>
          <w:lang w:val="es-ES"/>
        </w:rPr>
        <w:t>, ECLI:EU:C:1964:66.</w:t>
      </w:r>
    </w:p>
  </w:footnote>
  <w:footnote w:id="8">
    <w:p w:rsidR="00386DDC" w:rsidRPr="008F0CE7" w:rsidRDefault="00386DDC">
      <w:pPr>
        <w:pStyle w:val="Voetnoottekst"/>
        <w:jc w:val="both"/>
        <w:rPr>
          <w:rFonts w:ascii="Cambria" w:hAnsi="Cambria"/>
          <w:sz w:val="16"/>
          <w:szCs w:val="16"/>
        </w:rPr>
      </w:pPr>
      <w:r w:rsidRPr="008F0CE7">
        <w:rPr>
          <w:rStyle w:val="Voetnootmarkering"/>
          <w:rFonts w:ascii="Cambria" w:hAnsi="Cambria"/>
          <w:sz w:val="16"/>
          <w:szCs w:val="16"/>
        </w:rPr>
        <w:footnoteRef/>
      </w:r>
      <w:r w:rsidRPr="008F0CE7">
        <w:rPr>
          <w:rFonts w:ascii="Cambria" w:hAnsi="Cambria"/>
          <w:sz w:val="16"/>
          <w:szCs w:val="16"/>
        </w:rPr>
        <w:t xml:space="preserve"> J.H.H. WEILER, ‘The Community system: the dual character on supranationalism’ (1981) </w:t>
      </w:r>
      <w:r w:rsidRPr="008F0CE7">
        <w:rPr>
          <w:rFonts w:ascii="Cambria" w:hAnsi="Cambria"/>
          <w:i/>
          <w:sz w:val="16"/>
          <w:szCs w:val="16"/>
        </w:rPr>
        <w:t>Yearbook on European Law</w:t>
      </w:r>
      <w:r w:rsidRPr="008F0CE7">
        <w:rPr>
          <w:rFonts w:ascii="Cambria" w:hAnsi="Cambria"/>
          <w:sz w:val="16"/>
          <w:szCs w:val="16"/>
        </w:rPr>
        <w:t>, pp. 257-306.</w:t>
      </w:r>
    </w:p>
  </w:footnote>
  <w:footnote w:id="9">
    <w:p w:rsidR="00386DDC" w:rsidRPr="008F0CE7" w:rsidRDefault="00386DDC">
      <w:pPr>
        <w:pStyle w:val="Voetnoottekst"/>
        <w:jc w:val="both"/>
        <w:rPr>
          <w:rFonts w:ascii="Cambria" w:hAnsi="Cambria"/>
          <w:sz w:val="16"/>
          <w:szCs w:val="16"/>
          <w:lang w:val="en-US"/>
        </w:rPr>
      </w:pPr>
      <w:r w:rsidRPr="008F0CE7">
        <w:rPr>
          <w:rStyle w:val="Voetnootmarkering"/>
          <w:rFonts w:ascii="Cambria" w:hAnsi="Cambria"/>
          <w:sz w:val="16"/>
          <w:szCs w:val="16"/>
        </w:rPr>
        <w:footnoteRef/>
      </w:r>
      <w:r w:rsidRPr="008F0CE7">
        <w:rPr>
          <w:rFonts w:ascii="Cambria" w:hAnsi="Cambria"/>
          <w:sz w:val="16"/>
          <w:szCs w:val="16"/>
        </w:rPr>
        <w:t xml:space="preserve"> See for extensive references </w:t>
      </w:r>
      <w:r>
        <w:rPr>
          <w:rFonts w:ascii="Cambria" w:hAnsi="Cambria"/>
          <w:sz w:val="16"/>
          <w:szCs w:val="16"/>
        </w:rPr>
        <w:t>to</w:t>
      </w:r>
      <w:r w:rsidRPr="008F0CE7">
        <w:rPr>
          <w:rFonts w:ascii="Cambria" w:hAnsi="Cambria"/>
          <w:sz w:val="16"/>
          <w:szCs w:val="16"/>
        </w:rPr>
        <w:t xml:space="preserve"> the ideas of an economic constitution and the ordo-liberal school, i.a., </w:t>
      </w:r>
      <w:r w:rsidRPr="008F0CE7">
        <w:rPr>
          <w:rFonts w:ascii="Cambria" w:hAnsi="Cambria"/>
          <w:sz w:val="16"/>
          <w:szCs w:val="16"/>
          <w:lang w:val="en-US"/>
        </w:rPr>
        <w:t>C. JOERGES and F.</w:t>
      </w:r>
      <w:r w:rsidRPr="008F0CE7">
        <w:rPr>
          <w:rFonts w:ascii="Cambria" w:hAnsi="Cambria"/>
          <w:sz w:val="16"/>
          <w:szCs w:val="16"/>
        </w:rPr>
        <w:t xml:space="preserve"> RŐDL</w:t>
      </w:r>
      <w:r w:rsidRPr="008F0CE7">
        <w:rPr>
          <w:rFonts w:ascii="Cambria" w:hAnsi="Cambria"/>
          <w:sz w:val="16"/>
          <w:szCs w:val="16"/>
          <w:lang w:val="en-US"/>
        </w:rPr>
        <w:t>, ‘On the ‘social deficit’ of the European Integration project and its perpetuation through the ECJ-judge</w:t>
      </w:r>
      <w:r w:rsidRPr="008F0CE7">
        <w:rPr>
          <w:rFonts w:ascii="Cambria" w:hAnsi="Cambria"/>
          <w:sz w:val="16"/>
          <w:szCs w:val="16"/>
          <w:lang w:val="en-US"/>
        </w:rPr>
        <w:softHyphen/>
        <w:t xml:space="preserve">ments in Viking and Laval’, (2008) </w:t>
      </w:r>
      <w:r w:rsidRPr="008F0CE7">
        <w:rPr>
          <w:rFonts w:ascii="Cambria" w:hAnsi="Cambria"/>
          <w:i/>
          <w:sz w:val="16"/>
          <w:szCs w:val="16"/>
          <w:lang w:val="en-US"/>
        </w:rPr>
        <w:t>RECON Online Working Paper</w:t>
      </w:r>
      <w:r w:rsidRPr="008F0CE7">
        <w:rPr>
          <w:rFonts w:ascii="Cambria" w:hAnsi="Cambria"/>
          <w:sz w:val="16"/>
          <w:szCs w:val="16"/>
          <w:lang w:val="en-US"/>
        </w:rPr>
        <w:t xml:space="preserve"> 06, &lt;www.reconproject.eu/projectweb/portal project/RECONWorkingPapers.htm</w:t>
      </w:r>
      <w:r w:rsidRPr="008F0CE7">
        <w:rPr>
          <w:rFonts w:ascii="Cambria" w:hAnsi="Cambria"/>
          <w:i/>
          <w:sz w:val="16"/>
          <w:szCs w:val="16"/>
          <w:lang w:val="en-US"/>
        </w:rPr>
        <w:t>&gt;</w:t>
      </w:r>
      <w:r w:rsidRPr="008F0CE7">
        <w:rPr>
          <w:rFonts w:ascii="Cambria" w:hAnsi="Cambria"/>
          <w:sz w:val="16"/>
          <w:szCs w:val="16"/>
          <w:lang w:val="en-US"/>
        </w:rPr>
        <w:t xml:space="preserve"> accessed on 14.03.2015</w:t>
      </w:r>
      <w:r w:rsidRPr="008F0CE7">
        <w:rPr>
          <w:rFonts w:ascii="Cambria" w:hAnsi="Cambria"/>
          <w:i/>
          <w:sz w:val="16"/>
          <w:szCs w:val="16"/>
          <w:lang w:val="en-US"/>
        </w:rPr>
        <w:t>.</w:t>
      </w:r>
    </w:p>
  </w:footnote>
  <w:footnote w:id="10">
    <w:p w:rsidR="00386DDC" w:rsidRPr="008F0CE7" w:rsidRDefault="00386DDC">
      <w:pPr>
        <w:pStyle w:val="Voetnoottekst"/>
        <w:jc w:val="both"/>
        <w:rPr>
          <w:rFonts w:ascii="Cambria" w:hAnsi="Cambria" w:cs="Times New Roman"/>
          <w:sz w:val="16"/>
          <w:szCs w:val="16"/>
        </w:rPr>
      </w:pPr>
      <w:r w:rsidRPr="008F0CE7">
        <w:rPr>
          <w:rStyle w:val="Voetnootmarkering"/>
          <w:rFonts w:ascii="Cambria" w:hAnsi="Cambria" w:cs="Times New Roman"/>
          <w:sz w:val="16"/>
          <w:szCs w:val="16"/>
        </w:rPr>
        <w:footnoteRef/>
      </w:r>
      <w:r w:rsidRPr="008F0CE7">
        <w:rPr>
          <w:rFonts w:ascii="Cambria" w:hAnsi="Cambria" w:cs="Times New Roman"/>
          <w:sz w:val="16"/>
          <w:szCs w:val="16"/>
        </w:rPr>
        <w:t xml:space="preserve"> P. OLIVER and W-H. ROTH, ‘The Internal Market and the Four Freedoms’ (2004) 41 </w:t>
      </w:r>
      <w:r w:rsidRPr="008F0CE7">
        <w:rPr>
          <w:rFonts w:ascii="Cambria" w:hAnsi="Cambria" w:cs="Times New Roman"/>
          <w:i/>
          <w:iCs/>
          <w:sz w:val="16"/>
          <w:szCs w:val="16"/>
        </w:rPr>
        <w:t>CML Rev</w:t>
      </w:r>
      <w:r w:rsidRPr="008F0CE7">
        <w:rPr>
          <w:rFonts w:ascii="Cambria" w:hAnsi="Cambria" w:cs="Times New Roman"/>
          <w:sz w:val="16"/>
          <w:szCs w:val="16"/>
        </w:rPr>
        <w:t>, pp. 407-411.</w:t>
      </w:r>
    </w:p>
  </w:footnote>
  <w:footnote w:id="11">
    <w:p w:rsidR="00386DDC" w:rsidRPr="008F0CE7" w:rsidRDefault="00386DDC">
      <w:pPr>
        <w:pStyle w:val="Voetnoottekst"/>
        <w:jc w:val="both"/>
        <w:rPr>
          <w:rFonts w:ascii="Cambria" w:hAnsi="Cambria" w:cs="Times New Roman"/>
          <w:sz w:val="16"/>
          <w:szCs w:val="16"/>
        </w:rPr>
      </w:pPr>
      <w:r w:rsidRPr="008F0CE7">
        <w:rPr>
          <w:rStyle w:val="Voetnootmarkering"/>
          <w:rFonts w:ascii="Cambria" w:hAnsi="Cambria" w:cs="Times New Roman"/>
          <w:sz w:val="16"/>
          <w:szCs w:val="16"/>
        </w:rPr>
        <w:footnoteRef/>
      </w:r>
      <w:r w:rsidRPr="008F0CE7">
        <w:rPr>
          <w:rFonts w:ascii="Cambria" w:hAnsi="Cambria" w:cs="Times New Roman"/>
          <w:sz w:val="16"/>
          <w:szCs w:val="16"/>
        </w:rPr>
        <w:t xml:space="preserve"> For instance, Case C-122/00, </w:t>
      </w:r>
      <w:r w:rsidRPr="008F0CE7">
        <w:rPr>
          <w:rFonts w:ascii="Cambria" w:hAnsi="Cambria" w:cs="Times New Roman"/>
          <w:i/>
          <w:iCs/>
          <w:sz w:val="16"/>
          <w:szCs w:val="16"/>
        </w:rPr>
        <w:t xml:space="preserve">Schmidberger </w:t>
      </w:r>
      <w:r w:rsidRPr="008F0CE7">
        <w:rPr>
          <w:rFonts w:ascii="Cambria" w:hAnsi="Cambria" w:cs="Times New Roman"/>
          <w:sz w:val="16"/>
          <w:szCs w:val="16"/>
        </w:rPr>
        <w:t xml:space="preserve">(goods), ECLI:EU:C:2003:333; Case C-281/98, </w:t>
      </w:r>
      <w:r w:rsidRPr="008F0CE7">
        <w:rPr>
          <w:rFonts w:ascii="Cambria" w:hAnsi="Cambria" w:cs="Times New Roman"/>
          <w:i/>
          <w:iCs/>
          <w:sz w:val="16"/>
          <w:szCs w:val="16"/>
        </w:rPr>
        <w:t>Angonese</w:t>
      </w:r>
      <w:r w:rsidRPr="008F0CE7">
        <w:rPr>
          <w:rFonts w:ascii="Cambria" w:hAnsi="Cambria" w:cs="Times New Roman"/>
          <w:sz w:val="16"/>
          <w:szCs w:val="16"/>
        </w:rPr>
        <w:t xml:space="preserve"> (workers); ECLI:EU:C:2000:296; Case C-341/05, </w:t>
      </w:r>
      <w:r w:rsidRPr="008F0CE7">
        <w:rPr>
          <w:rFonts w:ascii="Cambria" w:hAnsi="Cambria" w:cs="Times New Roman"/>
          <w:i/>
          <w:iCs/>
          <w:sz w:val="16"/>
          <w:szCs w:val="16"/>
        </w:rPr>
        <w:t xml:space="preserve">Laval </w:t>
      </w:r>
      <w:r w:rsidRPr="008F0CE7">
        <w:rPr>
          <w:rFonts w:ascii="Cambria" w:hAnsi="Cambria" w:cs="Times New Roman"/>
          <w:sz w:val="16"/>
          <w:szCs w:val="16"/>
        </w:rPr>
        <w:t xml:space="preserve">(services), ECLI:EU:C:2007:809; Case C-36/02, </w:t>
      </w:r>
      <w:r w:rsidRPr="008F0CE7">
        <w:rPr>
          <w:rFonts w:ascii="Cambria" w:hAnsi="Cambria" w:cs="Times New Roman"/>
          <w:i/>
          <w:iCs/>
          <w:sz w:val="16"/>
          <w:szCs w:val="16"/>
        </w:rPr>
        <w:t xml:space="preserve">Omega </w:t>
      </w:r>
      <w:r w:rsidRPr="008F0CE7">
        <w:rPr>
          <w:rFonts w:ascii="Cambria" w:hAnsi="Cambria" w:cs="Times New Roman"/>
          <w:sz w:val="16"/>
          <w:szCs w:val="16"/>
        </w:rPr>
        <w:t>(services), ECLI:EU:C:2004:614.</w:t>
      </w:r>
    </w:p>
  </w:footnote>
  <w:footnote w:id="12">
    <w:p w:rsidR="00386DDC" w:rsidRPr="008F0CE7" w:rsidRDefault="00386DDC">
      <w:pPr>
        <w:pStyle w:val="Voetnoottekst"/>
        <w:jc w:val="both"/>
        <w:rPr>
          <w:rFonts w:ascii="Cambria" w:hAnsi="Cambria" w:cs="Times New Roman"/>
          <w:sz w:val="16"/>
          <w:szCs w:val="16"/>
        </w:rPr>
      </w:pPr>
      <w:r w:rsidRPr="008F0CE7">
        <w:rPr>
          <w:rStyle w:val="Voetnootmarkering"/>
          <w:rFonts w:ascii="Cambria" w:hAnsi="Cambria" w:cs="Times New Roman"/>
          <w:sz w:val="16"/>
          <w:szCs w:val="16"/>
        </w:rPr>
        <w:footnoteRef/>
      </w:r>
      <w:r w:rsidRPr="008F0CE7">
        <w:rPr>
          <w:rFonts w:ascii="Cambria" w:hAnsi="Cambria" w:cs="Times New Roman"/>
          <w:sz w:val="16"/>
          <w:szCs w:val="16"/>
        </w:rPr>
        <w:t xml:space="preserve">  Case C-265/95, </w:t>
      </w:r>
      <w:r w:rsidRPr="008F0CE7">
        <w:rPr>
          <w:rFonts w:ascii="Cambria" w:hAnsi="Cambria" w:cs="Times New Roman"/>
          <w:i/>
          <w:iCs/>
          <w:sz w:val="16"/>
          <w:szCs w:val="16"/>
        </w:rPr>
        <w:t xml:space="preserve">Commission v France </w:t>
      </w:r>
      <w:r w:rsidRPr="008F0CE7">
        <w:rPr>
          <w:rFonts w:ascii="Cambria" w:hAnsi="Cambria" w:cs="Times New Roman"/>
          <w:iCs/>
          <w:sz w:val="16"/>
          <w:szCs w:val="16"/>
        </w:rPr>
        <w:t>(Spanish Strawberries)</w:t>
      </w:r>
      <w:r w:rsidRPr="008F0CE7">
        <w:rPr>
          <w:rFonts w:ascii="Cambria" w:hAnsi="Cambria" w:cs="Times New Roman"/>
          <w:sz w:val="16"/>
          <w:szCs w:val="16"/>
        </w:rPr>
        <w:t>, ECLI:EU:C:1997:595.</w:t>
      </w:r>
    </w:p>
  </w:footnote>
  <w:footnote w:id="13">
    <w:p w:rsidR="00386DDC" w:rsidRPr="00110B03" w:rsidRDefault="00386DDC">
      <w:pPr>
        <w:autoSpaceDE w:val="0"/>
        <w:autoSpaceDN w:val="0"/>
        <w:adjustRightInd w:val="0"/>
        <w:spacing w:after="0" w:line="240" w:lineRule="auto"/>
        <w:jc w:val="both"/>
        <w:rPr>
          <w:rFonts w:ascii="Cambria" w:hAnsi="Cambria" w:cs="Times New Roman"/>
          <w:sz w:val="16"/>
          <w:szCs w:val="16"/>
          <w:lang w:val="nl-NL"/>
        </w:rPr>
      </w:pPr>
      <w:r w:rsidRPr="008F0CE7">
        <w:rPr>
          <w:rStyle w:val="Voetnootmarkering"/>
          <w:rFonts w:ascii="Cambria" w:hAnsi="Cambria" w:cs="Times New Roman"/>
          <w:sz w:val="16"/>
          <w:szCs w:val="16"/>
        </w:rPr>
        <w:footnoteRef/>
      </w:r>
      <w:r w:rsidRPr="008F0CE7">
        <w:rPr>
          <w:rFonts w:ascii="Cambria" w:hAnsi="Cambria" w:cs="Times New Roman"/>
          <w:sz w:val="16"/>
          <w:szCs w:val="16"/>
        </w:rPr>
        <w:t xml:space="preserve"> See Case C-49/89, </w:t>
      </w:r>
      <w:r w:rsidRPr="008F0CE7">
        <w:rPr>
          <w:rFonts w:ascii="Cambria" w:hAnsi="Cambria" w:cs="Times New Roman"/>
          <w:i/>
          <w:iCs/>
          <w:sz w:val="16"/>
          <w:szCs w:val="16"/>
        </w:rPr>
        <w:t>Corsica Ferries France</w:t>
      </w:r>
      <w:r w:rsidRPr="008F0CE7">
        <w:rPr>
          <w:rFonts w:ascii="Cambria" w:hAnsi="Cambria" w:cs="Times New Roman"/>
          <w:sz w:val="16"/>
          <w:szCs w:val="16"/>
        </w:rPr>
        <w:t xml:space="preserve">, ECLI:EU:C:1989:649, para. 8: ‘As the Court has decided on various occasions, the articles of the EEC Treaty concerning the free movement of goods, persons, services and capital are fundamental Community provisions and any restriction, even minor, of that freedom is prohibited’. See recently the cases which the Commission has started against a couple of Member States regarding the profession of notaries, such as Case C-50/08, </w:t>
      </w:r>
      <w:r w:rsidRPr="008F0CE7">
        <w:rPr>
          <w:rFonts w:ascii="Cambria" w:hAnsi="Cambria" w:cs="Times New Roman"/>
          <w:i/>
          <w:iCs/>
          <w:sz w:val="16"/>
          <w:szCs w:val="16"/>
        </w:rPr>
        <w:t>Commission v France</w:t>
      </w:r>
      <w:r w:rsidRPr="008F0CE7">
        <w:rPr>
          <w:rFonts w:ascii="Cambria" w:hAnsi="Cambria" w:cs="Times New Roman"/>
          <w:sz w:val="16"/>
          <w:szCs w:val="16"/>
        </w:rPr>
        <w:t xml:space="preserve">, ECLI:EU:C:2011:335, para. </w:t>
      </w:r>
      <w:r w:rsidR="00FC5F2F" w:rsidRPr="00FC5F2F">
        <w:rPr>
          <w:rFonts w:ascii="Cambria" w:hAnsi="Cambria" w:cs="Times New Roman"/>
          <w:sz w:val="16"/>
          <w:szCs w:val="16"/>
          <w:lang w:val="nl-NL"/>
        </w:rPr>
        <w:t>67.</w:t>
      </w:r>
    </w:p>
  </w:footnote>
  <w:footnote w:id="14">
    <w:p w:rsidR="00386DDC" w:rsidRPr="008F0CE7" w:rsidRDefault="00386DDC" w:rsidP="006C41E0">
      <w:pPr>
        <w:pStyle w:val="Voetnoottekst"/>
        <w:jc w:val="both"/>
        <w:rPr>
          <w:rFonts w:ascii="Cambria" w:hAnsi="Cambria" w:cs="Times New Roman"/>
          <w:sz w:val="16"/>
          <w:szCs w:val="16"/>
          <w:lang w:val="nl-NL"/>
        </w:rPr>
      </w:pPr>
      <w:r w:rsidRPr="008F0CE7">
        <w:rPr>
          <w:rStyle w:val="Voetnootmarkering"/>
          <w:rFonts w:ascii="Cambria" w:hAnsi="Cambria" w:cs="Times New Roman"/>
          <w:sz w:val="16"/>
          <w:szCs w:val="16"/>
        </w:rPr>
        <w:footnoteRef/>
      </w:r>
      <w:r w:rsidRPr="008F0CE7">
        <w:rPr>
          <w:rFonts w:ascii="Cambria" w:hAnsi="Cambria" w:cs="Times New Roman"/>
          <w:sz w:val="16"/>
          <w:szCs w:val="16"/>
          <w:lang w:val="nl-NL"/>
        </w:rPr>
        <w:t xml:space="preserve"> See S.A. DE VRIES, ‘Dassonville’ in T.W.B. BEUKERS, H.J. VAN HARTEN and S. PRECHAL (eds.), </w:t>
      </w:r>
      <w:r w:rsidRPr="008F0CE7">
        <w:rPr>
          <w:rFonts w:ascii="Cambria" w:hAnsi="Cambria" w:cs="Times New Roman"/>
          <w:i/>
          <w:sz w:val="16"/>
          <w:szCs w:val="16"/>
          <w:lang w:val="nl-NL"/>
        </w:rPr>
        <w:t>Het recht van de Europese unie</w:t>
      </w:r>
      <w:r w:rsidRPr="008F0CE7">
        <w:rPr>
          <w:rFonts w:ascii="Cambria" w:hAnsi="Cambria" w:cs="Times New Roman"/>
          <w:sz w:val="16"/>
          <w:szCs w:val="16"/>
          <w:lang w:val="nl-NL"/>
        </w:rPr>
        <w:t xml:space="preserve">, Boom Juridische uitgevers, Den Haag 2010, p. 90. </w:t>
      </w:r>
    </w:p>
  </w:footnote>
  <w:footnote w:id="15">
    <w:p w:rsidR="00386DDC" w:rsidRPr="008F0CE7" w:rsidRDefault="00386DDC">
      <w:pPr>
        <w:pStyle w:val="Voetnoottekst"/>
        <w:jc w:val="both"/>
        <w:rPr>
          <w:rFonts w:ascii="Cambria" w:hAnsi="Cambria" w:cs="Times New Roman"/>
          <w:sz w:val="16"/>
          <w:szCs w:val="16"/>
        </w:rPr>
      </w:pPr>
      <w:r w:rsidRPr="008F0CE7">
        <w:rPr>
          <w:rStyle w:val="Voetnootmarkering"/>
          <w:rFonts w:ascii="Cambria" w:hAnsi="Cambria" w:cs="Times New Roman"/>
          <w:sz w:val="16"/>
          <w:szCs w:val="16"/>
        </w:rPr>
        <w:footnoteRef/>
      </w:r>
      <w:r w:rsidRPr="008F0CE7">
        <w:rPr>
          <w:rFonts w:ascii="Cambria" w:hAnsi="Cambria" w:cs="Times New Roman"/>
          <w:sz w:val="16"/>
          <w:szCs w:val="16"/>
        </w:rPr>
        <w:t xml:space="preserve"> C. BARNARD, </w:t>
      </w:r>
      <w:r w:rsidRPr="008F0CE7">
        <w:rPr>
          <w:rFonts w:ascii="Cambria" w:hAnsi="Cambria" w:cs="Times New Roman"/>
          <w:i/>
          <w:sz w:val="16"/>
          <w:szCs w:val="16"/>
        </w:rPr>
        <w:t>The Substantive Law of the EU: the Four Freedoms</w:t>
      </w:r>
      <w:r w:rsidRPr="008F0CE7">
        <w:rPr>
          <w:rFonts w:ascii="Cambria" w:hAnsi="Cambria" w:cs="Times New Roman"/>
          <w:sz w:val="16"/>
          <w:szCs w:val="16"/>
        </w:rPr>
        <w:t>, Oxford University Press, Oxford 2010, pp. 73-74.</w:t>
      </w:r>
    </w:p>
  </w:footnote>
  <w:footnote w:id="16">
    <w:p w:rsidR="00386DDC" w:rsidRPr="008F0CE7" w:rsidRDefault="00386DDC">
      <w:pPr>
        <w:pStyle w:val="Voetnoottekst"/>
        <w:jc w:val="both"/>
        <w:rPr>
          <w:rFonts w:ascii="Cambria" w:hAnsi="Cambria" w:cs="Times New Roman"/>
          <w:b/>
          <w:sz w:val="16"/>
          <w:szCs w:val="16"/>
        </w:rPr>
      </w:pPr>
      <w:r w:rsidRPr="008F0CE7">
        <w:rPr>
          <w:rStyle w:val="Voetnootmarkering"/>
          <w:rFonts w:ascii="Cambria" w:hAnsi="Cambria" w:cs="Times New Roman"/>
          <w:sz w:val="16"/>
          <w:szCs w:val="16"/>
        </w:rPr>
        <w:footnoteRef/>
      </w:r>
      <w:r w:rsidRPr="008F0CE7">
        <w:rPr>
          <w:rFonts w:ascii="Cambria" w:hAnsi="Cambria" w:cs="Times New Roman"/>
          <w:sz w:val="16"/>
          <w:szCs w:val="16"/>
        </w:rPr>
        <w:t xml:space="preserve"> M.P. MADURO, </w:t>
      </w:r>
      <w:r w:rsidRPr="008F0CE7">
        <w:rPr>
          <w:rFonts w:ascii="Cambria" w:hAnsi="Cambria" w:cs="Times New Roman"/>
          <w:i/>
          <w:iCs/>
          <w:sz w:val="16"/>
          <w:szCs w:val="16"/>
        </w:rPr>
        <w:t>We the Court. The European Court of Justice and the European Economic Constitution</w:t>
      </w:r>
      <w:r w:rsidRPr="008F0CE7">
        <w:rPr>
          <w:rFonts w:ascii="Cambria" w:hAnsi="Cambria" w:cs="Times New Roman"/>
          <w:sz w:val="16"/>
          <w:szCs w:val="16"/>
        </w:rPr>
        <w:t xml:space="preserve">, Hart Publishing, Oxford 1998, p. 81; T. KINGREEN, </w:t>
      </w:r>
      <w:r w:rsidRPr="008F0CE7">
        <w:rPr>
          <w:rFonts w:ascii="Cambria" w:hAnsi="Cambria" w:cs="Times New Roman"/>
          <w:i/>
          <w:iCs/>
          <w:sz w:val="16"/>
          <w:szCs w:val="16"/>
        </w:rPr>
        <w:t>Struktur der Grundfreiheiten des Europäischen Gemeinschaftsrechts</w:t>
      </w:r>
      <w:r w:rsidRPr="008F0CE7">
        <w:rPr>
          <w:rFonts w:ascii="Cambria" w:hAnsi="Cambria" w:cs="Times New Roman"/>
          <w:sz w:val="16"/>
          <w:szCs w:val="16"/>
        </w:rPr>
        <w:t xml:space="preserve">, Duncker &amp; Humblot, Berlin 1999, p. 15; See also OLIVIER and ROTH, </w:t>
      </w:r>
      <w:r w:rsidRPr="008F0CE7">
        <w:rPr>
          <w:rFonts w:ascii="Cambria" w:hAnsi="Cambria" w:cs="Times New Roman"/>
          <w:i/>
          <w:sz w:val="16"/>
          <w:szCs w:val="16"/>
        </w:rPr>
        <w:t>supra</w:t>
      </w:r>
      <w:r w:rsidRPr="008F0CE7">
        <w:rPr>
          <w:rFonts w:ascii="Cambria" w:hAnsi="Cambria" w:cs="Times New Roman"/>
          <w:sz w:val="16"/>
          <w:szCs w:val="16"/>
        </w:rPr>
        <w:t xml:space="preserve"> at </w:t>
      </w:r>
      <w:fldSimple w:instr=" NOTEREF _Ref420488514 \h  \* MERGEFORMAT ">
        <w:r w:rsidRPr="008F0CE7">
          <w:rPr>
            <w:rFonts w:ascii="Cambria" w:hAnsi="Cambria" w:cs="Times New Roman"/>
            <w:sz w:val="16"/>
            <w:szCs w:val="16"/>
          </w:rPr>
          <w:t>10</w:t>
        </w:r>
      </w:fldSimple>
      <w:r w:rsidRPr="008F0CE7">
        <w:rPr>
          <w:rFonts w:ascii="Cambria" w:hAnsi="Cambria" w:cs="Times New Roman"/>
          <w:sz w:val="16"/>
          <w:szCs w:val="16"/>
        </w:rPr>
        <w:t>, p. 410.</w:t>
      </w:r>
    </w:p>
  </w:footnote>
  <w:footnote w:id="17">
    <w:p w:rsidR="00386DDC" w:rsidRPr="008F0CE7" w:rsidRDefault="00386DDC">
      <w:pPr>
        <w:pStyle w:val="Voetnoottekst"/>
        <w:jc w:val="both"/>
        <w:rPr>
          <w:rFonts w:ascii="Cambria" w:hAnsi="Cambria" w:cs="Times New Roman"/>
          <w:sz w:val="16"/>
          <w:szCs w:val="16"/>
        </w:rPr>
      </w:pPr>
      <w:r w:rsidRPr="008F0CE7">
        <w:rPr>
          <w:rStyle w:val="Voetnootmarkering"/>
          <w:rFonts w:ascii="Cambria" w:hAnsi="Cambria" w:cs="Times New Roman"/>
          <w:sz w:val="16"/>
          <w:szCs w:val="16"/>
        </w:rPr>
        <w:footnoteRef/>
      </w:r>
      <w:r w:rsidRPr="008F0CE7">
        <w:rPr>
          <w:rFonts w:ascii="Cambria" w:hAnsi="Cambria" w:cs="Times New Roman"/>
          <w:sz w:val="16"/>
          <w:szCs w:val="16"/>
        </w:rPr>
        <w:t xml:space="preserve"> The</w:t>
      </w:r>
      <w:r w:rsidRPr="008F0CE7">
        <w:rPr>
          <w:rFonts w:ascii="Cambria" w:hAnsi="Cambria" w:cs="Times New Roman"/>
          <w:i/>
          <w:iCs/>
          <w:sz w:val="16"/>
          <w:szCs w:val="16"/>
        </w:rPr>
        <w:t xml:space="preserve"> Viking </w:t>
      </w:r>
      <w:r w:rsidRPr="008F0CE7">
        <w:rPr>
          <w:rFonts w:ascii="Cambria" w:hAnsi="Cambria" w:cs="Times New Roman"/>
          <w:sz w:val="16"/>
          <w:szCs w:val="16"/>
        </w:rPr>
        <w:t xml:space="preserve">and </w:t>
      </w:r>
      <w:r w:rsidRPr="008F0CE7">
        <w:rPr>
          <w:rFonts w:ascii="Cambria" w:hAnsi="Cambria" w:cs="Times New Roman"/>
          <w:i/>
          <w:iCs/>
          <w:sz w:val="16"/>
          <w:szCs w:val="16"/>
        </w:rPr>
        <w:t>Laval</w:t>
      </w:r>
      <w:r w:rsidRPr="008F0CE7">
        <w:rPr>
          <w:rFonts w:ascii="Cambria" w:hAnsi="Cambria" w:cs="Times New Roman"/>
          <w:sz w:val="16"/>
          <w:szCs w:val="16"/>
        </w:rPr>
        <w:t xml:space="preserve"> cases confirm this approach in respect of the freedom of establishment and the free movement of services. It is however not clear how broad the scope of horizontal direct effect is; </w:t>
      </w:r>
      <w:r>
        <w:rPr>
          <w:rFonts w:ascii="Cambria" w:hAnsi="Cambria" w:cs="Times New Roman"/>
          <w:sz w:val="16"/>
          <w:szCs w:val="16"/>
        </w:rPr>
        <w:t>s</w:t>
      </w:r>
      <w:r w:rsidRPr="008F0CE7">
        <w:rPr>
          <w:rFonts w:ascii="Cambria" w:hAnsi="Cambria" w:cs="Times New Roman"/>
          <w:sz w:val="16"/>
          <w:szCs w:val="16"/>
        </w:rPr>
        <w:t>ee also S. PRECHAL and S.A. DE VRIES, ‘Seamless Web of Judicial Protection’</w:t>
      </w:r>
      <w:r w:rsidRPr="008F0CE7">
        <w:rPr>
          <w:rFonts w:ascii="Cambria" w:hAnsi="Cambria" w:cs="Times New Roman"/>
          <w:i/>
          <w:sz w:val="16"/>
          <w:szCs w:val="16"/>
        </w:rPr>
        <w:t xml:space="preserve"> </w:t>
      </w:r>
      <w:r w:rsidRPr="008F0CE7">
        <w:rPr>
          <w:rFonts w:ascii="Cambria" w:hAnsi="Cambria" w:cs="Times New Roman"/>
          <w:sz w:val="16"/>
          <w:szCs w:val="16"/>
        </w:rPr>
        <w:t>(</w:t>
      </w:r>
      <w:r w:rsidRPr="008F0CE7">
        <w:rPr>
          <w:rFonts w:ascii="Cambria" w:hAnsi="Cambria" w:cs="Times New Roman"/>
          <w:color w:val="000000"/>
          <w:sz w:val="16"/>
          <w:szCs w:val="16"/>
        </w:rPr>
        <w:t xml:space="preserve">2009) </w:t>
      </w:r>
      <w:r w:rsidRPr="008F0CE7">
        <w:rPr>
          <w:rFonts w:ascii="Cambria" w:hAnsi="Cambria" w:cs="Times New Roman"/>
          <w:i/>
          <w:sz w:val="16"/>
          <w:szCs w:val="16"/>
        </w:rPr>
        <w:t>European Law Review</w:t>
      </w:r>
      <w:r w:rsidRPr="008F0CE7">
        <w:rPr>
          <w:rFonts w:ascii="Cambria" w:hAnsi="Cambria" w:cs="Times New Roman"/>
          <w:color w:val="000000"/>
          <w:sz w:val="16"/>
          <w:szCs w:val="16"/>
        </w:rPr>
        <w:t xml:space="preserve">, pp. 5-25. </w:t>
      </w:r>
    </w:p>
  </w:footnote>
  <w:footnote w:id="18">
    <w:p w:rsidR="00386DDC" w:rsidRPr="00B34A94" w:rsidRDefault="00386DDC">
      <w:pPr>
        <w:pStyle w:val="Voetnoottekst"/>
        <w:jc w:val="both"/>
        <w:rPr>
          <w:rFonts w:ascii="Cambria" w:hAnsi="Cambria" w:cs="Times New Roman"/>
          <w:sz w:val="16"/>
          <w:szCs w:val="16"/>
        </w:rPr>
      </w:pPr>
      <w:r w:rsidRPr="00B34A94">
        <w:rPr>
          <w:rStyle w:val="Voetnootmarkering"/>
          <w:rFonts w:ascii="Cambria" w:hAnsi="Cambria" w:cs="Times New Roman"/>
          <w:sz w:val="16"/>
          <w:szCs w:val="16"/>
        </w:rPr>
        <w:footnoteRef/>
      </w:r>
      <w:r w:rsidRPr="00B34A94">
        <w:rPr>
          <w:rFonts w:ascii="Cambria" w:hAnsi="Cambria" w:cs="Times New Roman"/>
          <w:sz w:val="16"/>
          <w:szCs w:val="16"/>
        </w:rPr>
        <w:t xml:space="preserve"> Opinion of AG MADURO of 1 October 2009 in Case C-58/08, </w:t>
      </w:r>
      <w:r w:rsidRPr="00B34A94">
        <w:rPr>
          <w:rFonts w:ascii="Cambria" w:hAnsi="Cambria" w:cs="Times New Roman"/>
          <w:i/>
          <w:iCs/>
          <w:sz w:val="16"/>
          <w:szCs w:val="16"/>
        </w:rPr>
        <w:t>Vodafone and others</w:t>
      </w:r>
      <w:r w:rsidRPr="00B34A94">
        <w:rPr>
          <w:rFonts w:ascii="Cambria" w:hAnsi="Cambria" w:cs="Times New Roman"/>
          <w:sz w:val="16"/>
          <w:szCs w:val="16"/>
        </w:rPr>
        <w:t>, ECLI:EU:C:2009:596, paras. 19-22.</w:t>
      </w:r>
      <w:r w:rsidRPr="00B34A94">
        <w:rPr>
          <w:rFonts w:ascii="Cambria" w:hAnsi="Cambria"/>
          <w:sz w:val="16"/>
          <w:szCs w:val="16"/>
        </w:rPr>
        <w:t xml:space="preserve"> In this case the validity of a Regulation regulating roaming prices in the telecom sector was at issue. The Court, though, did not follow the Advocate General’s Opinion on the extensive scope of Article 114 TFEU but took another and more cautious approach,</w:t>
      </w:r>
      <w:r w:rsidRPr="00B34A94">
        <w:rPr>
          <w:rFonts w:ascii="Cambria" w:hAnsi="Cambria" w:cs="Times New Roman"/>
          <w:sz w:val="16"/>
          <w:szCs w:val="16"/>
        </w:rPr>
        <w:t xml:space="preserve"> Case C-58/08, </w:t>
      </w:r>
      <w:r w:rsidRPr="00B34A94">
        <w:rPr>
          <w:rFonts w:ascii="Cambria" w:hAnsi="Cambria" w:cs="Times New Roman"/>
          <w:i/>
          <w:iCs/>
          <w:sz w:val="16"/>
          <w:szCs w:val="16"/>
        </w:rPr>
        <w:t>Vodafone and others</w:t>
      </w:r>
      <w:r w:rsidRPr="00B34A94">
        <w:rPr>
          <w:rFonts w:ascii="Cambria" w:hAnsi="Cambria" w:cs="Times New Roman"/>
          <w:sz w:val="16"/>
          <w:szCs w:val="16"/>
        </w:rPr>
        <w:t>, ECLI:EU:C:2010:321, para. 46.</w:t>
      </w:r>
    </w:p>
  </w:footnote>
  <w:footnote w:id="19">
    <w:p w:rsidR="00386DDC" w:rsidRPr="00B34A94" w:rsidRDefault="00386DDC" w:rsidP="006C41E0">
      <w:pPr>
        <w:pStyle w:val="Voetnoottekst"/>
        <w:jc w:val="both"/>
        <w:rPr>
          <w:rFonts w:ascii="Cambria" w:hAnsi="Cambria" w:cs="Times New Roman"/>
          <w:sz w:val="16"/>
          <w:szCs w:val="16"/>
        </w:rPr>
      </w:pPr>
      <w:r w:rsidRPr="00B34A94">
        <w:rPr>
          <w:rStyle w:val="Voetnootmarkering"/>
          <w:rFonts w:ascii="Cambria" w:hAnsi="Cambria" w:cs="Times New Roman"/>
          <w:sz w:val="16"/>
          <w:szCs w:val="16"/>
        </w:rPr>
        <w:footnoteRef/>
      </w:r>
      <w:r w:rsidRPr="00B34A94">
        <w:rPr>
          <w:rFonts w:ascii="Cambria" w:hAnsi="Cambria" w:cs="Times New Roman"/>
          <w:sz w:val="16"/>
          <w:szCs w:val="16"/>
        </w:rPr>
        <w:t xml:space="preserve"> D. CHALMERS, ‘The single market: from prima donna to journeyman’ in J. SHAW and G. MORE (Eds.), </w:t>
      </w:r>
      <w:r w:rsidRPr="00B34A94">
        <w:rPr>
          <w:rFonts w:ascii="Cambria" w:hAnsi="Cambria" w:cs="Times New Roman"/>
          <w:i/>
          <w:iCs/>
          <w:sz w:val="16"/>
          <w:szCs w:val="16"/>
        </w:rPr>
        <w:t>New legal dynamics of European Union</w:t>
      </w:r>
      <w:r w:rsidRPr="00B34A94">
        <w:rPr>
          <w:rFonts w:ascii="Cambria" w:hAnsi="Cambria" w:cs="Times New Roman"/>
          <w:sz w:val="16"/>
          <w:szCs w:val="16"/>
        </w:rPr>
        <w:t>, Clarendon Press, Oxford 1995, p. 57.</w:t>
      </w:r>
    </w:p>
  </w:footnote>
  <w:footnote w:id="20">
    <w:p w:rsidR="00386DDC" w:rsidRPr="00110B03" w:rsidRDefault="00386DDC">
      <w:pPr>
        <w:pStyle w:val="Voetnoottekst"/>
        <w:jc w:val="both"/>
        <w:rPr>
          <w:rFonts w:ascii="Cambria" w:hAnsi="Cambria"/>
          <w:sz w:val="16"/>
          <w:szCs w:val="16"/>
          <w:lang w:val="nl-NL"/>
        </w:rPr>
      </w:pPr>
      <w:r w:rsidRPr="00B34A94">
        <w:rPr>
          <w:rStyle w:val="Voetnootmarkering"/>
          <w:rFonts w:ascii="Cambria" w:hAnsi="Cambria"/>
          <w:sz w:val="16"/>
          <w:szCs w:val="16"/>
        </w:rPr>
        <w:footnoteRef/>
      </w:r>
      <w:r w:rsidR="00FC5F2F" w:rsidRPr="00FC5F2F">
        <w:rPr>
          <w:rFonts w:ascii="Cambria" w:hAnsi="Cambria"/>
          <w:sz w:val="16"/>
          <w:szCs w:val="16"/>
          <w:lang w:val="nl-NL"/>
        </w:rPr>
        <w:t xml:space="preserve"> S. PRECHAl and S.A. DE VRIES, 'Viking/Laval en de grondslagen van het internemarktrecht' (2008) </w:t>
      </w:r>
      <w:r w:rsidR="00FC5F2F" w:rsidRPr="00FC5F2F">
        <w:rPr>
          <w:rFonts w:ascii="Cambria" w:hAnsi="Cambria"/>
          <w:i/>
          <w:sz w:val="16"/>
          <w:szCs w:val="16"/>
          <w:lang w:val="nl-NL"/>
        </w:rPr>
        <w:t>SEW</w:t>
      </w:r>
      <w:r w:rsidR="00FC5F2F" w:rsidRPr="00FC5F2F">
        <w:rPr>
          <w:rFonts w:ascii="Cambria" w:hAnsi="Cambria"/>
          <w:sz w:val="16"/>
          <w:szCs w:val="16"/>
          <w:lang w:val="nl-NL"/>
        </w:rPr>
        <w:t>, p. 434.</w:t>
      </w:r>
    </w:p>
  </w:footnote>
  <w:footnote w:id="21">
    <w:p w:rsidR="00386DDC" w:rsidRPr="00B34A94" w:rsidRDefault="00386DDC">
      <w:pPr>
        <w:pStyle w:val="Geenafstand"/>
        <w:jc w:val="both"/>
        <w:rPr>
          <w:rFonts w:ascii="Cambria" w:hAnsi="Cambria" w:cs="Times New Roman"/>
          <w:sz w:val="16"/>
          <w:szCs w:val="16"/>
        </w:rPr>
      </w:pPr>
      <w:r w:rsidRPr="00B34A94">
        <w:rPr>
          <w:rStyle w:val="Voetnootmarkering"/>
          <w:rFonts w:ascii="Cambria" w:hAnsi="Cambria" w:cs="Times New Roman"/>
          <w:sz w:val="16"/>
          <w:szCs w:val="16"/>
        </w:rPr>
        <w:footnoteRef/>
      </w:r>
      <w:r w:rsidRPr="00B34A94">
        <w:rPr>
          <w:rFonts w:ascii="Cambria" w:hAnsi="Cambria" w:cs="Times New Roman"/>
          <w:sz w:val="16"/>
          <w:szCs w:val="16"/>
          <w:lang w:val="es-ES"/>
        </w:rPr>
        <w:t xml:space="preserve"> Case C-233/12, </w:t>
      </w:r>
      <w:r w:rsidRPr="00B34A94">
        <w:rPr>
          <w:rFonts w:ascii="Cambria" w:hAnsi="Cambria" w:cs="Times New Roman"/>
          <w:i/>
          <w:sz w:val="16"/>
          <w:szCs w:val="16"/>
          <w:lang w:val="es-ES"/>
        </w:rPr>
        <w:t xml:space="preserve">Simone Gardella v Istituto Nazionale della Previdenza Sociale </w:t>
      </w:r>
      <w:r w:rsidRPr="00B34A94">
        <w:rPr>
          <w:rFonts w:ascii="Cambria" w:hAnsi="Cambria" w:cs="Times New Roman"/>
          <w:sz w:val="16"/>
          <w:szCs w:val="16"/>
          <w:lang w:val="es-ES"/>
        </w:rPr>
        <w:t xml:space="preserve">(INPS) (Gardella), ECLI:EU:C:2013:449, para. </w:t>
      </w:r>
      <w:r w:rsidR="00FC5F2F" w:rsidRPr="00FC5F2F">
        <w:rPr>
          <w:rFonts w:ascii="Cambria" w:hAnsi="Cambria" w:cs="Times New Roman"/>
          <w:sz w:val="16"/>
          <w:szCs w:val="16"/>
          <w:lang w:val="en-US"/>
        </w:rPr>
        <w:t xml:space="preserve">39: ‘[…] </w:t>
      </w:r>
      <w:r w:rsidRPr="00B34A94">
        <w:rPr>
          <w:rFonts w:ascii="Cambria" w:hAnsi="Cambria" w:cs="Times New Roman"/>
          <w:sz w:val="16"/>
          <w:szCs w:val="16"/>
        </w:rPr>
        <w:t xml:space="preserve">Article 12(2) of the Charter reiterates inter alia the free movement of workers guaranteed by Article 45 TFEU […]’; case C-367/12, </w:t>
      </w:r>
      <w:r w:rsidRPr="00B34A94">
        <w:rPr>
          <w:rFonts w:ascii="Cambria" w:hAnsi="Cambria" w:cs="Times New Roman"/>
          <w:bCs/>
          <w:i/>
          <w:sz w:val="16"/>
          <w:szCs w:val="16"/>
        </w:rPr>
        <w:t>Susanne Sokoll-Seebacher</w:t>
      </w:r>
      <w:r w:rsidRPr="00B34A94">
        <w:rPr>
          <w:rFonts w:ascii="Cambria" w:hAnsi="Cambria" w:cs="Times New Roman"/>
          <w:i/>
          <w:sz w:val="16"/>
          <w:szCs w:val="16"/>
        </w:rPr>
        <w:t xml:space="preserve"> </w:t>
      </w:r>
      <w:r w:rsidRPr="00B34A94">
        <w:rPr>
          <w:rFonts w:ascii="Cambria" w:hAnsi="Cambria" w:cs="Times New Roman"/>
          <w:sz w:val="16"/>
          <w:szCs w:val="16"/>
        </w:rPr>
        <w:t>(Sokoll-Seebacher), ECLI:EU:C:2014:68, para. 22: ‘[…] Article 16 of the Charter refers, inter alia, to Article 49 TFEU, which guarantees the fundamental freedom of establishment.’</w:t>
      </w:r>
    </w:p>
  </w:footnote>
  <w:footnote w:id="22">
    <w:p w:rsidR="00386DDC" w:rsidRPr="00110B03" w:rsidRDefault="00386DDC">
      <w:pPr>
        <w:pStyle w:val="Voetnoottekst"/>
        <w:jc w:val="both"/>
        <w:rPr>
          <w:rFonts w:ascii="Cambria" w:hAnsi="Cambria"/>
          <w:sz w:val="16"/>
          <w:szCs w:val="16"/>
          <w:lang w:val="es-ES"/>
        </w:rPr>
      </w:pPr>
      <w:r w:rsidRPr="00B34A94">
        <w:rPr>
          <w:rStyle w:val="Voetnootmarkering"/>
          <w:rFonts w:ascii="Cambria" w:hAnsi="Cambria"/>
          <w:sz w:val="16"/>
          <w:szCs w:val="16"/>
        </w:rPr>
        <w:footnoteRef/>
      </w:r>
      <w:r w:rsidR="00FC5F2F" w:rsidRPr="00FC5F2F">
        <w:rPr>
          <w:rFonts w:ascii="Cambria" w:hAnsi="Cambria"/>
          <w:sz w:val="16"/>
          <w:szCs w:val="16"/>
          <w:lang w:val="de-DE"/>
        </w:rPr>
        <w:t xml:space="preserve"> Case C-367/12, </w:t>
      </w:r>
      <w:r w:rsidR="00FC5F2F" w:rsidRPr="00FC5F2F">
        <w:rPr>
          <w:rFonts w:ascii="Cambria" w:hAnsi="Cambria"/>
          <w:i/>
          <w:sz w:val="16"/>
          <w:szCs w:val="16"/>
          <w:lang w:val="de-DE"/>
        </w:rPr>
        <w:t>Sokoll-Seebacher</w:t>
      </w:r>
      <w:r w:rsidR="00FC5F2F" w:rsidRPr="00FC5F2F">
        <w:rPr>
          <w:rFonts w:ascii="Cambria" w:hAnsi="Cambria"/>
          <w:sz w:val="16"/>
          <w:szCs w:val="16"/>
          <w:lang w:val="de-DE"/>
        </w:rPr>
        <w:t xml:space="preserve">, </w:t>
      </w:r>
      <w:r w:rsidR="00FC5F2F" w:rsidRPr="00FC5F2F">
        <w:rPr>
          <w:rFonts w:ascii="Cambria" w:hAnsi="Cambria" w:cs="Times New Roman"/>
          <w:sz w:val="16"/>
          <w:szCs w:val="16"/>
          <w:lang w:val="de-DE"/>
        </w:rPr>
        <w:t xml:space="preserve">ECLI:EU:C:2014:68, </w:t>
      </w:r>
      <w:r w:rsidR="00FC5F2F" w:rsidRPr="00FC5F2F">
        <w:rPr>
          <w:rFonts w:ascii="Cambria" w:hAnsi="Cambria"/>
          <w:sz w:val="16"/>
          <w:szCs w:val="16"/>
          <w:lang w:val="de-DE"/>
        </w:rPr>
        <w:t xml:space="preserve">para. </w:t>
      </w:r>
      <w:r w:rsidR="00FC5F2F" w:rsidRPr="00FC5F2F">
        <w:rPr>
          <w:rFonts w:ascii="Cambria" w:hAnsi="Cambria"/>
          <w:sz w:val="16"/>
          <w:szCs w:val="16"/>
          <w:lang w:val="es-ES"/>
        </w:rPr>
        <w:t>22.</w:t>
      </w:r>
    </w:p>
  </w:footnote>
  <w:footnote w:id="23">
    <w:p w:rsidR="00386DDC" w:rsidRPr="00B34A94" w:rsidRDefault="00386DDC">
      <w:pPr>
        <w:pStyle w:val="Voetnoottekst"/>
        <w:jc w:val="both"/>
        <w:rPr>
          <w:rFonts w:ascii="Cambria" w:hAnsi="Cambria"/>
          <w:sz w:val="16"/>
          <w:szCs w:val="16"/>
        </w:rPr>
      </w:pPr>
      <w:r w:rsidRPr="00B34A94">
        <w:rPr>
          <w:rStyle w:val="Voetnootmarkering"/>
          <w:rFonts w:ascii="Cambria" w:hAnsi="Cambria"/>
          <w:sz w:val="16"/>
          <w:szCs w:val="16"/>
        </w:rPr>
        <w:footnoteRef/>
      </w:r>
      <w:r w:rsidR="00FC5F2F" w:rsidRPr="00FC5F2F">
        <w:rPr>
          <w:rFonts w:ascii="Cambria" w:hAnsi="Cambria"/>
          <w:sz w:val="16"/>
          <w:szCs w:val="16"/>
          <w:lang w:val="es-ES"/>
        </w:rPr>
        <w:t xml:space="preserve"> Case C-233/12, </w:t>
      </w:r>
      <w:r w:rsidR="00FC5F2F" w:rsidRPr="00FC5F2F">
        <w:rPr>
          <w:rFonts w:ascii="Cambria" w:hAnsi="Cambria"/>
          <w:i/>
          <w:sz w:val="16"/>
          <w:szCs w:val="16"/>
          <w:lang w:val="es-ES"/>
        </w:rPr>
        <w:t xml:space="preserve">Gardella, </w:t>
      </w:r>
      <w:r w:rsidRPr="00B34A94">
        <w:rPr>
          <w:rFonts w:ascii="Cambria" w:hAnsi="Cambria" w:cs="Times New Roman"/>
          <w:sz w:val="16"/>
          <w:szCs w:val="16"/>
          <w:lang w:val="es-ES"/>
        </w:rPr>
        <w:t xml:space="preserve">ECLI:EU:C:2013:449, </w:t>
      </w:r>
      <w:r w:rsidR="00FC5F2F" w:rsidRPr="00FC5F2F">
        <w:rPr>
          <w:rFonts w:ascii="Cambria" w:hAnsi="Cambria"/>
          <w:sz w:val="16"/>
          <w:szCs w:val="16"/>
          <w:lang w:val="es-ES"/>
        </w:rPr>
        <w:t xml:space="preserve">para. </w:t>
      </w:r>
      <w:r w:rsidRPr="00B34A94">
        <w:rPr>
          <w:rFonts w:ascii="Cambria" w:hAnsi="Cambria"/>
          <w:sz w:val="16"/>
          <w:szCs w:val="16"/>
        </w:rPr>
        <w:t>39.</w:t>
      </w:r>
    </w:p>
  </w:footnote>
  <w:footnote w:id="24">
    <w:p w:rsidR="00386DDC" w:rsidRPr="00B34A94" w:rsidRDefault="00386DDC" w:rsidP="006C41E0">
      <w:pPr>
        <w:pStyle w:val="Voetnoottekst"/>
        <w:jc w:val="both"/>
        <w:rPr>
          <w:rFonts w:ascii="Cambria" w:hAnsi="Cambria" w:cs="Times New Roman"/>
          <w:sz w:val="16"/>
          <w:szCs w:val="16"/>
        </w:rPr>
      </w:pPr>
      <w:r w:rsidRPr="00B34A94">
        <w:rPr>
          <w:rStyle w:val="Voetnootmarkering"/>
          <w:rFonts w:ascii="Cambria" w:hAnsi="Cambria" w:cs="Times New Roman"/>
          <w:sz w:val="16"/>
          <w:szCs w:val="16"/>
        </w:rPr>
        <w:footnoteRef/>
      </w:r>
      <w:r w:rsidRPr="00B34A94">
        <w:rPr>
          <w:rFonts w:ascii="Cambria" w:hAnsi="Cambria" w:cs="Times New Roman"/>
          <w:sz w:val="16"/>
          <w:szCs w:val="16"/>
        </w:rPr>
        <w:t xml:space="preserve"> Case C-390/12, </w:t>
      </w:r>
      <w:r w:rsidRPr="00B34A94">
        <w:rPr>
          <w:rFonts w:ascii="Cambria" w:hAnsi="Cambria" w:cs="Times New Roman"/>
          <w:i/>
          <w:sz w:val="16"/>
          <w:szCs w:val="16"/>
        </w:rPr>
        <w:t xml:space="preserve">Robert Pfleger and others </w:t>
      </w:r>
      <w:r w:rsidRPr="00B34A94">
        <w:rPr>
          <w:rFonts w:ascii="Cambria" w:hAnsi="Cambria" w:cs="Times New Roman"/>
          <w:sz w:val="16"/>
          <w:szCs w:val="16"/>
        </w:rPr>
        <w:t>(Pfleger), ECLI:EU:C:2014:281.</w:t>
      </w:r>
    </w:p>
  </w:footnote>
  <w:footnote w:id="25">
    <w:p w:rsidR="00386DDC" w:rsidRPr="00B34A94" w:rsidRDefault="00386DDC" w:rsidP="006C41E0">
      <w:pPr>
        <w:pStyle w:val="Voetnoottekst"/>
        <w:jc w:val="both"/>
        <w:rPr>
          <w:rFonts w:ascii="Cambria" w:hAnsi="Cambria"/>
          <w:sz w:val="16"/>
          <w:szCs w:val="16"/>
        </w:rPr>
      </w:pPr>
      <w:r w:rsidRPr="00B34A94">
        <w:rPr>
          <w:rStyle w:val="Voetnootmarkering"/>
          <w:rFonts w:ascii="Cambria" w:hAnsi="Cambria"/>
          <w:sz w:val="16"/>
          <w:szCs w:val="16"/>
        </w:rPr>
        <w:footnoteRef/>
      </w:r>
      <w:r w:rsidRPr="00B34A94">
        <w:rPr>
          <w:rFonts w:ascii="Cambria" w:hAnsi="Cambria"/>
          <w:sz w:val="16"/>
          <w:szCs w:val="16"/>
        </w:rPr>
        <w:t xml:space="preserve"> </w:t>
      </w:r>
      <w:r w:rsidR="00FC5F2F" w:rsidRPr="00FC5F2F">
        <w:rPr>
          <w:rFonts w:ascii="Cambria" w:hAnsi="Cambria"/>
          <w:sz w:val="16"/>
          <w:szCs w:val="16"/>
          <w:lang w:val="en-US"/>
        </w:rPr>
        <w:t xml:space="preserve">PRECHAl and DE VRIES, </w:t>
      </w:r>
      <w:r w:rsidR="00FC5F2F" w:rsidRPr="00FC5F2F">
        <w:rPr>
          <w:rFonts w:ascii="Cambria" w:hAnsi="Cambria"/>
          <w:i/>
          <w:sz w:val="16"/>
          <w:szCs w:val="16"/>
          <w:lang w:val="en-US"/>
        </w:rPr>
        <w:t>supra</w:t>
      </w:r>
      <w:r w:rsidR="00FC5F2F" w:rsidRPr="00FC5F2F">
        <w:rPr>
          <w:rFonts w:ascii="Cambria" w:hAnsi="Cambria"/>
          <w:sz w:val="16"/>
          <w:szCs w:val="16"/>
          <w:lang w:val="en-US"/>
        </w:rPr>
        <w:t xml:space="preserve"> at </w:t>
      </w:r>
      <w:fldSimple w:instr=" NOTEREF _Ref420514579 \h  \* MERGEFORMAT ">
        <w:r w:rsidR="00FC5F2F" w:rsidRPr="00FC5F2F">
          <w:rPr>
            <w:rFonts w:ascii="Cambria" w:hAnsi="Cambria"/>
            <w:sz w:val="16"/>
            <w:szCs w:val="16"/>
            <w:lang w:val="en-US"/>
          </w:rPr>
          <w:t>20</w:t>
        </w:r>
      </w:fldSimple>
      <w:r w:rsidR="00FC5F2F" w:rsidRPr="00FC5F2F">
        <w:rPr>
          <w:rFonts w:ascii="Cambria" w:hAnsi="Cambria"/>
          <w:sz w:val="16"/>
          <w:szCs w:val="16"/>
          <w:lang w:val="en-US"/>
        </w:rPr>
        <w:t xml:space="preserve">, p. </w:t>
      </w:r>
      <w:r w:rsidRPr="00B34A94">
        <w:rPr>
          <w:rFonts w:ascii="Cambria" w:hAnsi="Cambria"/>
          <w:sz w:val="16"/>
          <w:szCs w:val="16"/>
        </w:rPr>
        <w:t xml:space="preserve">435. </w:t>
      </w:r>
    </w:p>
  </w:footnote>
  <w:footnote w:id="26">
    <w:p w:rsidR="00386DDC" w:rsidRPr="001C20E6" w:rsidRDefault="00386DDC" w:rsidP="00A23B35">
      <w:pPr>
        <w:pStyle w:val="Voetnoottekst"/>
        <w:jc w:val="both"/>
        <w:rPr>
          <w:rFonts w:ascii="Cambria" w:hAnsi="Cambria"/>
          <w:sz w:val="16"/>
          <w:szCs w:val="16"/>
        </w:rPr>
      </w:pPr>
      <w:r w:rsidRPr="00B34A94">
        <w:rPr>
          <w:rStyle w:val="Voetnootmarkering"/>
          <w:rFonts w:ascii="Cambria" w:hAnsi="Cambria"/>
          <w:sz w:val="16"/>
          <w:szCs w:val="16"/>
        </w:rPr>
        <w:footnoteRef/>
      </w:r>
      <w:r w:rsidRPr="00B34A94">
        <w:rPr>
          <w:rFonts w:ascii="Cambria" w:hAnsi="Cambria"/>
          <w:sz w:val="16"/>
          <w:szCs w:val="16"/>
        </w:rPr>
        <w:t xml:space="preserve"> C. CROUCH, ‘Labour markets and social policy after the crisis’ (2014</w:t>
      </w:r>
      <w:r>
        <w:rPr>
          <w:rFonts w:ascii="Cambria" w:hAnsi="Cambria"/>
          <w:sz w:val="16"/>
          <w:szCs w:val="16"/>
        </w:rPr>
        <w:t xml:space="preserve">) </w:t>
      </w:r>
      <w:r w:rsidRPr="00B34A94">
        <w:rPr>
          <w:rFonts w:ascii="Cambria" w:hAnsi="Cambria"/>
          <w:sz w:val="16"/>
          <w:szCs w:val="16"/>
        </w:rPr>
        <w:t xml:space="preserve">20:1 </w:t>
      </w:r>
      <w:r w:rsidRPr="00B34A94">
        <w:rPr>
          <w:rFonts w:ascii="Cambria" w:hAnsi="Cambria"/>
          <w:i/>
          <w:sz w:val="16"/>
          <w:szCs w:val="16"/>
        </w:rPr>
        <w:t>European Review of labour and research,</w:t>
      </w:r>
      <w:r w:rsidRPr="00B34A94">
        <w:rPr>
          <w:rFonts w:ascii="Cambria" w:hAnsi="Cambria"/>
          <w:sz w:val="16"/>
          <w:szCs w:val="16"/>
        </w:rPr>
        <w:t xml:space="preserve"> pp. 7–22.</w:t>
      </w:r>
    </w:p>
  </w:footnote>
  <w:footnote w:id="27">
    <w:p w:rsidR="00386DDC" w:rsidRPr="00B34A94" w:rsidRDefault="00386DDC">
      <w:pPr>
        <w:pStyle w:val="Voetnoottekst"/>
        <w:jc w:val="both"/>
        <w:rPr>
          <w:rFonts w:ascii="Cambria" w:hAnsi="Cambria"/>
          <w:sz w:val="16"/>
          <w:szCs w:val="16"/>
        </w:rPr>
      </w:pPr>
      <w:r w:rsidRPr="00B34A94">
        <w:rPr>
          <w:rStyle w:val="Voetnootmarkering"/>
          <w:rFonts w:ascii="Cambria" w:hAnsi="Cambria"/>
          <w:sz w:val="16"/>
          <w:szCs w:val="16"/>
        </w:rPr>
        <w:footnoteRef/>
      </w:r>
      <w:r w:rsidRPr="00B34A94">
        <w:rPr>
          <w:rFonts w:ascii="Cambria" w:hAnsi="Cambria"/>
          <w:sz w:val="16"/>
          <w:szCs w:val="16"/>
        </w:rPr>
        <w:t xml:space="preserve"> ‘Commodification’ relates to the fact that the market, due to its economic rationality, considers labour as any other inanimate commodity in disregard of the qualities it possesses, such as that </w:t>
      </w:r>
      <w:r>
        <w:rPr>
          <w:rFonts w:ascii="Cambria" w:hAnsi="Cambria"/>
          <w:sz w:val="16"/>
          <w:szCs w:val="16"/>
        </w:rPr>
        <w:t xml:space="preserve">it </w:t>
      </w:r>
      <w:r w:rsidRPr="00B34A94">
        <w:rPr>
          <w:rFonts w:ascii="Cambria" w:hAnsi="Cambria"/>
          <w:sz w:val="16"/>
          <w:szCs w:val="16"/>
        </w:rPr>
        <w:t xml:space="preserve">involves human beings whose dignity, respect or well-being can be at stake. The term was coined </w:t>
      </w:r>
      <w:r>
        <w:rPr>
          <w:rFonts w:ascii="Cambria" w:hAnsi="Cambria"/>
          <w:sz w:val="16"/>
          <w:szCs w:val="16"/>
        </w:rPr>
        <w:t>upon</w:t>
      </w:r>
      <w:r w:rsidRPr="00B34A94">
        <w:rPr>
          <w:rFonts w:ascii="Cambria" w:hAnsi="Cambria"/>
          <w:sz w:val="16"/>
          <w:szCs w:val="16"/>
        </w:rPr>
        <w:t xml:space="preserve"> the foundation of the ILO, which expres</w:t>
      </w:r>
      <w:r w:rsidRPr="00B34A94">
        <w:rPr>
          <w:rFonts w:ascii="Cambria" w:hAnsi="Cambria"/>
          <w:sz w:val="16"/>
          <w:szCs w:val="16"/>
        </w:rPr>
        <w:softHyphen/>
        <w:t xml:space="preserve">ses in the preamble </w:t>
      </w:r>
      <w:r>
        <w:rPr>
          <w:rFonts w:ascii="Cambria" w:hAnsi="Cambria"/>
          <w:sz w:val="16"/>
          <w:szCs w:val="16"/>
        </w:rPr>
        <w:t>to</w:t>
      </w:r>
      <w:r w:rsidRPr="00B34A94">
        <w:rPr>
          <w:rFonts w:ascii="Cambria" w:hAnsi="Cambria"/>
          <w:sz w:val="16"/>
          <w:szCs w:val="16"/>
        </w:rPr>
        <w:t xml:space="preserve"> its Constitution that ‘labour is not a commodity’.</w:t>
      </w:r>
    </w:p>
  </w:footnote>
  <w:footnote w:id="28">
    <w:p w:rsidR="00386DDC" w:rsidRPr="00B34A94" w:rsidRDefault="00386DDC">
      <w:pPr>
        <w:pStyle w:val="Voetnoottekst"/>
        <w:jc w:val="both"/>
        <w:rPr>
          <w:rFonts w:ascii="Cambria" w:hAnsi="Cambria"/>
          <w:sz w:val="16"/>
          <w:szCs w:val="16"/>
        </w:rPr>
      </w:pPr>
      <w:r w:rsidRPr="00B34A94">
        <w:rPr>
          <w:rStyle w:val="Voetnootmarkering"/>
          <w:rFonts w:ascii="Cambria" w:hAnsi="Cambria"/>
          <w:sz w:val="16"/>
          <w:szCs w:val="16"/>
        </w:rPr>
        <w:footnoteRef/>
      </w:r>
      <w:r w:rsidRPr="00B34A94">
        <w:rPr>
          <w:rFonts w:ascii="Cambria" w:hAnsi="Cambria"/>
          <w:sz w:val="16"/>
          <w:szCs w:val="16"/>
        </w:rPr>
        <w:t xml:space="preserve"> K. POLANYI, </w:t>
      </w:r>
      <w:r w:rsidRPr="00B34A94">
        <w:rPr>
          <w:rFonts w:ascii="Cambria" w:hAnsi="Cambria"/>
          <w:i/>
          <w:sz w:val="16"/>
          <w:szCs w:val="16"/>
        </w:rPr>
        <w:t xml:space="preserve">The Great Transformation: the Political and Economic Origins of Our </w:t>
      </w:r>
      <w:r w:rsidRPr="00B34A94">
        <w:rPr>
          <w:rFonts w:ascii="Cambria" w:hAnsi="Cambria" w:cs="Times New Roman"/>
          <w:i/>
          <w:sz w:val="16"/>
          <w:szCs w:val="16"/>
        </w:rPr>
        <w:t>Time</w:t>
      </w:r>
      <w:r w:rsidRPr="00B34A94">
        <w:rPr>
          <w:rFonts w:ascii="Cambria" w:hAnsi="Cambria" w:cs="Times New Roman"/>
          <w:sz w:val="16"/>
          <w:szCs w:val="16"/>
        </w:rPr>
        <w:t>, Rinehart, New York</w:t>
      </w:r>
      <w:r w:rsidRPr="00B34A94">
        <w:rPr>
          <w:rFonts w:ascii="Cambria" w:hAnsi="Cambria"/>
          <w:sz w:val="16"/>
          <w:szCs w:val="16"/>
        </w:rPr>
        <w:t xml:space="preserve"> 1944. </w:t>
      </w:r>
      <w:r w:rsidRPr="00B34A94">
        <w:rPr>
          <w:rFonts w:ascii="Cambria" w:hAnsi="Cambria"/>
          <w:i/>
          <w:sz w:val="16"/>
          <w:szCs w:val="16"/>
        </w:rPr>
        <w:t>Cf.</w:t>
      </w:r>
      <w:r w:rsidRPr="00B34A94">
        <w:rPr>
          <w:rFonts w:ascii="Cambria" w:hAnsi="Cambria"/>
          <w:sz w:val="16"/>
          <w:szCs w:val="16"/>
        </w:rPr>
        <w:t xml:space="preserve"> on Polanyi: </w:t>
      </w:r>
      <w:r w:rsidRPr="00B34A94">
        <w:rPr>
          <w:rFonts w:ascii="Cambria" w:hAnsi="Cambria"/>
          <w:sz w:val="16"/>
          <w:szCs w:val="16"/>
          <w:lang w:val="en-US"/>
        </w:rPr>
        <w:t>JOERGES and</w:t>
      </w:r>
      <w:r w:rsidRPr="00B34A94">
        <w:rPr>
          <w:rFonts w:ascii="Cambria" w:hAnsi="Cambria"/>
          <w:sz w:val="16"/>
          <w:szCs w:val="16"/>
        </w:rPr>
        <w:t xml:space="preserve"> RŐDL,</w:t>
      </w:r>
      <w:r w:rsidRPr="00B34A94">
        <w:rPr>
          <w:rFonts w:ascii="Cambria" w:hAnsi="Cambria"/>
          <w:i/>
          <w:sz w:val="16"/>
          <w:szCs w:val="16"/>
        </w:rPr>
        <w:t xml:space="preserve"> supra </w:t>
      </w:r>
      <w:r w:rsidRPr="00B34A94">
        <w:rPr>
          <w:rFonts w:ascii="Cambria" w:hAnsi="Cambria"/>
          <w:sz w:val="16"/>
          <w:szCs w:val="16"/>
        </w:rPr>
        <w:t>at</w:t>
      </w:r>
      <w:r w:rsidRPr="00B34A94">
        <w:rPr>
          <w:rFonts w:ascii="Cambria" w:hAnsi="Cambria"/>
          <w:i/>
          <w:sz w:val="16"/>
          <w:szCs w:val="16"/>
        </w:rPr>
        <w:t xml:space="preserve"> </w:t>
      </w:r>
      <w:fldSimple w:instr=" NOTEREF _Ref420507634 \h  \* MERGEFORMAT ">
        <w:r w:rsidRPr="00B34A94">
          <w:t>9</w:t>
        </w:r>
      </w:fldSimple>
      <w:r w:rsidRPr="00B34A94">
        <w:rPr>
          <w:rFonts w:ascii="Cambria" w:hAnsi="Cambria"/>
          <w:sz w:val="16"/>
          <w:szCs w:val="16"/>
        </w:rPr>
        <w:t xml:space="preserve">, p. 5 and CROUCH,  </w:t>
      </w:r>
      <w:r w:rsidRPr="00B34A94">
        <w:rPr>
          <w:rFonts w:ascii="Cambria" w:hAnsi="Cambria"/>
          <w:i/>
          <w:sz w:val="16"/>
          <w:szCs w:val="16"/>
        </w:rPr>
        <w:t xml:space="preserve">supra </w:t>
      </w:r>
      <w:r w:rsidRPr="00B34A94">
        <w:rPr>
          <w:rFonts w:ascii="Cambria" w:hAnsi="Cambria"/>
          <w:sz w:val="16"/>
          <w:szCs w:val="16"/>
        </w:rPr>
        <w:t xml:space="preserve">at </w:t>
      </w:r>
      <w:fldSimple w:instr=" NOTEREF _Ref420507718 \h  \* MERGEFORMAT ">
        <w:r w:rsidRPr="00B34A94">
          <w:rPr>
            <w:rFonts w:ascii="Cambria" w:hAnsi="Cambria"/>
            <w:sz w:val="16"/>
            <w:szCs w:val="16"/>
          </w:rPr>
          <w:t>26</w:t>
        </w:r>
      </w:fldSimple>
      <w:r w:rsidRPr="00B34A94">
        <w:rPr>
          <w:rFonts w:ascii="Cambria" w:hAnsi="Cambria"/>
          <w:i/>
          <w:sz w:val="16"/>
          <w:szCs w:val="16"/>
        </w:rPr>
        <w:t xml:space="preserve"> </w:t>
      </w:r>
      <w:r w:rsidRPr="00B34A94">
        <w:rPr>
          <w:rFonts w:ascii="Cambria" w:hAnsi="Cambria"/>
          <w:sz w:val="16"/>
          <w:szCs w:val="16"/>
        </w:rPr>
        <w:t>, p. 10.</w:t>
      </w:r>
    </w:p>
  </w:footnote>
  <w:footnote w:id="29">
    <w:p w:rsidR="00386DDC" w:rsidRPr="00110B03" w:rsidRDefault="00386DDC">
      <w:pPr>
        <w:pStyle w:val="Voetnoottekst"/>
        <w:jc w:val="both"/>
        <w:rPr>
          <w:rFonts w:ascii="Cambria" w:hAnsi="Cambria"/>
          <w:sz w:val="16"/>
          <w:szCs w:val="16"/>
          <w:lang w:val="en-US"/>
        </w:rPr>
      </w:pPr>
      <w:r w:rsidRPr="00B34A94">
        <w:rPr>
          <w:rStyle w:val="Voetnootmarkering"/>
          <w:rFonts w:ascii="Cambria" w:hAnsi="Cambria"/>
          <w:sz w:val="16"/>
          <w:szCs w:val="16"/>
        </w:rPr>
        <w:footnoteRef/>
      </w:r>
      <w:r w:rsidRPr="00B34A94">
        <w:rPr>
          <w:rFonts w:ascii="Cambria" w:hAnsi="Cambria"/>
          <w:sz w:val="16"/>
          <w:szCs w:val="16"/>
        </w:rPr>
        <w:t xml:space="preserve"> F.W. SCHARPF, ‘The European Social Model: Coping with the Challenges of Diversity’ (2002) 40:4 </w:t>
      </w:r>
      <w:r w:rsidRPr="00B34A94">
        <w:rPr>
          <w:rFonts w:ascii="Cambria" w:hAnsi="Cambria"/>
          <w:i/>
          <w:sz w:val="16"/>
          <w:szCs w:val="16"/>
        </w:rPr>
        <w:t>Journal of Common Market Studies</w:t>
      </w:r>
      <w:r w:rsidRPr="00B34A94">
        <w:rPr>
          <w:rFonts w:ascii="Cambria" w:hAnsi="Cambria"/>
          <w:sz w:val="16"/>
          <w:szCs w:val="16"/>
        </w:rPr>
        <w:t xml:space="preserve">, </w:t>
      </w:r>
      <w:r w:rsidR="00FC5F2F" w:rsidRPr="00FC5F2F">
        <w:rPr>
          <w:rFonts w:ascii="Cambria" w:hAnsi="Cambria"/>
          <w:sz w:val="16"/>
          <w:szCs w:val="16"/>
          <w:lang w:val="en-US"/>
        </w:rPr>
        <w:t>pp. 646–70 at p. 646.</w:t>
      </w:r>
    </w:p>
  </w:footnote>
  <w:footnote w:id="30">
    <w:p w:rsidR="00386DDC" w:rsidRPr="00B34A94" w:rsidRDefault="00386DDC" w:rsidP="006C41E0">
      <w:pPr>
        <w:autoSpaceDE w:val="0"/>
        <w:autoSpaceDN w:val="0"/>
        <w:adjustRightInd w:val="0"/>
        <w:spacing w:after="0" w:line="240" w:lineRule="auto"/>
        <w:jc w:val="both"/>
        <w:rPr>
          <w:rFonts w:ascii="Cambria" w:hAnsi="Cambria" w:cs="Times New Roman"/>
          <w:sz w:val="16"/>
          <w:szCs w:val="16"/>
        </w:rPr>
      </w:pPr>
      <w:r w:rsidRPr="00B34A94">
        <w:rPr>
          <w:rStyle w:val="Voetnootmarkering"/>
          <w:rFonts w:ascii="Cambria" w:hAnsi="Cambria"/>
          <w:sz w:val="16"/>
          <w:szCs w:val="16"/>
        </w:rPr>
        <w:footnoteRef/>
      </w:r>
      <w:r w:rsidRPr="00B34A94">
        <w:rPr>
          <w:rFonts w:ascii="Cambria" w:hAnsi="Cambria"/>
          <w:sz w:val="16"/>
          <w:szCs w:val="16"/>
          <w:lang w:val="de-DE"/>
        </w:rPr>
        <w:t xml:space="preserve"> SCHARPF, </w:t>
      </w:r>
      <w:r w:rsidR="00FC5F2F" w:rsidRPr="00FC5F2F">
        <w:rPr>
          <w:rFonts w:ascii="Cambria" w:hAnsi="Cambria"/>
          <w:i/>
          <w:sz w:val="16"/>
          <w:szCs w:val="16"/>
          <w:lang w:val="de-DE"/>
        </w:rPr>
        <w:t>supra</w:t>
      </w:r>
      <w:r w:rsidR="00FC5F2F" w:rsidRPr="00FC5F2F">
        <w:rPr>
          <w:rFonts w:ascii="Cambria" w:hAnsi="Cambria"/>
          <w:sz w:val="16"/>
          <w:szCs w:val="16"/>
          <w:lang w:val="de-DE"/>
        </w:rPr>
        <w:t xml:space="preserve"> at </w:t>
      </w:r>
      <w:fldSimple w:instr=" NOTEREF _Ref420507761 \h  \* MERGEFORMAT ">
        <w:r w:rsidR="00FC5F2F" w:rsidRPr="00FC5F2F">
          <w:rPr>
            <w:rFonts w:ascii="Cambria" w:hAnsi="Cambria"/>
            <w:sz w:val="16"/>
            <w:szCs w:val="16"/>
            <w:lang w:val="de-DE"/>
          </w:rPr>
          <w:t>29</w:t>
        </w:r>
      </w:fldSimple>
      <w:r w:rsidR="00FC5F2F" w:rsidRPr="00FC5F2F">
        <w:rPr>
          <w:rFonts w:ascii="Cambria" w:hAnsi="Cambria"/>
          <w:sz w:val="16"/>
          <w:szCs w:val="16"/>
          <w:lang w:val="de-DE"/>
        </w:rPr>
        <w:t xml:space="preserve">, referring to H.J. </w:t>
      </w:r>
      <w:r w:rsidR="00FC5F2F" w:rsidRPr="00FC5F2F">
        <w:rPr>
          <w:rFonts w:ascii="Cambria" w:hAnsi="Cambria" w:cs="Times New Roman"/>
          <w:sz w:val="16"/>
          <w:szCs w:val="16"/>
          <w:lang w:val="de-DE"/>
        </w:rPr>
        <w:t xml:space="preserve">KÜSTERS, </w:t>
      </w:r>
      <w:r w:rsidR="00FC5F2F" w:rsidRPr="00FC5F2F">
        <w:rPr>
          <w:rFonts w:ascii="Cambria" w:hAnsi="Cambria" w:cs="Times New Roman"/>
          <w:i/>
          <w:iCs/>
          <w:sz w:val="16"/>
          <w:szCs w:val="16"/>
          <w:lang w:val="de-DE"/>
        </w:rPr>
        <w:t>Die Gründung der Europäischen Wirtschafts</w:t>
      </w:r>
      <w:r w:rsidR="00FC5F2F" w:rsidRPr="00FC5F2F">
        <w:rPr>
          <w:rFonts w:ascii="Cambria" w:hAnsi="Cambria" w:cs="Times New Roman"/>
          <w:i/>
          <w:iCs/>
          <w:sz w:val="16"/>
          <w:szCs w:val="16"/>
          <w:lang w:val="de-DE"/>
        </w:rPr>
        <w:softHyphen/>
        <w:t>gemein</w:t>
      </w:r>
      <w:r w:rsidR="00FC5F2F" w:rsidRPr="00FC5F2F">
        <w:rPr>
          <w:rFonts w:ascii="Cambria" w:hAnsi="Cambria" w:cs="Times New Roman"/>
          <w:i/>
          <w:iCs/>
          <w:sz w:val="16"/>
          <w:szCs w:val="16"/>
          <w:lang w:val="de-DE"/>
        </w:rPr>
        <w:softHyphen/>
        <w:t>schaft</w:t>
      </w:r>
      <w:r w:rsidR="00FC5F2F" w:rsidRPr="00FC5F2F">
        <w:rPr>
          <w:rFonts w:ascii="Cambria" w:hAnsi="Cambria" w:cs="Times New Roman"/>
          <w:sz w:val="16"/>
          <w:szCs w:val="16"/>
          <w:lang w:val="de-DE"/>
        </w:rPr>
        <w:t xml:space="preserve">, Nomos, Baden-Baden 1980; A. MORAVCSIK, </w:t>
      </w:r>
      <w:r w:rsidR="00FC5F2F" w:rsidRPr="00FC5F2F">
        <w:rPr>
          <w:rFonts w:ascii="Cambria" w:hAnsi="Cambria" w:cs="Times New Roman"/>
          <w:i/>
          <w:iCs/>
          <w:sz w:val="16"/>
          <w:szCs w:val="16"/>
          <w:lang w:val="de-DE"/>
        </w:rPr>
        <w:t xml:space="preserve">The Choice for Europe. </w:t>
      </w:r>
      <w:r w:rsidRPr="00B34A94">
        <w:rPr>
          <w:rFonts w:ascii="Cambria" w:hAnsi="Cambria" w:cs="Times New Roman"/>
          <w:i/>
          <w:iCs/>
          <w:sz w:val="16"/>
          <w:szCs w:val="16"/>
        </w:rPr>
        <w:t>Social Purpose and State Power from</w:t>
      </w:r>
      <w:r w:rsidRPr="00B34A94">
        <w:rPr>
          <w:rFonts w:ascii="Cambria" w:hAnsi="Cambria" w:cs="Times New Roman"/>
          <w:sz w:val="16"/>
          <w:szCs w:val="16"/>
        </w:rPr>
        <w:t xml:space="preserve"> </w:t>
      </w:r>
      <w:r w:rsidRPr="00B34A94">
        <w:rPr>
          <w:rFonts w:ascii="Cambria" w:hAnsi="Cambria" w:cs="Times New Roman"/>
          <w:i/>
          <w:iCs/>
          <w:sz w:val="16"/>
          <w:szCs w:val="16"/>
        </w:rPr>
        <w:t>Mes</w:t>
      </w:r>
      <w:r w:rsidRPr="00B34A94">
        <w:rPr>
          <w:rFonts w:ascii="Cambria" w:hAnsi="Cambria" w:cs="Times New Roman"/>
          <w:i/>
          <w:iCs/>
          <w:sz w:val="16"/>
          <w:szCs w:val="16"/>
        </w:rPr>
        <w:softHyphen/>
        <w:t>sina to Maastricht,</w:t>
      </w:r>
      <w:r w:rsidRPr="00B34A94">
        <w:rPr>
          <w:rFonts w:ascii="Cambria" w:hAnsi="Cambria" w:cs="Times New Roman"/>
          <w:sz w:val="16"/>
          <w:szCs w:val="16"/>
        </w:rPr>
        <w:t xml:space="preserve"> Cornell University Press, Ithaca/New York 1998, pp. 108-150 and W. LOTH, ‘Der Post-Nizza-Prozess und die Römischen Verträge’ </w:t>
      </w:r>
      <w:r>
        <w:rPr>
          <w:rFonts w:ascii="Cambria" w:hAnsi="Cambria" w:cs="Times New Roman"/>
          <w:sz w:val="16"/>
          <w:szCs w:val="16"/>
        </w:rPr>
        <w:t xml:space="preserve">(2002) </w:t>
      </w:r>
      <w:r w:rsidRPr="00B34A94">
        <w:rPr>
          <w:rFonts w:ascii="Cambria" w:hAnsi="Cambria" w:cs="Times New Roman"/>
          <w:sz w:val="16"/>
          <w:szCs w:val="16"/>
        </w:rPr>
        <w:t xml:space="preserve">25:1 </w:t>
      </w:r>
      <w:r w:rsidRPr="00B34A94">
        <w:rPr>
          <w:rFonts w:ascii="Cambria" w:hAnsi="Cambria" w:cs="Times New Roman"/>
          <w:i/>
          <w:iCs/>
          <w:sz w:val="16"/>
          <w:szCs w:val="16"/>
        </w:rPr>
        <w:t>Integration</w:t>
      </w:r>
      <w:r w:rsidRPr="00B34A94">
        <w:rPr>
          <w:rFonts w:ascii="Cambria" w:hAnsi="Cambria" w:cs="Times New Roman"/>
          <w:sz w:val="16"/>
          <w:szCs w:val="16"/>
        </w:rPr>
        <w:t>, pp. 12–19.</w:t>
      </w:r>
    </w:p>
  </w:footnote>
  <w:footnote w:id="31">
    <w:p w:rsidR="00386DDC" w:rsidRPr="00B34A94" w:rsidRDefault="00386DDC">
      <w:pPr>
        <w:pStyle w:val="Voetnoottekst"/>
        <w:jc w:val="both"/>
        <w:rPr>
          <w:rFonts w:ascii="Cambria" w:hAnsi="Cambria"/>
          <w:sz w:val="16"/>
          <w:szCs w:val="16"/>
        </w:rPr>
      </w:pPr>
      <w:r w:rsidRPr="00B34A94">
        <w:rPr>
          <w:rStyle w:val="Voetnootmarkering"/>
          <w:rFonts w:ascii="Cambria" w:hAnsi="Cambria"/>
          <w:sz w:val="16"/>
          <w:szCs w:val="16"/>
        </w:rPr>
        <w:footnoteRef/>
      </w:r>
      <w:r w:rsidRPr="00B34A94">
        <w:rPr>
          <w:rFonts w:ascii="Cambria" w:hAnsi="Cambria"/>
          <w:sz w:val="16"/>
          <w:szCs w:val="16"/>
        </w:rPr>
        <w:t xml:space="preserve"> Art. 117 EEC</w:t>
      </w:r>
      <w:r>
        <w:rPr>
          <w:rFonts w:ascii="Cambria" w:hAnsi="Cambria"/>
          <w:sz w:val="16"/>
          <w:szCs w:val="16"/>
        </w:rPr>
        <w:t xml:space="preserve"> </w:t>
      </w:r>
      <w:r w:rsidRPr="00B34A94">
        <w:rPr>
          <w:rFonts w:ascii="Cambria" w:hAnsi="Cambria"/>
          <w:sz w:val="16"/>
          <w:szCs w:val="16"/>
        </w:rPr>
        <w:t>Treaty 1957.</w:t>
      </w:r>
    </w:p>
  </w:footnote>
  <w:footnote w:id="32">
    <w:p w:rsidR="00386DDC" w:rsidRPr="00B34A94" w:rsidRDefault="00386DDC">
      <w:pPr>
        <w:pStyle w:val="Voetnoottekst"/>
        <w:jc w:val="both"/>
        <w:rPr>
          <w:rFonts w:ascii="Cambria" w:hAnsi="Cambria"/>
          <w:sz w:val="16"/>
          <w:szCs w:val="16"/>
        </w:rPr>
      </w:pPr>
      <w:r w:rsidRPr="00B34A94">
        <w:rPr>
          <w:rStyle w:val="Voetnootmarkering"/>
          <w:rFonts w:ascii="Cambria" w:hAnsi="Cambria"/>
          <w:sz w:val="16"/>
          <w:szCs w:val="16"/>
        </w:rPr>
        <w:footnoteRef/>
      </w:r>
      <w:r w:rsidRPr="00B34A94">
        <w:rPr>
          <w:rFonts w:ascii="Cambria" w:hAnsi="Cambria"/>
          <w:sz w:val="16"/>
          <w:szCs w:val="16"/>
        </w:rPr>
        <w:t xml:space="preserve"> Art. 118 EEC</w:t>
      </w:r>
      <w:r>
        <w:rPr>
          <w:rFonts w:ascii="Cambria" w:hAnsi="Cambria"/>
          <w:sz w:val="16"/>
          <w:szCs w:val="16"/>
        </w:rPr>
        <w:t xml:space="preserve"> </w:t>
      </w:r>
      <w:r w:rsidRPr="00B34A94">
        <w:rPr>
          <w:rFonts w:ascii="Cambria" w:hAnsi="Cambria"/>
          <w:sz w:val="16"/>
          <w:szCs w:val="16"/>
        </w:rPr>
        <w:t>Treaty 1957.</w:t>
      </w:r>
    </w:p>
  </w:footnote>
  <w:footnote w:id="33">
    <w:p w:rsidR="00386DDC" w:rsidRPr="00B34A94" w:rsidRDefault="00386DDC">
      <w:pPr>
        <w:pStyle w:val="Voetnoottekst"/>
        <w:jc w:val="both"/>
        <w:rPr>
          <w:rFonts w:ascii="Cambria" w:hAnsi="Cambria"/>
          <w:sz w:val="16"/>
          <w:szCs w:val="16"/>
        </w:rPr>
      </w:pPr>
      <w:r w:rsidRPr="00B34A94">
        <w:rPr>
          <w:rStyle w:val="Voetnootmarkering"/>
          <w:rFonts w:ascii="Cambria" w:hAnsi="Cambria"/>
          <w:sz w:val="16"/>
          <w:szCs w:val="16"/>
        </w:rPr>
        <w:footnoteRef/>
      </w:r>
      <w:r w:rsidR="00FC5F2F" w:rsidRPr="00FC5F2F">
        <w:rPr>
          <w:rFonts w:ascii="Cambria" w:hAnsi="Cambria"/>
          <w:sz w:val="16"/>
          <w:szCs w:val="16"/>
          <w:lang w:val="en-US"/>
        </w:rPr>
        <w:t xml:space="preserve"> Case C-43/75, </w:t>
      </w:r>
      <w:r w:rsidR="00FC5F2F" w:rsidRPr="00FC5F2F">
        <w:rPr>
          <w:rFonts w:ascii="Cambria" w:hAnsi="Cambria"/>
          <w:i/>
          <w:sz w:val="16"/>
          <w:szCs w:val="16"/>
          <w:lang w:val="en-US"/>
        </w:rPr>
        <w:t>Defrenne</w:t>
      </w:r>
      <w:r w:rsidR="00FC5F2F" w:rsidRPr="00FC5F2F">
        <w:rPr>
          <w:rFonts w:ascii="Cambria" w:hAnsi="Cambria"/>
          <w:sz w:val="16"/>
          <w:szCs w:val="16"/>
          <w:lang w:val="en-US"/>
        </w:rPr>
        <w:t xml:space="preserve">, ECLI:EU:C:1976:56, para. 10. </w:t>
      </w:r>
      <w:r w:rsidRPr="00B34A94">
        <w:rPr>
          <w:rFonts w:ascii="Cambria" w:hAnsi="Cambria"/>
          <w:sz w:val="16"/>
          <w:szCs w:val="16"/>
        </w:rPr>
        <w:t xml:space="preserve">The phrase </w:t>
      </w:r>
      <w:r>
        <w:rPr>
          <w:rFonts w:ascii="Cambria" w:hAnsi="Cambria"/>
          <w:sz w:val="16"/>
          <w:szCs w:val="16"/>
        </w:rPr>
        <w:t>has been</w:t>
      </w:r>
      <w:r w:rsidRPr="00B34A94">
        <w:rPr>
          <w:rFonts w:ascii="Cambria" w:hAnsi="Cambria"/>
          <w:sz w:val="16"/>
          <w:szCs w:val="16"/>
        </w:rPr>
        <w:t xml:space="preserve"> reiterated in a long line of case law, more recently also in the Viking and Laval cases.</w:t>
      </w:r>
    </w:p>
  </w:footnote>
  <w:footnote w:id="34">
    <w:p w:rsidR="00386DDC" w:rsidRPr="00B34A94" w:rsidRDefault="00386DDC">
      <w:pPr>
        <w:pStyle w:val="Voetnoottekst"/>
        <w:jc w:val="both"/>
        <w:rPr>
          <w:rFonts w:ascii="Cambria" w:hAnsi="Cambria"/>
          <w:sz w:val="16"/>
          <w:szCs w:val="16"/>
        </w:rPr>
      </w:pPr>
      <w:r w:rsidRPr="00B34A94">
        <w:rPr>
          <w:rStyle w:val="Voetnootmarkering"/>
          <w:rFonts w:ascii="Cambria" w:hAnsi="Cambria"/>
          <w:sz w:val="16"/>
          <w:szCs w:val="16"/>
        </w:rPr>
        <w:footnoteRef/>
      </w:r>
      <w:r w:rsidRPr="00B34A94">
        <w:rPr>
          <w:rFonts w:ascii="Cambria" w:hAnsi="Cambria"/>
          <w:sz w:val="16"/>
          <w:szCs w:val="16"/>
        </w:rPr>
        <w:t xml:space="preserve"> See art. 6(3) TEU in respect of the rights of the European Convention on Human Rights.</w:t>
      </w:r>
    </w:p>
  </w:footnote>
  <w:footnote w:id="35">
    <w:p w:rsidR="00386DDC" w:rsidRPr="00B34A94" w:rsidRDefault="00386DDC">
      <w:pPr>
        <w:pStyle w:val="Voetnoottekst"/>
        <w:jc w:val="both"/>
        <w:rPr>
          <w:rFonts w:ascii="Cambria" w:hAnsi="Cambria"/>
          <w:sz w:val="16"/>
          <w:szCs w:val="16"/>
        </w:rPr>
      </w:pPr>
      <w:r w:rsidRPr="00B34A94">
        <w:rPr>
          <w:rStyle w:val="Voetnootmarkering"/>
          <w:rFonts w:ascii="Cambria" w:hAnsi="Cambria"/>
          <w:sz w:val="16"/>
          <w:szCs w:val="16"/>
        </w:rPr>
        <w:footnoteRef/>
      </w:r>
      <w:r w:rsidRPr="00B34A94">
        <w:rPr>
          <w:rFonts w:ascii="Cambria" w:hAnsi="Cambria"/>
          <w:sz w:val="16"/>
          <w:szCs w:val="16"/>
        </w:rPr>
        <w:t xml:space="preserve"> Case C-415/93, </w:t>
      </w:r>
      <w:r w:rsidRPr="00B34A94">
        <w:rPr>
          <w:rFonts w:ascii="Cambria" w:hAnsi="Cambria"/>
          <w:i/>
          <w:sz w:val="16"/>
          <w:szCs w:val="16"/>
        </w:rPr>
        <w:t>Bosman</w:t>
      </w:r>
      <w:r w:rsidRPr="00B34A94">
        <w:rPr>
          <w:rFonts w:ascii="Cambria" w:hAnsi="Cambria"/>
          <w:sz w:val="16"/>
          <w:szCs w:val="16"/>
        </w:rPr>
        <w:t>, ECLI:EU:C:1995:463; Viking</w:t>
      </w:r>
      <w:r w:rsidRPr="00B34A94">
        <w:rPr>
          <w:rFonts w:ascii="Cambria" w:hAnsi="Cambria"/>
          <w:i/>
          <w:sz w:val="16"/>
          <w:szCs w:val="16"/>
        </w:rPr>
        <w:t xml:space="preserve">,  supra at </w:t>
      </w:r>
      <w:fldSimple w:instr=" NOTEREF _Ref420507988 \h  \* MERGEFORMAT ">
        <w:r w:rsidRPr="00B34A94">
          <w:t>3</w:t>
        </w:r>
      </w:fldSimple>
      <w:r w:rsidRPr="00B34A94">
        <w:rPr>
          <w:rFonts w:ascii="Cambria" w:hAnsi="Cambria"/>
          <w:sz w:val="16"/>
          <w:szCs w:val="16"/>
        </w:rPr>
        <w:t xml:space="preserve">; </w:t>
      </w:r>
      <w:r w:rsidRPr="00B34A94">
        <w:rPr>
          <w:rFonts w:ascii="Cambria" w:hAnsi="Cambria"/>
          <w:iCs/>
          <w:sz w:val="16"/>
          <w:szCs w:val="16"/>
        </w:rPr>
        <w:t xml:space="preserve">Laval, </w:t>
      </w:r>
      <w:r w:rsidRPr="00B34A94">
        <w:rPr>
          <w:rFonts w:ascii="Cambria" w:hAnsi="Cambria"/>
          <w:i/>
          <w:iCs/>
          <w:sz w:val="16"/>
          <w:szCs w:val="16"/>
        </w:rPr>
        <w:t xml:space="preserve">supra at </w:t>
      </w:r>
      <w:fldSimple w:instr=" NOTEREF _Ref420507988 \h  \* MERGEFORMAT ">
        <w:r w:rsidRPr="00B34A94">
          <w:t>3</w:t>
        </w:r>
      </w:fldSimple>
      <w:r w:rsidRPr="00B34A94">
        <w:rPr>
          <w:rFonts w:ascii="Cambria" w:hAnsi="Cambria"/>
          <w:iCs/>
          <w:sz w:val="16"/>
          <w:szCs w:val="16"/>
        </w:rPr>
        <w:t>.</w:t>
      </w:r>
    </w:p>
  </w:footnote>
  <w:footnote w:id="36">
    <w:p w:rsidR="00386DDC" w:rsidRPr="00B34A94" w:rsidRDefault="00386DDC">
      <w:pPr>
        <w:pStyle w:val="Voetnoottekst"/>
        <w:jc w:val="both"/>
        <w:rPr>
          <w:rFonts w:ascii="Cambria" w:hAnsi="Cambria"/>
          <w:sz w:val="16"/>
          <w:szCs w:val="16"/>
          <w:lang w:val="en-US"/>
        </w:rPr>
      </w:pPr>
      <w:r w:rsidRPr="00B34A94">
        <w:rPr>
          <w:rStyle w:val="Voetnootmarkering"/>
          <w:rFonts w:ascii="Cambria" w:hAnsi="Cambria"/>
          <w:sz w:val="16"/>
          <w:szCs w:val="16"/>
        </w:rPr>
        <w:footnoteRef/>
      </w:r>
      <w:r w:rsidRPr="00B34A94">
        <w:rPr>
          <w:rFonts w:ascii="Cambria" w:hAnsi="Cambria"/>
          <w:sz w:val="16"/>
          <w:szCs w:val="16"/>
        </w:rPr>
        <w:t xml:space="preserve"> Resp. article</w:t>
      </w:r>
      <w:r>
        <w:rPr>
          <w:rFonts w:ascii="Cambria" w:hAnsi="Cambria"/>
          <w:sz w:val="16"/>
          <w:szCs w:val="16"/>
        </w:rPr>
        <w:t>s</w:t>
      </w:r>
      <w:r w:rsidRPr="00B34A94">
        <w:rPr>
          <w:rFonts w:ascii="Cambria" w:hAnsi="Cambria"/>
          <w:sz w:val="16"/>
          <w:szCs w:val="16"/>
        </w:rPr>
        <w:t xml:space="preserve"> 12 and 28.</w:t>
      </w:r>
    </w:p>
  </w:footnote>
  <w:footnote w:id="37">
    <w:p w:rsidR="00386DDC" w:rsidRPr="00B34A94" w:rsidRDefault="00386DDC" w:rsidP="006C41E0">
      <w:pPr>
        <w:pStyle w:val="Voetnoottekst"/>
        <w:jc w:val="both"/>
        <w:rPr>
          <w:rFonts w:ascii="Cambria" w:hAnsi="Cambria"/>
          <w:sz w:val="16"/>
          <w:szCs w:val="16"/>
        </w:rPr>
      </w:pPr>
      <w:r w:rsidRPr="00B34A94">
        <w:rPr>
          <w:rStyle w:val="Voetnootmarkering"/>
          <w:rFonts w:ascii="Cambria" w:hAnsi="Cambria"/>
          <w:sz w:val="16"/>
          <w:szCs w:val="16"/>
        </w:rPr>
        <w:footnoteRef/>
      </w:r>
      <w:r w:rsidRPr="00B34A94">
        <w:rPr>
          <w:rFonts w:ascii="Cambria" w:hAnsi="Cambria"/>
          <w:sz w:val="16"/>
          <w:szCs w:val="16"/>
        </w:rPr>
        <w:t xml:space="preserve"> Art. 117 of the EEC</w:t>
      </w:r>
      <w:r>
        <w:rPr>
          <w:rFonts w:ascii="Cambria" w:hAnsi="Cambria"/>
          <w:sz w:val="16"/>
          <w:szCs w:val="16"/>
        </w:rPr>
        <w:t xml:space="preserve"> T</w:t>
      </w:r>
      <w:r w:rsidRPr="00B34A94">
        <w:rPr>
          <w:rFonts w:ascii="Cambria" w:hAnsi="Cambria"/>
          <w:sz w:val="16"/>
          <w:szCs w:val="16"/>
        </w:rPr>
        <w:t xml:space="preserve">reaty (1957) and still to be found in  art. 151 TFEU. </w:t>
      </w:r>
    </w:p>
  </w:footnote>
  <w:footnote w:id="38">
    <w:p w:rsidR="00386DDC" w:rsidRPr="00B34A94" w:rsidRDefault="00386DDC" w:rsidP="006C41E0">
      <w:pPr>
        <w:pStyle w:val="Voetnoottekst"/>
        <w:jc w:val="both"/>
        <w:rPr>
          <w:rFonts w:ascii="Cambria" w:hAnsi="Cambria"/>
          <w:sz w:val="16"/>
          <w:szCs w:val="16"/>
        </w:rPr>
      </w:pPr>
      <w:r w:rsidRPr="00B34A94">
        <w:rPr>
          <w:rStyle w:val="Voetnootmarkering"/>
          <w:rFonts w:ascii="Cambria" w:hAnsi="Cambria"/>
          <w:sz w:val="16"/>
          <w:szCs w:val="16"/>
        </w:rPr>
        <w:footnoteRef/>
      </w:r>
      <w:r w:rsidRPr="00B34A94">
        <w:rPr>
          <w:rFonts w:ascii="Cambria" w:hAnsi="Cambria"/>
          <w:sz w:val="16"/>
          <w:szCs w:val="16"/>
        </w:rPr>
        <w:t xml:space="preserve"> JOERGES and R</w:t>
      </w:r>
      <w:r w:rsidRPr="00B34A94">
        <w:rPr>
          <w:rFonts w:ascii="Cambria" w:hAnsi="Cambria" w:cs="Times New Roman"/>
          <w:sz w:val="16"/>
          <w:szCs w:val="16"/>
        </w:rPr>
        <w:t>Ő</w:t>
      </w:r>
      <w:r w:rsidRPr="00B34A94">
        <w:rPr>
          <w:rFonts w:ascii="Cambria" w:hAnsi="Cambria"/>
          <w:sz w:val="16"/>
          <w:szCs w:val="16"/>
        </w:rPr>
        <w:t xml:space="preserve">DL,  </w:t>
      </w:r>
      <w:r w:rsidRPr="00B34A94">
        <w:rPr>
          <w:rFonts w:ascii="Cambria" w:hAnsi="Cambria"/>
          <w:i/>
          <w:sz w:val="16"/>
          <w:szCs w:val="16"/>
        </w:rPr>
        <w:t xml:space="preserve">supra </w:t>
      </w:r>
      <w:r w:rsidRPr="008F0CE7">
        <w:rPr>
          <w:rFonts w:ascii="Cambria" w:hAnsi="Cambria"/>
          <w:sz w:val="16"/>
          <w:szCs w:val="16"/>
        </w:rPr>
        <w:t>at</w:t>
      </w:r>
      <w:r w:rsidRPr="00B34A94">
        <w:rPr>
          <w:rFonts w:ascii="Cambria" w:hAnsi="Cambria"/>
          <w:i/>
          <w:sz w:val="16"/>
          <w:szCs w:val="16"/>
        </w:rPr>
        <w:t xml:space="preserve"> </w:t>
      </w:r>
      <w:fldSimple w:instr=" NOTEREF _Ref420507634 \h  \* MERGEFORMAT ">
        <w:r w:rsidRPr="00B34A94">
          <w:t>9</w:t>
        </w:r>
      </w:fldSimple>
      <w:r w:rsidRPr="00B34A94">
        <w:rPr>
          <w:rFonts w:ascii="Cambria" w:hAnsi="Cambria"/>
          <w:sz w:val="16"/>
          <w:szCs w:val="16"/>
        </w:rPr>
        <w:t>, p. 3.</w:t>
      </w:r>
    </w:p>
  </w:footnote>
  <w:footnote w:id="39">
    <w:p w:rsidR="00386DDC" w:rsidRPr="00B34A94" w:rsidRDefault="00386DDC">
      <w:pPr>
        <w:autoSpaceDE w:val="0"/>
        <w:autoSpaceDN w:val="0"/>
        <w:adjustRightInd w:val="0"/>
        <w:spacing w:after="0" w:line="240" w:lineRule="auto"/>
        <w:jc w:val="both"/>
        <w:rPr>
          <w:rFonts w:ascii="Cambria" w:hAnsi="Cambria" w:cs="Times New Roman"/>
          <w:sz w:val="16"/>
          <w:szCs w:val="16"/>
          <w:lang w:val="en-US"/>
        </w:rPr>
      </w:pPr>
      <w:r w:rsidRPr="00B34A94">
        <w:rPr>
          <w:rStyle w:val="Voetnootmarkering"/>
          <w:rFonts w:ascii="Cambria" w:hAnsi="Cambria"/>
          <w:sz w:val="16"/>
          <w:szCs w:val="16"/>
        </w:rPr>
        <w:footnoteRef/>
      </w:r>
      <w:r w:rsidRPr="00B34A94">
        <w:rPr>
          <w:rFonts w:ascii="Cambria" w:hAnsi="Cambria"/>
          <w:sz w:val="16"/>
          <w:szCs w:val="16"/>
        </w:rPr>
        <w:t xml:space="preserve"> F.W. </w:t>
      </w:r>
      <w:r w:rsidRPr="00B34A94">
        <w:rPr>
          <w:rFonts w:ascii="Cambria" w:hAnsi="Cambria" w:cs="Times New Roman"/>
          <w:sz w:val="16"/>
          <w:szCs w:val="16"/>
        </w:rPr>
        <w:t xml:space="preserve">SCHARPF, </w:t>
      </w:r>
      <w:r w:rsidRPr="00B34A94">
        <w:rPr>
          <w:rFonts w:ascii="Cambria" w:hAnsi="Cambria" w:cs="Times New Roman"/>
          <w:i/>
          <w:iCs/>
          <w:sz w:val="16"/>
          <w:szCs w:val="16"/>
        </w:rPr>
        <w:t>Governing in Europe. Effective and Democratic?</w:t>
      </w:r>
      <w:r w:rsidRPr="00B34A94">
        <w:rPr>
          <w:rFonts w:ascii="Cambria" w:hAnsi="Cambria" w:cs="Times New Roman"/>
          <w:iCs/>
          <w:sz w:val="16"/>
          <w:szCs w:val="16"/>
        </w:rPr>
        <w:t>,</w:t>
      </w:r>
      <w:r w:rsidRPr="00B34A94">
        <w:rPr>
          <w:rFonts w:ascii="Cambria" w:hAnsi="Cambria" w:cs="Times New Roman"/>
          <w:i/>
          <w:iCs/>
          <w:sz w:val="16"/>
          <w:szCs w:val="16"/>
        </w:rPr>
        <w:t xml:space="preserve"> </w:t>
      </w:r>
      <w:r w:rsidRPr="00B34A94">
        <w:rPr>
          <w:rFonts w:ascii="Cambria" w:hAnsi="Cambria" w:cs="Times New Roman"/>
          <w:sz w:val="16"/>
          <w:szCs w:val="16"/>
        </w:rPr>
        <w:t xml:space="preserve">Oxford University Press, Oxford 1999, chapter 2. An important, but rare, exception was the right to equal pay </w:t>
      </w:r>
      <w:r>
        <w:rPr>
          <w:rFonts w:ascii="Cambria" w:hAnsi="Cambria" w:cs="Times New Roman"/>
          <w:sz w:val="16"/>
          <w:szCs w:val="16"/>
        </w:rPr>
        <w:t>under</w:t>
      </w:r>
      <w:r w:rsidRPr="00B34A94">
        <w:rPr>
          <w:rFonts w:ascii="Cambria" w:hAnsi="Cambria" w:cs="Times New Roman"/>
          <w:sz w:val="16"/>
          <w:szCs w:val="16"/>
        </w:rPr>
        <w:t xml:space="preserve"> article 119 EEC (a French precondition </w:t>
      </w:r>
      <w:r>
        <w:rPr>
          <w:rFonts w:ascii="Cambria" w:hAnsi="Cambria" w:cs="Times New Roman"/>
          <w:sz w:val="16"/>
          <w:szCs w:val="16"/>
        </w:rPr>
        <w:t>for</w:t>
      </w:r>
      <w:r w:rsidRPr="00B34A94">
        <w:rPr>
          <w:rFonts w:ascii="Cambria" w:hAnsi="Cambria" w:cs="Times New Roman"/>
          <w:sz w:val="16"/>
          <w:szCs w:val="16"/>
        </w:rPr>
        <w:t xml:space="preserve"> economic integration in order to prevent other member states, not bound </w:t>
      </w:r>
      <w:r>
        <w:rPr>
          <w:rFonts w:ascii="Cambria" w:hAnsi="Cambria" w:cs="Times New Roman"/>
          <w:sz w:val="16"/>
          <w:szCs w:val="16"/>
        </w:rPr>
        <w:t>by</w:t>
      </w:r>
      <w:r w:rsidRPr="00B34A94">
        <w:rPr>
          <w:rFonts w:ascii="Cambria" w:hAnsi="Cambria" w:cs="Times New Roman"/>
          <w:sz w:val="16"/>
          <w:szCs w:val="16"/>
        </w:rPr>
        <w:t xml:space="preserve"> this social principle, </w:t>
      </w:r>
      <w:r>
        <w:rPr>
          <w:rFonts w:ascii="Cambria" w:hAnsi="Cambria" w:cs="Times New Roman"/>
          <w:sz w:val="16"/>
          <w:szCs w:val="16"/>
        </w:rPr>
        <w:t>from</w:t>
      </w:r>
      <w:r w:rsidRPr="00B34A94">
        <w:rPr>
          <w:rFonts w:ascii="Cambria" w:hAnsi="Cambria" w:cs="Times New Roman"/>
          <w:sz w:val="16"/>
          <w:szCs w:val="16"/>
        </w:rPr>
        <w:t xml:space="preserve"> hav</w:t>
      </w:r>
      <w:r>
        <w:rPr>
          <w:rFonts w:ascii="Cambria" w:hAnsi="Cambria" w:cs="Times New Roman"/>
          <w:sz w:val="16"/>
          <w:szCs w:val="16"/>
        </w:rPr>
        <w:t>ing</w:t>
      </w:r>
      <w:r w:rsidRPr="00B34A94">
        <w:rPr>
          <w:rFonts w:ascii="Cambria" w:hAnsi="Cambria" w:cs="Times New Roman"/>
          <w:sz w:val="16"/>
          <w:szCs w:val="16"/>
        </w:rPr>
        <w:t xml:space="preserve"> a competitive advantage), which, consequently,  led to a body of European legislation on gender</w:t>
      </w:r>
      <w:r>
        <w:rPr>
          <w:rFonts w:ascii="Cambria" w:hAnsi="Cambria" w:cs="Times New Roman"/>
          <w:sz w:val="16"/>
          <w:szCs w:val="16"/>
        </w:rPr>
        <w:t xml:space="preserve"> </w:t>
      </w:r>
      <w:r w:rsidRPr="00B34A94">
        <w:rPr>
          <w:rFonts w:ascii="Cambria" w:hAnsi="Cambria" w:cs="Times New Roman"/>
          <w:sz w:val="16"/>
          <w:szCs w:val="16"/>
        </w:rPr>
        <w:t>discrimination in the labour market.</w:t>
      </w:r>
    </w:p>
  </w:footnote>
  <w:footnote w:id="40">
    <w:p w:rsidR="00386DDC" w:rsidRPr="00B34A94" w:rsidRDefault="00386DDC">
      <w:pPr>
        <w:pStyle w:val="Voetnoottekst"/>
        <w:jc w:val="both"/>
        <w:rPr>
          <w:rFonts w:ascii="Cambria" w:hAnsi="Cambria"/>
          <w:sz w:val="16"/>
          <w:szCs w:val="16"/>
          <w:lang w:val="en-US"/>
        </w:rPr>
      </w:pPr>
      <w:r w:rsidRPr="00B34A94">
        <w:rPr>
          <w:rStyle w:val="Voetnootmarkering"/>
          <w:rFonts w:ascii="Cambria" w:hAnsi="Cambria"/>
          <w:sz w:val="16"/>
          <w:szCs w:val="16"/>
        </w:rPr>
        <w:footnoteRef/>
      </w:r>
      <w:r w:rsidRPr="00B34A94">
        <w:rPr>
          <w:rFonts w:ascii="Cambria" w:hAnsi="Cambria"/>
          <w:sz w:val="16"/>
          <w:szCs w:val="16"/>
        </w:rPr>
        <w:t xml:space="preserve"> </w:t>
      </w:r>
      <w:r w:rsidRPr="00B34A94">
        <w:rPr>
          <w:rFonts w:ascii="Cambria" w:hAnsi="Cambria"/>
          <w:sz w:val="16"/>
          <w:szCs w:val="16"/>
          <w:lang w:val="en-US"/>
        </w:rPr>
        <w:t xml:space="preserve">SCHARPF, </w:t>
      </w:r>
      <w:r w:rsidRPr="00B34A94">
        <w:rPr>
          <w:rFonts w:ascii="Cambria" w:hAnsi="Cambria"/>
          <w:i/>
          <w:sz w:val="16"/>
          <w:szCs w:val="16"/>
          <w:lang w:val="en-US"/>
        </w:rPr>
        <w:t>supra</w:t>
      </w:r>
      <w:r w:rsidRPr="00B34A94">
        <w:rPr>
          <w:rFonts w:ascii="Cambria" w:hAnsi="Cambria"/>
          <w:sz w:val="16"/>
          <w:szCs w:val="16"/>
          <w:lang w:val="en-US"/>
        </w:rPr>
        <w:t xml:space="preserve"> at </w:t>
      </w:r>
      <w:fldSimple w:instr=" NOTEREF _Ref420507761 \h  \* MERGEFORMAT ">
        <w:r w:rsidRPr="00B34A94">
          <w:rPr>
            <w:rFonts w:ascii="Cambria" w:hAnsi="Cambria"/>
            <w:sz w:val="16"/>
            <w:szCs w:val="16"/>
            <w:lang w:val="en-US"/>
          </w:rPr>
          <w:t>29</w:t>
        </w:r>
      </w:fldSimple>
      <w:r w:rsidRPr="00B34A94">
        <w:rPr>
          <w:rFonts w:ascii="Cambria" w:hAnsi="Cambria"/>
          <w:sz w:val="16"/>
          <w:szCs w:val="16"/>
          <w:lang w:val="en-US"/>
        </w:rPr>
        <w:t>, p. 647</w:t>
      </w:r>
      <w:r w:rsidRPr="00B34A94">
        <w:rPr>
          <w:rFonts w:ascii="Cambria" w:hAnsi="Cambria"/>
          <w:sz w:val="16"/>
          <w:szCs w:val="16"/>
        </w:rPr>
        <w:t xml:space="preserve">; A. SANGIOVANNI, ‘Solidarity in the European Union’ (2013) 33:2 </w:t>
      </w:r>
      <w:r w:rsidRPr="00B34A94">
        <w:rPr>
          <w:rFonts w:ascii="Cambria" w:hAnsi="Cambria"/>
          <w:i/>
          <w:sz w:val="16"/>
          <w:szCs w:val="16"/>
        </w:rPr>
        <w:t>Oxford Journal of Legal Studies</w:t>
      </w:r>
      <w:r w:rsidRPr="00B34A94">
        <w:rPr>
          <w:rFonts w:ascii="Cambria" w:hAnsi="Cambria"/>
          <w:sz w:val="16"/>
          <w:szCs w:val="16"/>
        </w:rPr>
        <w:t>, p. 224.</w:t>
      </w:r>
    </w:p>
  </w:footnote>
  <w:footnote w:id="41">
    <w:p w:rsidR="00386DDC" w:rsidRPr="00B34A94" w:rsidRDefault="00386DDC">
      <w:pPr>
        <w:pStyle w:val="Voetnoottekst"/>
        <w:jc w:val="both"/>
        <w:rPr>
          <w:rFonts w:ascii="Cambria" w:hAnsi="Cambria"/>
          <w:sz w:val="16"/>
          <w:szCs w:val="16"/>
          <w:lang w:val="en-US"/>
        </w:rPr>
      </w:pPr>
      <w:r w:rsidRPr="00B34A94">
        <w:rPr>
          <w:rStyle w:val="Voetnootmarkering"/>
          <w:rFonts w:ascii="Cambria" w:hAnsi="Cambria"/>
          <w:sz w:val="16"/>
          <w:szCs w:val="16"/>
        </w:rPr>
        <w:footnoteRef/>
      </w:r>
      <w:r w:rsidRPr="00B34A94">
        <w:rPr>
          <w:rFonts w:ascii="Cambria" w:hAnsi="Cambria"/>
          <w:sz w:val="16"/>
          <w:szCs w:val="16"/>
        </w:rPr>
        <w:t xml:space="preserve"> Council Directive 75/129/EEC of 17 February 1975 on the approximation of the laws of the Member States relating to collective redundancies, OJ L 225, 12.08.1998; Council Directive 77/187/EEC of 14 February 1977 on the approximation of the laws of the Member States relating to the safeguarding of employees' rights in the event of transfers of undertakings, OJ L 061, 05.03.1977 and Council Directive 80/987/EEC of 20 October 1980 on the protection of employees in the event of the insolvency of their employer, OJ L 283, 28.10.1980.</w:t>
      </w:r>
    </w:p>
  </w:footnote>
  <w:footnote w:id="42">
    <w:p w:rsidR="00386DDC" w:rsidRPr="00B34A94" w:rsidRDefault="00386DDC">
      <w:pPr>
        <w:autoSpaceDE w:val="0"/>
        <w:autoSpaceDN w:val="0"/>
        <w:adjustRightInd w:val="0"/>
        <w:spacing w:after="0" w:line="240" w:lineRule="auto"/>
        <w:jc w:val="both"/>
        <w:rPr>
          <w:rFonts w:ascii="Cambria" w:hAnsi="Cambria" w:cs="Times New Roman"/>
          <w:sz w:val="16"/>
          <w:szCs w:val="16"/>
        </w:rPr>
      </w:pPr>
      <w:r w:rsidRPr="00B34A94">
        <w:rPr>
          <w:rStyle w:val="Voetnootmarkering"/>
          <w:rFonts w:ascii="Cambria" w:hAnsi="Cambria" w:cs="Times New Roman"/>
          <w:sz w:val="16"/>
          <w:szCs w:val="16"/>
        </w:rPr>
        <w:footnoteRef/>
      </w:r>
      <w:r w:rsidRPr="00B34A94">
        <w:rPr>
          <w:rFonts w:ascii="Cambria" w:hAnsi="Cambria" w:cs="Times New Roman"/>
          <w:sz w:val="16"/>
          <w:szCs w:val="16"/>
        </w:rPr>
        <w:t xml:space="preserve"> </w:t>
      </w:r>
      <w:r w:rsidRPr="00B34A94">
        <w:rPr>
          <w:rFonts w:ascii="Cambria" w:hAnsi="Cambria" w:cs="Times New Roman"/>
          <w:i/>
          <w:sz w:val="16"/>
          <w:szCs w:val="16"/>
        </w:rPr>
        <w:t>Cf</w:t>
      </w:r>
      <w:r w:rsidRPr="00B34A94">
        <w:rPr>
          <w:rFonts w:ascii="Cambria" w:hAnsi="Cambria" w:cs="Times New Roman"/>
          <w:sz w:val="16"/>
          <w:szCs w:val="16"/>
        </w:rPr>
        <w:t xml:space="preserve">. for differences G. ESPING-ANDERSEN, </w:t>
      </w:r>
      <w:r w:rsidRPr="00B34A94">
        <w:rPr>
          <w:rFonts w:ascii="Cambria" w:hAnsi="Cambria" w:cs="Times New Roman"/>
          <w:i/>
          <w:iCs/>
          <w:sz w:val="16"/>
          <w:szCs w:val="16"/>
        </w:rPr>
        <w:t>The Three Worlds of Welfare Capitalism</w:t>
      </w:r>
      <w:r w:rsidRPr="00B34A94">
        <w:rPr>
          <w:rFonts w:ascii="Cambria" w:hAnsi="Cambria" w:cs="Times New Roman"/>
          <w:sz w:val="16"/>
          <w:szCs w:val="16"/>
        </w:rPr>
        <w:t>, Princeton University Press, Princeton, 1990.</w:t>
      </w:r>
    </w:p>
  </w:footnote>
  <w:footnote w:id="43">
    <w:p w:rsidR="00386DDC" w:rsidRPr="00B34A94" w:rsidRDefault="00386DDC" w:rsidP="006C41E0">
      <w:pPr>
        <w:pStyle w:val="Voetnoottekst"/>
        <w:jc w:val="both"/>
        <w:rPr>
          <w:rFonts w:ascii="Cambria" w:hAnsi="Cambria"/>
          <w:sz w:val="16"/>
          <w:szCs w:val="16"/>
        </w:rPr>
      </w:pPr>
      <w:r w:rsidRPr="00B34A94">
        <w:rPr>
          <w:rStyle w:val="Voetnootmarkering"/>
          <w:rFonts w:ascii="Cambria" w:hAnsi="Cambria" w:cs="Times New Roman"/>
          <w:sz w:val="16"/>
          <w:szCs w:val="16"/>
        </w:rPr>
        <w:footnoteRef/>
      </w:r>
      <w:r w:rsidRPr="00B34A94">
        <w:rPr>
          <w:rFonts w:ascii="Cambria" w:hAnsi="Cambria" w:cs="Times New Roman"/>
          <w:sz w:val="16"/>
          <w:szCs w:val="16"/>
        </w:rPr>
        <w:t xml:space="preserve"> </w:t>
      </w:r>
      <w:r w:rsidRPr="00B34A94">
        <w:rPr>
          <w:rFonts w:ascii="Cambria" w:hAnsi="Cambria" w:cs="Times New Roman"/>
          <w:sz w:val="16"/>
          <w:szCs w:val="16"/>
          <w:lang w:val="en-US"/>
        </w:rPr>
        <w:t xml:space="preserve">SCHARPF, </w:t>
      </w:r>
      <w:r w:rsidRPr="00B34A94">
        <w:rPr>
          <w:rFonts w:ascii="Cambria" w:hAnsi="Cambria" w:cs="Times New Roman"/>
          <w:i/>
          <w:sz w:val="16"/>
          <w:szCs w:val="16"/>
          <w:lang w:val="en-US"/>
        </w:rPr>
        <w:t>supra</w:t>
      </w:r>
      <w:r w:rsidRPr="00B34A94">
        <w:rPr>
          <w:rFonts w:ascii="Cambria" w:hAnsi="Cambria" w:cs="Times New Roman"/>
          <w:sz w:val="16"/>
          <w:szCs w:val="16"/>
          <w:lang w:val="en-US"/>
        </w:rPr>
        <w:t xml:space="preserve"> at </w:t>
      </w:r>
      <w:fldSimple w:instr=" NOTEREF _Ref420507761 \h  \* MERGEFORMAT ">
        <w:r w:rsidRPr="00B34A94">
          <w:rPr>
            <w:rFonts w:ascii="Cambria" w:hAnsi="Cambria" w:cs="Times New Roman"/>
            <w:sz w:val="16"/>
            <w:szCs w:val="16"/>
            <w:lang w:val="en-US"/>
          </w:rPr>
          <w:t>29</w:t>
        </w:r>
      </w:fldSimple>
      <w:r w:rsidRPr="00B34A94">
        <w:rPr>
          <w:rFonts w:ascii="Cambria" w:hAnsi="Cambria" w:cs="Times New Roman"/>
          <w:sz w:val="16"/>
          <w:szCs w:val="16"/>
          <w:lang w:val="en-US"/>
        </w:rPr>
        <w:t xml:space="preserve">, pp. 648-649; </w:t>
      </w:r>
      <w:r w:rsidRPr="00B34A94">
        <w:rPr>
          <w:rFonts w:ascii="Cambria" w:hAnsi="Cambria" w:cs="Times New Roman"/>
          <w:sz w:val="16"/>
          <w:szCs w:val="16"/>
        </w:rPr>
        <w:t xml:space="preserve">JOERGES and RŐDL, </w:t>
      </w:r>
      <w:r w:rsidRPr="00B34A94">
        <w:rPr>
          <w:rFonts w:ascii="Cambria" w:hAnsi="Cambria" w:cs="Times New Roman"/>
          <w:i/>
          <w:sz w:val="16"/>
          <w:szCs w:val="16"/>
        </w:rPr>
        <w:t xml:space="preserve">supra </w:t>
      </w:r>
      <w:r w:rsidRPr="00B34A94">
        <w:rPr>
          <w:rFonts w:ascii="Cambria" w:hAnsi="Cambria" w:cs="Times New Roman"/>
          <w:sz w:val="16"/>
          <w:szCs w:val="16"/>
        </w:rPr>
        <w:t>at</w:t>
      </w:r>
      <w:r w:rsidRPr="00B34A94">
        <w:rPr>
          <w:rFonts w:ascii="Cambria" w:hAnsi="Cambria" w:cs="Times New Roman"/>
          <w:i/>
          <w:sz w:val="16"/>
          <w:szCs w:val="16"/>
        </w:rPr>
        <w:t xml:space="preserve"> </w:t>
      </w:r>
      <w:fldSimple w:instr=" NOTEREF _Ref420507634 \h  \* MERGEFORMAT ">
        <w:r w:rsidRPr="00B34A94">
          <w:t>9</w:t>
        </w:r>
      </w:fldSimple>
      <w:r w:rsidRPr="00B34A94">
        <w:rPr>
          <w:rFonts w:ascii="Cambria" w:hAnsi="Cambria" w:cs="Times New Roman"/>
          <w:sz w:val="16"/>
          <w:szCs w:val="16"/>
        </w:rPr>
        <w:t>, p. 4; S. LEIBFRIED and P. PIERSON, ‘Social Policy. Left to Courts and Markets</w:t>
      </w:r>
      <w:r w:rsidRPr="00B34A94">
        <w:rPr>
          <w:rFonts w:ascii="Cambria" w:hAnsi="Cambria"/>
          <w:sz w:val="16"/>
          <w:szCs w:val="16"/>
        </w:rPr>
        <w:t>?’</w:t>
      </w:r>
      <w:r>
        <w:rPr>
          <w:rFonts w:ascii="Cambria" w:hAnsi="Cambria"/>
          <w:sz w:val="16"/>
          <w:szCs w:val="16"/>
        </w:rPr>
        <w:t xml:space="preserve"> i</w:t>
      </w:r>
      <w:r w:rsidRPr="00B34A94">
        <w:rPr>
          <w:rFonts w:ascii="Cambria" w:hAnsi="Cambria"/>
          <w:sz w:val="16"/>
          <w:szCs w:val="16"/>
        </w:rPr>
        <w:t>n H. WALLACE and W. WALLACE (</w:t>
      </w:r>
      <w:r>
        <w:rPr>
          <w:rFonts w:ascii="Cambria" w:hAnsi="Cambria"/>
          <w:sz w:val="16"/>
          <w:szCs w:val="16"/>
        </w:rPr>
        <w:t>e</w:t>
      </w:r>
      <w:r w:rsidRPr="00B34A94">
        <w:rPr>
          <w:rFonts w:ascii="Cambria" w:hAnsi="Cambria"/>
          <w:sz w:val="16"/>
          <w:szCs w:val="16"/>
        </w:rPr>
        <w:t xml:space="preserve">ds.) </w:t>
      </w:r>
      <w:r w:rsidRPr="00B34A94">
        <w:rPr>
          <w:rFonts w:ascii="Cambria" w:hAnsi="Cambria"/>
          <w:i/>
          <w:sz w:val="16"/>
          <w:szCs w:val="16"/>
        </w:rPr>
        <w:t>Policy-Making in the European Union</w:t>
      </w:r>
      <w:r w:rsidRPr="00B34A94">
        <w:rPr>
          <w:rFonts w:ascii="Cambria" w:hAnsi="Cambria"/>
          <w:sz w:val="16"/>
          <w:szCs w:val="16"/>
        </w:rPr>
        <w:t>, 4th ed., Oxford University Press, Oxford 2002,  pp. 92 – 267.</w:t>
      </w:r>
    </w:p>
  </w:footnote>
  <w:footnote w:id="44">
    <w:p w:rsidR="00386DDC" w:rsidRPr="00B34A94" w:rsidRDefault="00386DDC">
      <w:pPr>
        <w:pStyle w:val="Voetnoottekst"/>
        <w:jc w:val="both"/>
        <w:rPr>
          <w:rFonts w:ascii="Cambria" w:hAnsi="Cambria"/>
          <w:sz w:val="16"/>
          <w:szCs w:val="16"/>
        </w:rPr>
      </w:pPr>
      <w:r w:rsidRPr="00B34A94">
        <w:rPr>
          <w:rStyle w:val="Voetnootmarkering"/>
          <w:rFonts w:ascii="Cambria" w:hAnsi="Cambria"/>
          <w:sz w:val="16"/>
          <w:szCs w:val="16"/>
        </w:rPr>
        <w:footnoteRef/>
      </w:r>
      <w:r w:rsidRPr="00B34A94">
        <w:rPr>
          <w:rFonts w:ascii="Cambria" w:hAnsi="Cambria"/>
          <w:sz w:val="16"/>
          <w:szCs w:val="16"/>
        </w:rPr>
        <w:t xml:space="preserve"> S. WEATHERILL, ‘From Economic Rights to Fundamental Rights’, </w:t>
      </w:r>
      <w:r w:rsidRPr="00B34A94">
        <w:rPr>
          <w:rFonts w:ascii="Cambria" w:hAnsi="Cambria"/>
          <w:i/>
          <w:sz w:val="16"/>
          <w:szCs w:val="16"/>
        </w:rPr>
        <w:t xml:space="preserve">supra </w:t>
      </w:r>
      <w:r w:rsidRPr="00B34A94">
        <w:rPr>
          <w:rFonts w:ascii="Cambria" w:hAnsi="Cambria"/>
          <w:sz w:val="16"/>
          <w:szCs w:val="16"/>
        </w:rPr>
        <w:t xml:space="preserve">at </w:t>
      </w:r>
      <w:fldSimple w:instr=" NOTEREF _Ref420512738 \h  \* MERGEFORMAT ">
        <w:r w:rsidRPr="00B34A94">
          <w:t>2</w:t>
        </w:r>
      </w:fldSimple>
      <w:r w:rsidRPr="00B34A94">
        <w:rPr>
          <w:rFonts w:ascii="Cambria" w:hAnsi="Cambria"/>
          <w:sz w:val="16"/>
          <w:szCs w:val="16"/>
        </w:rPr>
        <w:t>, pp. 16-17.</w:t>
      </w:r>
    </w:p>
  </w:footnote>
  <w:footnote w:id="45">
    <w:p w:rsidR="00386DDC" w:rsidRPr="00B34A94" w:rsidRDefault="00386DDC" w:rsidP="00DC4275">
      <w:pPr>
        <w:pStyle w:val="Voetnoottekst"/>
        <w:jc w:val="both"/>
        <w:rPr>
          <w:rFonts w:ascii="Cambria" w:hAnsi="Cambria"/>
          <w:sz w:val="16"/>
          <w:szCs w:val="16"/>
          <w:lang w:val="en-US"/>
        </w:rPr>
      </w:pPr>
      <w:r w:rsidRPr="00B34A94">
        <w:rPr>
          <w:rStyle w:val="Voetnootmarkering"/>
          <w:rFonts w:ascii="Cambria" w:hAnsi="Cambria"/>
          <w:sz w:val="16"/>
          <w:szCs w:val="16"/>
        </w:rPr>
        <w:footnoteRef/>
      </w:r>
      <w:r w:rsidRPr="00B34A94">
        <w:rPr>
          <w:rFonts w:ascii="Cambria" w:hAnsi="Cambria"/>
          <w:sz w:val="16"/>
          <w:szCs w:val="16"/>
        </w:rPr>
        <w:t xml:space="preserve"> European Commission</w:t>
      </w:r>
      <w:r w:rsidRPr="00B34A94">
        <w:rPr>
          <w:rFonts w:ascii="Cambria" w:hAnsi="Cambria"/>
          <w:i/>
          <w:sz w:val="16"/>
          <w:szCs w:val="16"/>
        </w:rPr>
        <w:t xml:space="preserve">, White </w:t>
      </w:r>
      <w:r>
        <w:rPr>
          <w:rFonts w:ascii="Cambria" w:hAnsi="Cambria"/>
          <w:i/>
          <w:sz w:val="16"/>
          <w:szCs w:val="16"/>
        </w:rPr>
        <w:t>P</w:t>
      </w:r>
      <w:r w:rsidRPr="00B34A94">
        <w:rPr>
          <w:rFonts w:ascii="Cambria" w:hAnsi="Cambria"/>
          <w:i/>
          <w:sz w:val="16"/>
          <w:szCs w:val="16"/>
        </w:rPr>
        <w:t>aper on European social policy</w:t>
      </w:r>
      <w:r w:rsidRPr="00B34A94">
        <w:rPr>
          <w:rFonts w:ascii="Cambria" w:hAnsi="Cambria"/>
          <w:sz w:val="16"/>
          <w:szCs w:val="16"/>
        </w:rPr>
        <w:t>. A way forward for the Union, COM (1994) 333: Jacques Delors coined the term ‘European Social Model’ to designate an alternative to American (liberal) market capitalism.</w:t>
      </w:r>
    </w:p>
  </w:footnote>
  <w:footnote w:id="46">
    <w:p w:rsidR="00386DDC" w:rsidRPr="00B34A94" w:rsidRDefault="00386DDC" w:rsidP="006C41E0">
      <w:pPr>
        <w:autoSpaceDE w:val="0"/>
        <w:autoSpaceDN w:val="0"/>
        <w:adjustRightInd w:val="0"/>
        <w:spacing w:after="0" w:line="240" w:lineRule="auto"/>
        <w:jc w:val="both"/>
        <w:rPr>
          <w:rFonts w:ascii="Cambria" w:hAnsi="Cambria" w:cs="Times New Roman"/>
          <w:i/>
          <w:iCs/>
          <w:sz w:val="16"/>
          <w:szCs w:val="16"/>
        </w:rPr>
      </w:pPr>
      <w:r w:rsidRPr="00B34A94">
        <w:rPr>
          <w:rStyle w:val="Voetnootmarkering"/>
          <w:rFonts w:ascii="Cambria" w:hAnsi="Cambria" w:cs="Times New Roman"/>
          <w:sz w:val="16"/>
          <w:szCs w:val="16"/>
        </w:rPr>
        <w:footnoteRef/>
      </w:r>
      <w:r w:rsidRPr="00B34A94">
        <w:rPr>
          <w:rFonts w:ascii="Cambria" w:hAnsi="Cambria" w:cs="Times New Roman"/>
          <w:sz w:val="16"/>
          <w:szCs w:val="16"/>
        </w:rPr>
        <w:t xml:space="preserve"> </w:t>
      </w:r>
      <w:r w:rsidRPr="00B34A94">
        <w:rPr>
          <w:rFonts w:ascii="Cambria" w:hAnsi="Cambria" w:cs="Times New Roman"/>
          <w:i/>
          <w:sz w:val="16"/>
          <w:szCs w:val="16"/>
        </w:rPr>
        <w:t xml:space="preserve">I.a. </w:t>
      </w:r>
      <w:r w:rsidRPr="00B34A94">
        <w:rPr>
          <w:rFonts w:ascii="Cambria" w:hAnsi="Cambria" w:cs="Times New Roman"/>
          <w:sz w:val="16"/>
          <w:szCs w:val="16"/>
        </w:rPr>
        <w:t xml:space="preserve">M. FERRERA, A. HEMERIJCK and M. RHODES, </w:t>
      </w:r>
      <w:r w:rsidRPr="00B34A94">
        <w:rPr>
          <w:rFonts w:ascii="Cambria" w:hAnsi="Cambria" w:cs="Times New Roman"/>
          <w:i/>
          <w:iCs/>
          <w:sz w:val="16"/>
          <w:szCs w:val="16"/>
        </w:rPr>
        <w:t>The Future of Social Europe. Recasting Work and Welfare in the New Economy,</w:t>
      </w:r>
      <w:r w:rsidRPr="00B34A94">
        <w:rPr>
          <w:rFonts w:ascii="Cambria" w:hAnsi="Cambria" w:cs="Times New Roman"/>
          <w:sz w:val="16"/>
          <w:szCs w:val="16"/>
        </w:rPr>
        <w:t xml:space="preserve"> Celta Editora,</w:t>
      </w:r>
      <w:r w:rsidRPr="00B34A94">
        <w:rPr>
          <w:rFonts w:ascii="Cambria" w:hAnsi="Cambria" w:cs="Times New Roman"/>
          <w:i/>
          <w:iCs/>
          <w:sz w:val="16"/>
          <w:szCs w:val="16"/>
        </w:rPr>
        <w:t xml:space="preserve"> </w:t>
      </w:r>
      <w:r w:rsidRPr="00B34A94">
        <w:rPr>
          <w:rFonts w:ascii="Cambria" w:hAnsi="Cambria" w:cs="Times New Roman"/>
          <w:sz w:val="16"/>
          <w:szCs w:val="16"/>
        </w:rPr>
        <w:t xml:space="preserve">Oeiras 2001; P. </w:t>
      </w:r>
      <w:r w:rsidRPr="00B34A94">
        <w:rPr>
          <w:rFonts w:ascii="Cambria" w:hAnsi="Cambria" w:cs="Times New Roman"/>
          <w:color w:val="231F20"/>
          <w:sz w:val="16"/>
          <w:szCs w:val="16"/>
        </w:rPr>
        <w:t xml:space="preserve">KURZER, </w:t>
      </w:r>
      <w:r w:rsidRPr="00B34A94">
        <w:rPr>
          <w:rFonts w:ascii="Cambria" w:hAnsi="Cambria" w:cs="Times New Roman"/>
          <w:i/>
          <w:color w:val="231F20"/>
          <w:sz w:val="16"/>
          <w:szCs w:val="16"/>
        </w:rPr>
        <w:t>Markets and Moral Regulation: Cultural Changes in the European Union</w:t>
      </w:r>
      <w:r w:rsidRPr="00B34A94">
        <w:rPr>
          <w:rFonts w:ascii="Cambria" w:hAnsi="Cambria" w:cs="Times New Roman"/>
          <w:color w:val="231F20"/>
          <w:sz w:val="16"/>
          <w:szCs w:val="16"/>
        </w:rPr>
        <w:t>, Cambridge University Press, Cambridge 2001;</w:t>
      </w:r>
      <w:r w:rsidRPr="00B34A94">
        <w:rPr>
          <w:rFonts w:ascii="Cambria" w:hAnsi="Cambria" w:cs="Times New Roman"/>
          <w:sz w:val="16"/>
          <w:szCs w:val="16"/>
        </w:rPr>
        <w:t xml:space="preserve"> </w:t>
      </w:r>
      <w:r w:rsidRPr="00B34A94">
        <w:rPr>
          <w:rFonts w:ascii="Cambria" w:hAnsi="Cambria" w:cs="Times New Roman"/>
          <w:color w:val="231F20"/>
          <w:sz w:val="16"/>
          <w:szCs w:val="16"/>
        </w:rPr>
        <w:t xml:space="preserve">G. ESPING-ANDERSEN, </w:t>
      </w:r>
      <w:r w:rsidRPr="00B34A94">
        <w:rPr>
          <w:rFonts w:ascii="Cambria" w:hAnsi="Cambria" w:cs="Times New Roman"/>
          <w:i/>
          <w:iCs/>
          <w:color w:val="231F20"/>
          <w:sz w:val="16"/>
          <w:szCs w:val="16"/>
        </w:rPr>
        <w:t>Social Foun</w:t>
      </w:r>
      <w:r w:rsidRPr="00B34A94">
        <w:rPr>
          <w:rFonts w:ascii="Cambria" w:hAnsi="Cambria" w:cs="Times New Roman"/>
          <w:i/>
          <w:iCs/>
          <w:color w:val="231F20"/>
          <w:sz w:val="16"/>
          <w:szCs w:val="16"/>
        </w:rPr>
        <w:softHyphen/>
        <w:t xml:space="preserve">dations of Post-industrial Economies, </w:t>
      </w:r>
      <w:r w:rsidRPr="00B34A94">
        <w:rPr>
          <w:rFonts w:ascii="Cambria" w:hAnsi="Cambria" w:cs="Times New Roman"/>
          <w:color w:val="231F20"/>
          <w:sz w:val="16"/>
          <w:szCs w:val="16"/>
        </w:rPr>
        <w:t>Oxford University Press, Oxford 1999.</w:t>
      </w:r>
    </w:p>
  </w:footnote>
  <w:footnote w:id="47">
    <w:p w:rsidR="00386DDC" w:rsidRPr="00B34A94" w:rsidRDefault="00386DDC">
      <w:pPr>
        <w:pStyle w:val="Voetnoottekst"/>
        <w:rPr>
          <w:rFonts w:ascii="Cambria" w:hAnsi="Cambria"/>
          <w:sz w:val="16"/>
          <w:szCs w:val="16"/>
          <w:lang w:val="en-US"/>
        </w:rPr>
      </w:pPr>
      <w:r w:rsidRPr="00B34A94">
        <w:rPr>
          <w:rStyle w:val="Voetnootmarkering"/>
          <w:rFonts w:ascii="Cambria" w:hAnsi="Cambria"/>
          <w:sz w:val="16"/>
          <w:szCs w:val="16"/>
        </w:rPr>
        <w:footnoteRef/>
      </w:r>
      <w:r w:rsidRPr="00B34A94">
        <w:rPr>
          <w:rFonts w:ascii="Cambria" w:hAnsi="Cambria"/>
          <w:sz w:val="16"/>
          <w:szCs w:val="16"/>
        </w:rPr>
        <w:t xml:space="preserve"> SCHARPF, </w:t>
      </w:r>
      <w:r w:rsidRPr="00B34A94">
        <w:rPr>
          <w:rFonts w:ascii="Cambria" w:hAnsi="Cambria"/>
          <w:i/>
          <w:sz w:val="16"/>
          <w:szCs w:val="16"/>
        </w:rPr>
        <w:t>supra</w:t>
      </w:r>
      <w:r w:rsidRPr="00B34A94">
        <w:rPr>
          <w:rFonts w:ascii="Cambria" w:hAnsi="Cambria"/>
          <w:sz w:val="16"/>
          <w:szCs w:val="16"/>
        </w:rPr>
        <w:t xml:space="preserve"> </w:t>
      </w:r>
      <w:fldSimple w:instr=" NOTEREF _Ref420507761 \h  \* MERGEFORMAT ">
        <w:r w:rsidRPr="00B34A94">
          <w:rPr>
            <w:rFonts w:ascii="Cambria" w:hAnsi="Cambria"/>
            <w:sz w:val="16"/>
            <w:szCs w:val="16"/>
          </w:rPr>
          <w:t>29</w:t>
        </w:r>
      </w:fldSimple>
      <w:r w:rsidRPr="00B34A94">
        <w:rPr>
          <w:rFonts w:ascii="Cambria" w:hAnsi="Cambria"/>
          <w:sz w:val="16"/>
          <w:szCs w:val="16"/>
        </w:rPr>
        <w:t>.</w:t>
      </w:r>
    </w:p>
  </w:footnote>
  <w:footnote w:id="48">
    <w:p w:rsidR="00386DDC" w:rsidRPr="00B34A94" w:rsidRDefault="00386DDC">
      <w:pPr>
        <w:pStyle w:val="Voetnoottekst"/>
        <w:jc w:val="both"/>
        <w:rPr>
          <w:rFonts w:ascii="Cambria" w:hAnsi="Cambria"/>
          <w:sz w:val="16"/>
          <w:szCs w:val="16"/>
        </w:rPr>
      </w:pPr>
      <w:r w:rsidRPr="00B34A94">
        <w:rPr>
          <w:rStyle w:val="Voetnootmarkering"/>
          <w:rFonts w:ascii="Cambria" w:hAnsi="Cambria"/>
          <w:sz w:val="16"/>
          <w:szCs w:val="16"/>
        </w:rPr>
        <w:footnoteRef/>
      </w:r>
      <w:r w:rsidRPr="00B34A94">
        <w:rPr>
          <w:rFonts w:ascii="Cambria" w:hAnsi="Cambria"/>
          <w:sz w:val="16"/>
          <w:szCs w:val="16"/>
        </w:rPr>
        <w:t xml:space="preserve"> Article 153 (5).</w:t>
      </w:r>
    </w:p>
  </w:footnote>
  <w:footnote w:id="49">
    <w:p w:rsidR="00386DDC" w:rsidRPr="00B34A94" w:rsidRDefault="00386DDC" w:rsidP="008D0CAC">
      <w:pPr>
        <w:pStyle w:val="Voetnoottekst"/>
        <w:jc w:val="both"/>
        <w:rPr>
          <w:rFonts w:ascii="Cambria" w:hAnsi="Cambria"/>
          <w:sz w:val="16"/>
          <w:szCs w:val="16"/>
        </w:rPr>
      </w:pPr>
      <w:r w:rsidRPr="00B34A94">
        <w:rPr>
          <w:rStyle w:val="Voetnootmarkering"/>
          <w:rFonts w:ascii="Cambria" w:hAnsi="Cambria"/>
          <w:sz w:val="16"/>
          <w:szCs w:val="16"/>
        </w:rPr>
        <w:footnoteRef/>
      </w:r>
      <w:r w:rsidRPr="00B34A94">
        <w:rPr>
          <w:rFonts w:ascii="Cambria" w:hAnsi="Cambria"/>
          <w:sz w:val="16"/>
          <w:szCs w:val="16"/>
        </w:rPr>
        <w:t xml:space="preserve"> F. DORSSEMONT, ‘Some Reflections on the Origin, Problems and Perspectives of the Social Dialogue’ in M. DE VOS (ed.), </w:t>
      </w:r>
      <w:r w:rsidRPr="00B34A94">
        <w:rPr>
          <w:rFonts w:ascii="Cambria" w:hAnsi="Cambria"/>
          <w:i/>
          <w:sz w:val="16"/>
          <w:szCs w:val="16"/>
        </w:rPr>
        <w:t>A</w:t>
      </w:r>
      <w:r w:rsidRPr="00B34A94">
        <w:rPr>
          <w:rFonts w:ascii="Cambria" w:hAnsi="Cambria"/>
          <w:sz w:val="16"/>
          <w:szCs w:val="16"/>
        </w:rPr>
        <w:t xml:space="preserve"> </w:t>
      </w:r>
      <w:r w:rsidRPr="00B34A94">
        <w:rPr>
          <w:rFonts w:ascii="Cambria" w:hAnsi="Cambria"/>
          <w:i/>
          <w:sz w:val="16"/>
          <w:szCs w:val="16"/>
        </w:rPr>
        <w:t>Decade Beyond Maastricht: The European Social Dialogue revisited</w:t>
      </w:r>
      <w:r w:rsidRPr="00B34A94">
        <w:rPr>
          <w:rFonts w:ascii="Cambria" w:hAnsi="Cambria"/>
          <w:sz w:val="16"/>
          <w:szCs w:val="16"/>
        </w:rPr>
        <w:t xml:space="preserve">, Kluwer Law International, The Hague 2003, pp. 3–32; A.G. VELDMAN, ‘The Quasi-legislative Powers of the European Social Dialogue’ in L. BESSELINK e.a. (eds.), </w:t>
      </w:r>
      <w:r w:rsidRPr="00B34A94">
        <w:rPr>
          <w:rFonts w:ascii="Cambria" w:hAnsi="Cambria"/>
          <w:i/>
          <w:sz w:val="16"/>
          <w:szCs w:val="16"/>
        </w:rPr>
        <w:t>The Eclipse of the Legality Principle in the European Union</w:t>
      </w:r>
      <w:r w:rsidRPr="00B34A94">
        <w:rPr>
          <w:rFonts w:ascii="Cambria" w:hAnsi="Cambria"/>
          <w:sz w:val="16"/>
          <w:szCs w:val="16"/>
        </w:rPr>
        <w:t xml:space="preserve">, Kluwer Law International, The Hague 2011, pp. 187-209 at 201-202. The sectoral social dialogue was comparably more successful, dealing mainly with the employment conditions of workers in cross-border sectors (air and </w:t>
      </w:r>
      <w:r>
        <w:rPr>
          <w:rFonts w:ascii="Cambria" w:hAnsi="Cambria"/>
          <w:sz w:val="16"/>
          <w:szCs w:val="16"/>
        </w:rPr>
        <w:t>rail</w:t>
      </w:r>
      <w:r w:rsidRPr="00B34A94">
        <w:rPr>
          <w:rFonts w:ascii="Cambria" w:hAnsi="Cambria"/>
          <w:sz w:val="16"/>
          <w:szCs w:val="16"/>
        </w:rPr>
        <w:t xml:space="preserve"> transport; seafarers, etc.).</w:t>
      </w:r>
    </w:p>
  </w:footnote>
  <w:footnote w:id="50">
    <w:p w:rsidR="00386DDC" w:rsidRPr="003E7B62" w:rsidRDefault="00386DDC" w:rsidP="006C41E0">
      <w:pPr>
        <w:autoSpaceDE w:val="0"/>
        <w:autoSpaceDN w:val="0"/>
        <w:adjustRightInd w:val="0"/>
        <w:spacing w:after="0" w:line="240" w:lineRule="auto"/>
        <w:jc w:val="both"/>
        <w:rPr>
          <w:rFonts w:ascii="Cambria" w:hAnsi="Cambria" w:cs="Times New Roman"/>
          <w:sz w:val="16"/>
          <w:szCs w:val="16"/>
          <w:lang w:val="en-US"/>
        </w:rPr>
      </w:pPr>
      <w:r w:rsidRPr="00B00925">
        <w:rPr>
          <w:rStyle w:val="Voetnootmarkering"/>
          <w:rFonts w:ascii="Cambria" w:hAnsi="Cambria"/>
          <w:sz w:val="16"/>
          <w:szCs w:val="16"/>
        </w:rPr>
        <w:footnoteRef/>
      </w:r>
      <w:r w:rsidRPr="00B00925">
        <w:rPr>
          <w:rFonts w:ascii="Cambria" w:hAnsi="Cambria"/>
          <w:sz w:val="16"/>
          <w:szCs w:val="16"/>
        </w:rPr>
        <w:t xml:space="preserve"> </w:t>
      </w:r>
      <w:r w:rsidRPr="003E7B62">
        <w:rPr>
          <w:rFonts w:ascii="Cambria" w:hAnsi="Cambria"/>
          <w:sz w:val="16"/>
          <w:szCs w:val="16"/>
        </w:rPr>
        <w:t>Not surprisingly, the guidelines for employment policies are since 2005 associated with the guidelines for econo</w:t>
      </w:r>
      <w:r w:rsidRPr="003E7B62">
        <w:rPr>
          <w:rFonts w:ascii="Cambria" w:hAnsi="Cambria"/>
          <w:sz w:val="16"/>
          <w:szCs w:val="16"/>
        </w:rPr>
        <w:softHyphen/>
        <w:t xml:space="preserve">mic policies, </w:t>
      </w:r>
      <w:r w:rsidRPr="003E7B62">
        <w:rPr>
          <w:rFonts w:ascii="Cambria" w:hAnsi="Cambria" w:cs="Times New Roman"/>
          <w:i/>
          <w:sz w:val="16"/>
          <w:szCs w:val="16"/>
          <w:lang w:val="en-US"/>
        </w:rPr>
        <w:t>Cf.</w:t>
      </w:r>
      <w:r w:rsidRPr="003E7B62">
        <w:rPr>
          <w:rFonts w:ascii="Cambria" w:hAnsi="Cambria" w:cs="Times New Roman"/>
          <w:sz w:val="16"/>
          <w:szCs w:val="16"/>
          <w:lang w:val="en-US"/>
        </w:rPr>
        <w:t xml:space="preserve"> J. BARBIER and F. COLOMB, ‘The Janus faces of European policy’ (2014)</w:t>
      </w:r>
      <w:r>
        <w:rPr>
          <w:rFonts w:ascii="Cambria" w:hAnsi="Cambria" w:cs="Times New Roman"/>
          <w:sz w:val="16"/>
          <w:szCs w:val="16"/>
          <w:lang w:val="en-US"/>
        </w:rPr>
        <w:t xml:space="preserve"> </w:t>
      </w:r>
      <w:r w:rsidRPr="003E7B62">
        <w:rPr>
          <w:rFonts w:ascii="Cambria" w:hAnsi="Cambria" w:cs="Times New Roman"/>
          <w:sz w:val="16"/>
          <w:szCs w:val="16"/>
          <w:lang w:val="en-US"/>
        </w:rPr>
        <w:t xml:space="preserve">20(1) </w:t>
      </w:r>
      <w:r w:rsidRPr="003E7B62">
        <w:rPr>
          <w:rFonts w:ascii="Cambria" w:hAnsi="Cambria" w:cs="Times New Roman"/>
          <w:i/>
          <w:sz w:val="16"/>
          <w:szCs w:val="16"/>
          <w:lang w:val="en-US"/>
        </w:rPr>
        <w:t>Transfer</w:t>
      </w:r>
      <w:r w:rsidRPr="003E7B62">
        <w:rPr>
          <w:rFonts w:ascii="Cambria" w:hAnsi="Cambria" w:cs="Times New Roman"/>
          <w:sz w:val="16"/>
          <w:szCs w:val="16"/>
          <w:lang w:val="en-US"/>
        </w:rPr>
        <w:t>, pp. 23–36, at p. 27.</w:t>
      </w:r>
    </w:p>
  </w:footnote>
  <w:footnote w:id="51">
    <w:p w:rsidR="00386DDC" w:rsidRPr="003E7B62" w:rsidRDefault="00386DDC" w:rsidP="00A63775">
      <w:pPr>
        <w:pStyle w:val="Voetnoottekst"/>
        <w:jc w:val="both"/>
        <w:rPr>
          <w:rFonts w:ascii="Cambria" w:hAnsi="Cambria"/>
          <w:sz w:val="16"/>
          <w:szCs w:val="16"/>
          <w:lang w:val="en-US"/>
        </w:rPr>
      </w:pPr>
      <w:r w:rsidRPr="003E7B62">
        <w:rPr>
          <w:rStyle w:val="Voetnootmarkering"/>
          <w:rFonts w:ascii="Cambria" w:hAnsi="Cambria"/>
          <w:sz w:val="16"/>
          <w:szCs w:val="16"/>
        </w:rPr>
        <w:footnoteRef/>
      </w:r>
      <w:r w:rsidRPr="003E7B62">
        <w:rPr>
          <w:rFonts w:ascii="Cambria" w:hAnsi="Cambria"/>
          <w:sz w:val="16"/>
          <w:szCs w:val="16"/>
        </w:rPr>
        <w:t xml:space="preserve"> </w:t>
      </w:r>
      <w:r w:rsidRPr="003E7B62">
        <w:rPr>
          <w:rFonts w:ascii="Cambria" w:hAnsi="Cambria"/>
          <w:sz w:val="16"/>
          <w:szCs w:val="16"/>
          <w:lang w:val="en-US"/>
        </w:rPr>
        <w:t xml:space="preserve">SCHARPF, </w:t>
      </w:r>
      <w:r w:rsidRPr="003E7B62">
        <w:rPr>
          <w:rFonts w:ascii="Cambria" w:hAnsi="Cambria"/>
          <w:i/>
          <w:sz w:val="16"/>
          <w:szCs w:val="16"/>
          <w:lang w:val="en-US"/>
        </w:rPr>
        <w:t xml:space="preserve">supra </w:t>
      </w:r>
      <w:r w:rsidRPr="003E7B62">
        <w:rPr>
          <w:rFonts w:ascii="Cambria" w:hAnsi="Cambria"/>
          <w:sz w:val="16"/>
          <w:szCs w:val="16"/>
          <w:lang w:val="en-US"/>
        </w:rPr>
        <w:t xml:space="preserve">at </w:t>
      </w:r>
      <w:fldSimple w:instr=" NOTEREF _Ref420507761 \h  \* MERGEFORMAT ">
        <w:r w:rsidRPr="003E7B62">
          <w:rPr>
            <w:rFonts w:ascii="Cambria" w:hAnsi="Cambria"/>
            <w:sz w:val="16"/>
            <w:szCs w:val="16"/>
            <w:lang w:val="en-US"/>
          </w:rPr>
          <w:t>29</w:t>
        </w:r>
      </w:fldSimple>
      <w:r w:rsidRPr="003E7B62">
        <w:rPr>
          <w:rFonts w:ascii="Cambria" w:hAnsi="Cambria"/>
          <w:sz w:val="16"/>
          <w:szCs w:val="16"/>
          <w:lang w:val="en-US"/>
        </w:rPr>
        <w:t>.</w:t>
      </w:r>
    </w:p>
  </w:footnote>
  <w:footnote w:id="52">
    <w:p w:rsidR="00386DDC" w:rsidRPr="003E7B62" w:rsidRDefault="00386DDC" w:rsidP="006C41E0">
      <w:pPr>
        <w:pStyle w:val="Voetnoottekst"/>
        <w:jc w:val="both"/>
        <w:rPr>
          <w:rFonts w:ascii="Cambria" w:hAnsi="Cambria"/>
          <w:sz w:val="16"/>
          <w:szCs w:val="16"/>
        </w:rPr>
      </w:pPr>
      <w:r w:rsidRPr="003E7B62">
        <w:rPr>
          <w:rStyle w:val="Voetnootmarkering"/>
          <w:rFonts w:ascii="Cambria" w:hAnsi="Cambria"/>
          <w:sz w:val="16"/>
          <w:szCs w:val="16"/>
        </w:rPr>
        <w:footnoteRef/>
      </w:r>
      <w:r w:rsidRPr="003E7B62">
        <w:rPr>
          <w:rFonts w:ascii="Cambria" w:hAnsi="Cambria"/>
          <w:sz w:val="16"/>
          <w:szCs w:val="16"/>
        </w:rPr>
        <w:t xml:space="preserve"> This developed over time, see: P. CRAIG, ‘The Evolution of the Single Market’ in C. BARNARD and J. SCOTT (</w:t>
      </w:r>
      <w:r>
        <w:rPr>
          <w:rFonts w:ascii="Cambria" w:hAnsi="Cambria"/>
          <w:sz w:val="16"/>
          <w:szCs w:val="16"/>
        </w:rPr>
        <w:t>eds.</w:t>
      </w:r>
      <w:r w:rsidRPr="003E7B62">
        <w:rPr>
          <w:rFonts w:ascii="Cambria" w:hAnsi="Cambria"/>
          <w:sz w:val="16"/>
          <w:szCs w:val="16"/>
        </w:rPr>
        <w:t xml:space="preserve">), </w:t>
      </w:r>
      <w:r w:rsidRPr="003E7B62">
        <w:rPr>
          <w:rFonts w:ascii="Cambria" w:hAnsi="Cambria"/>
          <w:i/>
          <w:sz w:val="16"/>
          <w:szCs w:val="16"/>
        </w:rPr>
        <w:t>The</w:t>
      </w:r>
      <w:r w:rsidRPr="003E7B62">
        <w:rPr>
          <w:rFonts w:ascii="Cambria" w:hAnsi="Cambria"/>
          <w:sz w:val="16"/>
          <w:szCs w:val="16"/>
        </w:rPr>
        <w:t xml:space="preserve"> </w:t>
      </w:r>
      <w:r w:rsidRPr="003E7B62">
        <w:rPr>
          <w:rFonts w:ascii="Cambria" w:hAnsi="Cambria"/>
          <w:i/>
          <w:sz w:val="16"/>
          <w:szCs w:val="16"/>
        </w:rPr>
        <w:t>Law of the Single European Market – Unpacking the Premises</w:t>
      </w:r>
      <w:r w:rsidRPr="003E7B62">
        <w:rPr>
          <w:rFonts w:ascii="Cambria" w:hAnsi="Cambria"/>
          <w:sz w:val="16"/>
          <w:szCs w:val="16"/>
        </w:rPr>
        <w:t>, Hart Publishing, Oxford 2002, p. 32.</w:t>
      </w:r>
    </w:p>
  </w:footnote>
  <w:footnote w:id="53">
    <w:p w:rsidR="00386DDC" w:rsidRPr="003E7B62" w:rsidRDefault="00386DDC">
      <w:pPr>
        <w:pStyle w:val="Voetnoottekst"/>
        <w:jc w:val="both"/>
        <w:rPr>
          <w:rFonts w:ascii="Cambria" w:hAnsi="Cambria"/>
          <w:sz w:val="16"/>
          <w:szCs w:val="16"/>
        </w:rPr>
      </w:pPr>
      <w:r w:rsidRPr="003E7B62">
        <w:rPr>
          <w:rStyle w:val="Voetnootmarkering"/>
          <w:rFonts w:ascii="Cambria" w:hAnsi="Cambria"/>
          <w:sz w:val="16"/>
          <w:szCs w:val="16"/>
        </w:rPr>
        <w:footnoteRef/>
      </w:r>
      <w:r w:rsidRPr="003E7B62">
        <w:rPr>
          <w:rFonts w:ascii="Cambria" w:hAnsi="Cambria"/>
          <w:sz w:val="16"/>
          <w:szCs w:val="16"/>
        </w:rPr>
        <w:t xml:space="preserve"> </w:t>
      </w:r>
      <w:r w:rsidRPr="003E7B62">
        <w:rPr>
          <w:rFonts w:ascii="Cambria" w:hAnsi="Cambria" w:cs="Times New Roman"/>
          <w:sz w:val="16"/>
          <w:szCs w:val="16"/>
        </w:rPr>
        <w:t xml:space="preserve">WEATHERILL, </w:t>
      </w:r>
      <w:r w:rsidRPr="003E7B62">
        <w:rPr>
          <w:rFonts w:ascii="Cambria" w:hAnsi="Cambria" w:cs="Times New Roman"/>
          <w:i/>
          <w:sz w:val="16"/>
          <w:szCs w:val="16"/>
        </w:rPr>
        <w:t>supra</w:t>
      </w:r>
      <w:r w:rsidRPr="003E7B62">
        <w:rPr>
          <w:rFonts w:ascii="Cambria" w:hAnsi="Cambria" w:cs="Times New Roman"/>
          <w:sz w:val="16"/>
          <w:szCs w:val="16"/>
        </w:rPr>
        <w:t xml:space="preserve"> at </w:t>
      </w:r>
      <w:fldSimple w:instr=" NOTEREF _Ref420512854 \h  \* MERGEFORMAT ">
        <w:r w:rsidRPr="003E7B62">
          <w:rPr>
            <w:rFonts w:ascii="Cambria" w:hAnsi="Cambria" w:cs="Times New Roman"/>
            <w:sz w:val="16"/>
            <w:szCs w:val="16"/>
          </w:rPr>
          <w:t>44</w:t>
        </w:r>
      </w:fldSimple>
      <w:r w:rsidRPr="003E7B62">
        <w:rPr>
          <w:rFonts w:ascii="Cambria" w:hAnsi="Cambria" w:cs="Times New Roman"/>
          <w:sz w:val="16"/>
          <w:szCs w:val="16"/>
        </w:rPr>
        <w:t>, pp. 12, 16-17;</w:t>
      </w:r>
      <w:r w:rsidRPr="003E7B62">
        <w:rPr>
          <w:rFonts w:ascii="Cambria" w:hAnsi="Cambria"/>
          <w:sz w:val="16"/>
          <w:szCs w:val="16"/>
        </w:rPr>
        <w:t xml:space="preserve"> S.A. DE VRIES, </w:t>
      </w:r>
      <w:r w:rsidRPr="003E7B62">
        <w:rPr>
          <w:rFonts w:ascii="Cambria" w:hAnsi="Cambria"/>
          <w:i/>
          <w:sz w:val="16"/>
          <w:szCs w:val="16"/>
        </w:rPr>
        <w:t>Tensions within the Internal Market – The Functio</w:t>
      </w:r>
      <w:r w:rsidRPr="003E7B62">
        <w:rPr>
          <w:rFonts w:ascii="Cambria" w:hAnsi="Cambria"/>
          <w:i/>
          <w:sz w:val="16"/>
          <w:szCs w:val="16"/>
        </w:rPr>
        <w:softHyphen/>
        <w:t>ning of the Internal Market and the Development of Horizontal and Flanking Policies</w:t>
      </w:r>
      <w:r w:rsidRPr="003E7B62">
        <w:rPr>
          <w:rFonts w:ascii="Cambria" w:hAnsi="Cambria"/>
          <w:sz w:val="16"/>
          <w:szCs w:val="16"/>
        </w:rPr>
        <w:t>, Europa Law Publishing, Groningen 2006.</w:t>
      </w:r>
    </w:p>
  </w:footnote>
  <w:footnote w:id="54">
    <w:p w:rsidR="00386DDC" w:rsidRPr="00110B03" w:rsidRDefault="00386DDC">
      <w:pPr>
        <w:pStyle w:val="Voetnoottekst"/>
        <w:jc w:val="both"/>
        <w:rPr>
          <w:rFonts w:ascii="Cambria" w:hAnsi="Cambria"/>
          <w:sz w:val="16"/>
          <w:szCs w:val="16"/>
          <w:lang w:val="nl-NL"/>
        </w:rPr>
      </w:pPr>
      <w:r w:rsidRPr="003E7B62">
        <w:rPr>
          <w:rStyle w:val="Voetnootmarkering"/>
          <w:rFonts w:ascii="Cambria" w:hAnsi="Cambria"/>
          <w:sz w:val="16"/>
          <w:szCs w:val="16"/>
        </w:rPr>
        <w:footnoteRef/>
      </w:r>
      <w:r w:rsidR="00FC5F2F" w:rsidRPr="00FC5F2F">
        <w:rPr>
          <w:rFonts w:ascii="Cambria" w:hAnsi="Cambria"/>
          <w:sz w:val="16"/>
          <w:szCs w:val="16"/>
          <w:lang w:val="nl-NL"/>
        </w:rPr>
        <w:t xml:space="preserve"> Case C-137/09, </w:t>
      </w:r>
      <w:r w:rsidR="00FC5F2F" w:rsidRPr="00FC5F2F">
        <w:rPr>
          <w:rFonts w:ascii="Cambria" w:hAnsi="Cambria"/>
          <w:i/>
          <w:sz w:val="16"/>
          <w:szCs w:val="16"/>
          <w:lang w:val="nl-NL"/>
        </w:rPr>
        <w:t>Marc Michel Josemans v Burgemeester van Maastricht</w:t>
      </w:r>
      <w:r w:rsidR="00FC5F2F" w:rsidRPr="00FC5F2F">
        <w:rPr>
          <w:rFonts w:ascii="Cambria" w:hAnsi="Cambria"/>
          <w:sz w:val="16"/>
          <w:szCs w:val="16"/>
          <w:lang w:val="nl-NL"/>
        </w:rPr>
        <w:t xml:space="preserve">, ECLI:EU:C:2010:774. </w:t>
      </w:r>
    </w:p>
  </w:footnote>
  <w:footnote w:id="55">
    <w:p w:rsidR="00386DDC" w:rsidRPr="00110B03" w:rsidRDefault="00386DDC" w:rsidP="006C41E0">
      <w:pPr>
        <w:pStyle w:val="Voetnoottekst"/>
        <w:jc w:val="both"/>
        <w:rPr>
          <w:rFonts w:ascii="Cambria" w:hAnsi="Cambria"/>
          <w:sz w:val="16"/>
          <w:szCs w:val="16"/>
          <w:lang w:val="nl-NL"/>
        </w:rPr>
      </w:pPr>
      <w:r w:rsidRPr="003E7B62">
        <w:rPr>
          <w:rStyle w:val="Voetnootmarkering"/>
          <w:rFonts w:ascii="Cambria" w:hAnsi="Cambria"/>
          <w:sz w:val="16"/>
          <w:szCs w:val="16"/>
        </w:rPr>
        <w:footnoteRef/>
      </w:r>
      <w:r w:rsidR="00FC5F2F" w:rsidRPr="00FC5F2F">
        <w:rPr>
          <w:rFonts w:ascii="Cambria" w:hAnsi="Cambria"/>
          <w:sz w:val="16"/>
          <w:szCs w:val="16"/>
          <w:lang w:val="nl-NL"/>
        </w:rPr>
        <w:t xml:space="preserve"> Case 8/74, </w:t>
      </w:r>
      <w:r w:rsidR="00FC5F2F" w:rsidRPr="00FC5F2F">
        <w:rPr>
          <w:rFonts w:ascii="Cambria" w:hAnsi="Cambria" w:cs="Arial"/>
          <w:i/>
          <w:sz w:val="16"/>
          <w:szCs w:val="16"/>
          <w:lang w:val="nl-NL"/>
        </w:rPr>
        <w:t xml:space="preserve">Procureur du Roi v Benoît and Gustave </w:t>
      </w:r>
      <w:r w:rsidR="00FC5F2F" w:rsidRPr="00FC5F2F">
        <w:rPr>
          <w:rFonts w:ascii="Cambria" w:hAnsi="Cambria" w:cs="Arial"/>
          <w:bCs/>
          <w:i/>
          <w:sz w:val="16"/>
          <w:szCs w:val="16"/>
          <w:lang w:val="nl-NL"/>
        </w:rPr>
        <w:t>Dassonville</w:t>
      </w:r>
      <w:r w:rsidR="00FC5F2F" w:rsidRPr="00FC5F2F">
        <w:rPr>
          <w:rFonts w:ascii="Cambria" w:hAnsi="Cambria"/>
          <w:i/>
          <w:sz w:val="16"/>
          <w:szCs w:val="16"/>
          <w:lang w:val="nl-NL"/>
        </w:rPr>
        <w:t xml:space="preserve"> </w:t>
      </w:r>
      <w:r w:rsidR="00FC5F2F" w:rsidRPr="00FC5F2F">
        <w:rPr>
          <w:rFonts w:ascii="Cambria" w:hAnsi="Cambria"/>
          <w:sz w:val="16"/>
          <w:szCs w:val="16"/>
          <w:lang w:val="nl-NL"/>
        </w:rPr>
        <w:t xml:space="preserve">(Dassonville), </w:t>
      </w:r>
      <w:r w:rsidR="00FC5F2F" w:rsidRPr="00FC5F2F">
        <w:rPr>
          <w:rFonts w:ascii="Cambria" w:hAnsi="Cambria"/>
          <w:i/>
          <w:sz w:val="16"/>
          <w:szCs w:val="16"/>
          <w:lang w:val="nl-NL"/>
        </w:rPr>
        <w:t xml:space="preserve"> </w:t>
      </w:r>
      <w:r w:rsidR="00FC5F2F" w:rsidRPr="00FC5F2F">
        <w:rPr>
          <w:rFonts w:ascii="Cambria" w:hAnsi="Cambria"/>
          <w:sz w:val="16"/>
          <w:szCs w:val="16"/>
          <w:lang w:val="nl-NL"/>
        </w:rPr>
        <w:t xml:space="preserve">ECLI:EU:C:1974:82; Case 120/78,  </w:t>
      </w:r>
      <w:r w:rsidR="00FC5F2F" w:rsidRPr="00FC5F2F">
        <w:rPr>
          <w:rFonts w:ascii="Cambria" w:hAnsi="Cambria" w:cs="Tahoma"/>
          <w:bCs/>
          <w:i/>
          <w:sz w:val="16"/>
          <w:szCs w:val="16"/>
          <w:lang w:val="nl-NL"/>
        </w:rPr>
        <w:t>Rewe-Zentral AG v Bundesmonopolverwaltung für Branntwein</w:t>
      </w:r>
      <w:r w:rsidR="00FC5F2F" w:rsidRPr="00FC5F2F">
        <w:rPr>
          <w:rFonts w:ascii="Cambria" w:hAnsi="Cambria"/>
          <w:sz w:val="16"/>
          <w:szCs w:val="16"/>
          <w:lang w:val="nl-NL"/>
        </w:rPr>
        <w:t xml:space="preserve"> (Cassis de Dijon),</w:t>
      </w:r>
      <w:r w:rsidR="00FC5F2F" w:rsidRPr="00FC5F2F">
        <w:rPr>
          <w:sz w:val="16"/>
          <w:szCs w:val="16"/>
          <w:lang w:val="nl-NL"/>
        </w:rPr>
        <w:t xml:space="preserve"> </w:t>
      </w:r>
      <w:r w:rsidR="00FC5F2F" w:rsidRPr="00FC5F2F">
        <w:rPr>
          <w:rFonts w:ascii="Cambria" w:hAnsi="Cambria"/>
          <w:sz w:val="16"/>
          <w:szCs w:val="16"/>
          <w:lang w:val="nl-NL"/>
        </w:rPr>
        <w:t>ECLI:EU:C:1979:42.</w:t>
      </w:r>
    </w:p>
  </w:footnote>
  <w:footnote w:id="56">
    <w:p w:rsidR="00386DDC" w:rsidRPr="003E7B62" w:rsidRDefault="00386DDC">
      <w:pPr>
        <w:pStyle w:val="Voetnoottekst"/>
        <w:jc w:val="both"/>
        <w:rPr>
          <w:rFonts w:ascii="Cambria" w:hAnsi="Cambria"/>
          <w:sz w:val="16"/>
          <w:szCs w:val="16"/>
        </w:rPr>
      </w:pPr>
      <w:r w:rsidRPr="003E7B62">
        <w:rPr>
          <w:rStyle w:val="Voetnootmarkering"/>
          <w:rFonts w:ascii="Cambria" w:hAnsi="Cambria"/>
          <w:sz w:val="16"/>
          <w:szCs w:val="16"/>
        </w:rPr>
        <w:footnoteRef/>
      </w:r>
      <w:r w:rsidRPr="003E7B62">
        <w:rPr>
          <w:rFonts w:ascii="Cambria" w:hAnsi="Cambria"/>
          <w:sz w:val="16"/>
          <w:szCs w:val="16"/>
        </w:rPr>
        <w:t xml:space="preserve"> P. OLIVER and W-H. ROTH, ‘The Internal Market and the Four Freedoms’ (2004) </w:t>
      </w:r>
      <w:r w:rsidRPr="003E7B62">
        <w:rPr>
          <w:rFonts w:ascii="Cambria" w:hAnsi="Cambria"/>
          <w:i/>
          <w:sz w:val="16"/>
          <w:szCs w:val="16"/>
        </w:rPr>
        <w:t>CML</w:t>
      </w:r>
      <w:r w:rsidRPr="003E7B62">
        <w:rPr>
          <w:rFonts w:ascii="Cambria" w:hAnsi="Cambria"/>
          <w:sz w:val="16"/>
          <w:szCs w:val="16"/>
        </w:rPr>
        <w:t xml:space="preserve"> Rev, p. 410.</w:t>
      </w:r>
    </w:p>
  </w:footnote>
  <w:footnote w:id="57">
    <w:p w:rsidR="00386DDC" w:rsidRPr="003E7B62" w:rsidRDefault="00386DDC">
      <w:pPr>
        <w:pStyle w:val="Voetnoottekst"/>
        <w:jc w:val="both"/>
        <w:rPr>
          <w:rFonts w:ascii="Cambria" w:hAnsi="Cambria"/>
          <w:sz w:val="16"/>
          <w:szCs w:val="16"/>
          <w:lang w:val="en-US"/>
        </w:rPr>
      </w:pPr>
      <w:r w:rsidRPr="003E7B62">
        <w:rPr>
          <w:rStyle w:val="Voetnootmarkering"/>
          <w:rFonts w:ascii="Cambria" w:hAnsi="Cambria"/>
          <w:sz w:val="16"/>
          <w:szCs w:val="16"/>
        </w:rPr>
        <w:footnoteRef/>
      </w:r>
      <w:r w:rsidRPr="003E7B62">
        <w:rPr>
          <w:rFonts w:ascii="Cambria" w:hAnsi="Cambria"/>
          <w:sz w:val="16"/>
          <w:szCs w:val="16"/>
        </w:rPr>
        <w:t xml:space="preserve"> </w:t>
      </w:r>
      <w:r w:rsidRPr="003E7B62">
        <w:rPr>
          <w:rFonts w:ascii="Cambria" w:hAnsi="Cambria"/>
          <w:sz w:val="16"/>
          <w:szCs w:val="16"/>
          <w:lang w:val="en-US"/>
        </w:rPr>
        <w:t xml:space="preserve">J.H. JANS, ‘Proportionality revisited’ (2000) 27 (3) </w:t>
      </w:r>
      <w:r w:rsidRPr="003E7B62">
        <w:rPr>
          <w:rFonts w:ascii="Cambria" w:hAnsi="Cambria"/>
          <w:i/>
          <w:sz w:val="16"/>
          <w:szCs w:val="16"/>
          <w:lang w:val="en-US"/>
        </w:rPr>
        <w:t>Legal Issues of Economic Integrations</w:t>
      </w:r>
      <w:r w:rsidRPr="003E7B62">
        <w:rPr>
          <w:rFonts w:ascii="Cambria" w:hAnsi="Cambria"/>
          <w:sz w:val="16"/>
          <w:szCs w:val="16"/>
          <w:lang w:val="en-US"/>
        </w:rPr>
        <w:t>, pp. 240-241.</w:t>
      </w:r>
    </w:p>
  </w:footnote>
  <w:footnote w:id="58">
    <w:p w:rsidR="00386DDC" w:rsidRPr="003E7B62" w:rsidRDefault="00386DDC" w:rsidP="007B3F43">
      <w:pPr>
        <w:pStyle w:val="Normaalweb"/>
        <w:spacing w:before="0" w:beforeAutospacing="0" w:after="0" w:afterAutospacing="0"/>
        <w:jc w:val="both"/>
        <w:rPr>
          <w:rFonts w:ascii="Cambria" w:eastAsiaTheme="minorHAnsi" w:hAnsi="Cambria"/>
          <w:sz w:val="16"/>
          <w:szCs w:val="16"/>
          <w:lang w:val="en-GB"/>
        </w:rPr>
      </w:pPr>
      <w:r w:rsidRPr="003E7B62">
        <w:rPr>
          <w:rStyle w:val="Voetnootmarkering"/>
          <w:rFonts w:ascii="Cambria" w:hAnsi="Cambria" w:cs="Garamond"/>
          <w:sz w:val="16"/>
          <w:szCs w:val="16"/>
        </w:rPr>
        <w:footnoteRef/>
      </w:r>
      <w:r w:rsidR="00FC5F2F" w:rsidRPr="00FC5F2F">
        <w:rPr>
          <w:rFonts w:ascii="Cambria" w:hAnsi="Cambria" w:cs="Garamond"/>
          <w:sz w:val="16"/>
          <w:szCs w:val="16"/>
          <w:lang w:val="en-US"/>
        </w:rPr>
        <w:t xml:space="preserve"> Case C-244/06, </w:t>
      </w:r>
      <w:r w:rsidR="00FC5F2F" w:rsidRPr="00FC5F2F">
        <w:rPr>
          <w:rFonts w:ascii="Cambria" w:hAnsi="Cambria" w:cs="Garamond"/>
          <w:i/>
          <w:iCs/>
          <w:sz w:val="16"/>
          <w:szCs w:val="16"/>
          <w:lang w:val="en-US"/>
        </w:rPr>
        <w:t>Dynamic Medien</w:t>
      </w:r>
      <w:r w:rsidR="00FC5F2F" w:rsidRPr="00FC5F2F">
        <w:rPr>
          <w:rFonts w:ascii="Cambria" w:hAnsi="Cambria" w:cs="Garamond"/>
          <w:i/>
          <w:sz w:val="16"/>
          <w:szCs w:val="16"/>
          <w:lang w:val="en-US"/>
        </w:rPr>
        <w:t xml:space="preserve">, </w:t>
      </w:r>
      <w:r w:rsidR="00FC5F2F" w:rsidRPr="00FC5F2F">
        <w:rPr>
          <w:rFonts w:ascii="Cambria" w:hAnsi="Cambria" w:cs="Garamond"/>
          <w:sz w:val="16"/>
          <w:szCs w:val="16"/>
          <w:lang w:val="en-US"/>
        </w:rPr>
        <w:t xml:space="preserve">ECLI:EU:C:2008:85; Case C-372/04, </w:t>
      </w:r>
      <w:r w:rsidR="00FC5F2F" w:rsidRPr="00FC5F2F">
        <w:rPr>
          <w:rFonts w:ascii="Cambria" w:hAnsi="Cambria" w:cs="Garamond"/>
          <w:i/>
          <w:iCs/>
          <w:sz w:val="16"/>
          <w:szCs w:val="16"/>
          <w:lang w:val="en-US"/>
        </w:rPr>
        <w:t>Watts</w:t>
      </w:r>
      <w:r w:rsidR="00FC5F2F" w:rsidRPr="00FC5F2F">
        <w:rPr>
          <w:rFonts w:ascii="Cambria" w:hAnsi="Cambria" w:cs="Garamond"/>
          <w:sz w:val="16"/>
          <w:szCs w:val="16"/>
          <w:lang w:val="en-US"/>
        </w:rPr>
        <w:t xml:space="preserve">, ECLI:EU:C:2006:325; Case 178/84, </w:t>
      </w:r>
      <w:r w:rsidR="00FC5F2F" w:rsidRPr="00FC5F2F">
        <w:rPr>
          <w:rFonts w:ascii="Cambria" w:hAnsi="Cambria" w:cs="Garamond"/>
          <w:i/>
          <w:iCs/>
          <w:sz w:val="16"/>
          <w:szCs w:val="16"/>
          <w:lang w:val="en-US"/>
        </w:rPr>
        <w:t>Commission v Germ</w:t>
      </w:r>
      <w:r w:rsidR="00FC5F2F" w:rsidRPr="00FC5F2F">
        <w:rPr>
          <w:rFonts w:ascii="Cambria" w:hAnsi="Cambria" w:cs="Garamond"/>
          <w:sz w:val="16"/>
          <w:szCs w:val="16"/>
          <w:lang w:val="en-US"/>
        </w:rPr>
        <w:t>any (</w:t>
      </w:r>
      <w:r w:rsidR="00FC5F2F" w:rsidRPr="00FC5F2F">
        <w:rPr>
          <w:rFonts w:ascii="Cambria" w:hAnsi="Cambria" w:cs="Garamond"/>
          <w:i/>
          <w:iCs/>
          <w:sz w:val="16"/>
          <w:szCs w:val="16"/>
          <w:lang w:val="en-US"/>
        </w:rPr>
        <w:t>Reinheitsgebot</w:t>
      </w:r>
      <w:r w:rsidR="00FC5F2F" w:rsidRPr="00FC5F2F">
        <w:rPr>
          <w:rFonts w:ascii="Cambria" w:hAnsi="Cambria" w:cs="Garamond"/>
          <w:sz w:val="16"/>
          <w:szCs w:val="16"/>
          <w:lang w:val="en-US"/>
        </w:rPr>
        <w:t>), ECLI:EU:C:1987:126</w:t>
      </w:r>
      <w:r w:rsidRPr="003E7B62">
        <w:rPr>
          <w:rFonts w:ascii="Cambria" w:hAnsi="Cambria" w:cs="Garamond"/>
          <w:sz w:val="16"/>
          <w:szCs w:val="16"/>
          <w:lang w:val="en-GB"/>
        </w:rPr>
        <w:t>; S. PRECHAL</w:t>
      </w:r>
      <w:r w:rsidRPr="003E7B62">
        <w:rPr>
          <w:rFonts w:ascii="Cambria" w:eastAsiaTheme="minorHAnsi" w:hAnsi="Cambria"/>
          <w:sz w:val="16"/>
          <w:szCs w:val="16"/>
          <w:lang w:val="en-GB"/>
        </w:rPr>
        <w:t xml:space="preserve">, ‘Topic One: National Applications of the Proportionality Principle – Free Movement and Procedural </w:t>
      </w:r>
      <w:r w:rsidRPr="003E7B62">
        <w:rPr>
          <w:rFonts w:ascii="Cambria" w:hAnsi="Cambria"/>
          <w:sz w:val="16"/>
          <w:szCs w:val="16"/>
          <w:lang w:val="en-GB"/>
        </w:rPr>
        <w:t xml:space="preserve">Requirements: Proportionality Reconsidered’ (2008) 35 </w:t>
      </w:r>
      <w:r w:rsidRPr="003E7B62">
        <w:rPr>
          <w:rFonts w:ascii="Cambria" w:hAnsi="Cambria"/>
          <w:i/>
          <w:iCs/>
          <w:sz w:val="16"/>
          <w:szCs w:val="16"/>
          <w:lang w:val="en-GB"/>
        </w:rPr>
        <w:t>Legal Issues of Economic Integration</w:t>
      </w:r>
      <w:r w:rsidRPr="003E7B62">
        <w:rPr>
          <w:rFonts w:ascii="Cambria" w:hAnsi="Cambria"/>
          <w:sz w:val="16"/>
          <w:szCs w:val="16"/>
          <w:lang w:val="en-GB"/>
        </w:rPr>
        <w:t xml:space="preserve">, p. 203. </w:t>
      </w:r>
    </w:p>
  </w:footnote>
  <w:footnote w:id="59">
    <w:p w:rsidR="00386DDC" w:rsidRPr="003E7B62" w:rsidRDefault="00386DDC">
      <w:pPr>
        <w:pStyle w:val="Voetnoottekst"/>
        <w:jc w:val="both"/>
        <w:rPr>
          <w:rFonts w:ascii="Cambria" w:hAnsi="Cambria"/>
          <w:sz w:val="16"/>
          <w:szCs w:val="16"/>
        </w:rPr>
      </w:pPr>
      <w:r w:rsidRPr="003E7B62">
        <w:rPr>
          <w:rStyle w:val="Voetnootmarkering"/>
          <w:rFonts w:ascii="Cambria" w:hAnsi="Cambria" w:cs="Garamond"/>
          <w:sz w:val="16"/>
          <w:szCs w:val="16"/>
        </w:rPr>
        <w:footnoteRef/>
      </w:r>
      <w:r w:rsidRPr="003E7B62">
        <w:rPr>
          <w:rFonts w:ascii="Cambria" w:hAnsi="Cambria" w:cs="Garamond"/>
          <w:sz w:val="16"/>
          <w:szCs w:val="16"/>
        </w:rPr>
        <w:t xml:space="preserve"> C. BARNARD, </w:t>
      </w:r>
      <w:r w:rsidRPr="003E7B62">
        <w:rPr>
          <w:rFonts w:ascii="Cambria" w:hAnsi="Cambria" w:cs="Garamond"/>
          <w:i/>
          <w:iCs/>
          <w:sz w:val="16"/>
          <w:szCs w:val="16"/>
        </w:rPr>
        <w:t>The substantive law of the EU: the four freedoms</w:t>
      </w:r>
      <w:r>
        <w:rPr>
          <w:rFonts w:ascii="Cambria" w:hAnsi="Cambria" w:cs="Garamond"/>
          <w:sz w:val="16"/>
          <w:szCs w:val="16"/>
        </w:rPr>
        <w:t>, 3rd ed.</w:t>
      </w:r>
      <w:r w:rsidRPr="003E7B62">
        <w:rPr>
          <w:rFonts w:ascii="Cambria" w:hAnsi="Cambria" w:cs="Garamond"/>
          <w:sz w:val="16"/>
          <w:szCs w:val="16"/>
        </w:rPr>
        <w:t>, Oxford University Press, Oxford 2010, p. 259.</w:t>
      </w:r>
    </w:p>
  </w:footnote>
  <w:footnote w:id="60">
    <w:p w:rsidR="00386DDC" w:rsidRPr="003E7B62" w:rsidRDefault="00386DDC">
      <w:pPr>
        <w:pStyle w:val="Voetnoottekst"/>
        <w:jc w:val="both"/>
        <w:rPr>
          <w:rFonts w:ascii="Cambria" w:hAnsi="Cambria"/>
          <w:sz w:val="16"/>
          <w:szCs w:val="16"/>
          <w:lang w:val="en-US"/>
        </w:rPr>
      </w:pPr>
      <w:r w:rsidRPr="003E7B62">
        <w:rPr>
          <w:rStyle w:val="Voetnootmarkering"/>
          <w:rFonts w:ascii="Cambria" w:hAnsi="Cambria"/>
          <w:sz w:val="16"/>
          <w:szCs w:val="16"/>
        </w:rPr>
        <w:footnoteRef/>
      </w:r>
      <w:r w:rsidRPr="003E7B62">
        <w:rPr>
          <w:rFonts w:ascii="Cambria" w:hAnsi="Cambria"/>
          <w:sz w:val="16"/>
          <w:szCs w:val="16"/>
        </w:rPr>
        <w:t xml:space="preserve"> DE </w:t>
      </w:r>
      <w:r w:rsidRPr="003E7B62">
        <w:rPr>
          <w:rFonts w:ascii="Cambria" w:hAnsi="Cambria"/>
          <w:sz w:val="16"/>
          <w:szCs w:val="16"/>
          <w:lang w:val="en-US"/>
        </w:rPr>
        <w:t xml:space="preserve">VRIES, </w:t>
      </w:r>
      <w:r w:rsidRPr="003E7B62">
        <w:rPr>
          <w:rFonts w:ascii="Cambria" w:hAnsi="Cambria"/>
          <w:i/>
          <w:sz w:val="16"/>
          <w:szCs w:val="16"/>
          <w:lang w:val="en-US"/>
        </w:rPr>
        <w:t xml:space="preserve">supra </w:t>
      </w:r>
      <w:r>
        <w:rPr>
          <w:rFonts w:ascii="Cambria" w:hAnsi="Cambria"/>
          <w:sz w:val="16"/>
          <w:szCs w:val="16"/>
          <w:lang w:val="en-US"/>
        </w:rPr>
        <w:t xml:space="preserve">at </w:t>
      </w:r>
      <w:fldSimple w:instr=" NOTEREF _Ref420508960 \h  \* MERGEFORMAT ">
        <w:r w:rsidRPr="003E7B62">
          <w:rPr>
            <w:rFonts w:ascii="Cambria" w:hAnsi="Cambria"/>
            <w:sz w:val="16"/>
            <w:szCs w:val="16"/>
            <w:lang w:val="en-US"/>
          </w:rPr>
          <w:t>53</w:t>
        </w:r>
      </w:fldSimple>
      <w:r w:rsidRPr="003E7B62">
        <w:rPr>
          <w:rFonts w:ascii="Cambria" w:hAnsi="Cambria"/>
          <w:sz w:val="16"/>
          <w:szCs w:val="16"/>
          <w:lang w:val="en-US"/>
        </w:rPr>
        <w:t>, pp. 351-352.</w:t>
      </w:r>
    </w:p>
  </w:footnote>
  <w:footnote w:id="61">
    <w:p w:rsidR="00386DDC" w:rsidRPr="003E7B62" w:rsidRDefault="00386DDC">
      <w:pPr>
        <w:pStyle w:val="Voetnoottekst"/>
        <w:jc w:val="both"/>
        <w:rPr>
          <w:rFonts w:ascii="Cambria" w:hAnsi="Cambria"/>
          <w:sz w:val="16"/>
          <w:szCs w:val="16"/>
          <w:lang w:val="en-US"/>
        </w:rPr>
      </w:pPr>
      <w:r w:rsidRPr="003E7B62">
        <w:rPr>
          <w:rStyle w:val="Voetnootmarkering"/>
          <w:rFonts w:ascii="Cambria" w:hAnsi="Cambria"/>
          <w:sz w:val="16"/>
          <w:szCs w:val="16"/>
        </w:rPr>
        <w:footnoteRef/>
      </w:r>
      <w:r w:rsidRPr="003E7B62">
        <w:rPr>
          <w:rFonts w:ascii="Cambria" w:hAnsi="Cambria"/>
          <w:sz w:val="16"/>
          <w:szCs w:val="16"/>
        </w:rPr>
        <w:t xml:space="preserve"> </w:t>
      </w:r>
      <w:r w:rsidRPr="003E7B62">
        <w:rPr>
          <w:rFonts w:ascii="Cambria" w:hAnsi="Cambria"/>
          <w:sz w:val="16"/>
          <w:szCs w:val="16"/>
          <w:lang w:val="en-US"/>
        </w:rPr>
        <w:t xml:space="preserve">S.A. DE VRIES, ‘Consumer Protection and the EU Single Market rules – The search for the paradigm consumer’ (2012) 4 </w:t>
      </w:r>
      <w:r w:rsidRPr="003E7B62">
        <w:rPr>
          <w:rFonts w:ascii="Cambria" w:hAnsi="Cambria"/>
          <w:i/>
          <w:sz w:val="16"/>
          <w:szCs w:val="16"/>
          <w:lang w:val="en-US"/>
        </w:rPr>
        <w:t xml:space="preserve">Journal of European Consumer and Market Law,  </w:t>
      </w:r>
      <w:r w:rsidRPr="003E7B62">
        <w:rPr>
          <w:rFonts w:ascii="Cambria" w:hAnsi="Cambria"/>
          <w:sz w:val="16"/>
          <w:szCs w:val="16"/>
          <w:lang w:val="en-US"/>
        </w:rPr>
        <w:t xml:space="preserve">pp. 228 – 242. </w:t>
      </w:r>
    </w:p>
  </w:footnote>
  <w:footnote w:id="62">
    <w:p w:rsidR="00386DDC" w:rsidRPr="003E7B62" w:rsidRDefault="00386DDC" w:rsidP="006C41E0">
      <w:pPr>
        <w:pStyle w:val="Voetnoottekst"/>
        <w:jc w:val="both"/>
        <w:rPr>
          <w:rFonts w:ascii="Cambria" w:hAnsi="Cambria"/>
          <w:sz w:val="16"/>
          <w:szCs w:val="16"/>
        </w:rPr>
      </w:pPr>
      <w:r w:rsidRPr="003E7B62">
        <w:rPr>
          <w:rStyle w:val="Voetnootverwijzing"/>
          <w:rFonts w:ascii="Cambria" w:hAnsi="Cambria"/>
          <w:spacing w:val="-3"/>
          <w:sz w:val="16"/>
          <w:szCs w:val="16"/>
        </w:rPr>
        <w:footnoteRef/>
      </w:r>
      <w:r w:rsidRPr="003E7B62">
        <w:rPr>
          <w:rFonts w:ascii="Cambria" w:hAnsi="Cambria"/>
          <w:spacing w:val="-2"/>
          <w:sz w:val="16"/>
          <w:szCs w:val="16"/>
        </w:rPr>
        <w:t xml:space="preserve"> Case 382/87,</w:t>
      </w:r>
      <w:r w:rsidRPr="003E7B62">
        <w:rPr>
          <w:rFonts w:ascii="Cambria" w:hAnsi="Cambria"/>
          <w:i/>
          <w:spacing w:val="-2"/>
          <w:sz w:val="16"/>
          <w:szCs w:val="16"/>
        </w:rPr>
        <w:t xml:space="preserve"> </w:t>
      </w:r>
      <w:r w:rsidRPr="003E7B62">
        <w:rPr>
          <w:rFonts w:ascii="Cambria" w:eastAsiaTheme="minorEastAsia" w:hAnsi="Cambria"/>
          <w:i/>
          <w:sz w:val="16"/>
          <w:szCs w:val="16"/>
        </w:rPr>
        <w:t>R Buet and Educational Business Services (EBS) v Ministère public</w:t>
      </w:r>
      <w:r w:rsidRPr="003E7B62">
        <w:rPr>
          <w:rFonts w:ascii="Cambria" w:hAnsi="Cambria"/>
          <w:i/>
          <w:spacing w:val="-2"/>
          <w:sz w:val="16"/>
          <w:szCs w:val="16"/>
        </w:rPr>
        <w:t xml:space="preserve"> </w:t>
      </w:r>
      <w:r w:rsidRPr="003E7B62">
        <w:rPr>
          <w:rFonts w:ascii="Cambria" w:hAnsi="Cambria"/>
          <w:spacing w:val="-2"/>
          <w:sz w:val="16"/>
          <w:szCs w:val="16"/>
        </w:rPr>
        <w:t>(</w:t>
      </w:r>
      <w:r w:rsidRPr="003E7B62">
        <w:rPr>
          <w:rFonts w:ascii="Cambria" w:hAnsi="Cambria"/>
          <w:iCs/>
          <w:spacing w:val="-2"/>
          <w:sz w:val="16"/>
          <w:szCs w:val="16"/>
        </w:rPr>
        <w:t>Buet)</w:t>
      </w:r>
      <w:r w:rsidRPr="003E7B62">
        <w:rPr>
          <w:rFonts w:ascii="Cambria" w:hAnsi="Cambria"/>
          <w:spacing w:val="-2"/>
          <w:sz w:val="16"/>
          <w:szCs w:val="16"/>
        </w:rPr>
        <w:t>, ECLI:EU:C:1989:198.</w:t>
      </w:r>
    </w:p>
  </w:footnote>
  <w:footnote w:id="63">
    <w:p w:rsidR="00386DDC" w:rsidRPr="003E7B62" w:rsidRDefault="00386DDC">
      <w:pPr>
        <w:pStyle w:val="Voetnoottekst"/>
        <w:contextualSpacing/>
        <w:jc w:val="both"/>
        <w:rPr>
          <w:rFonts w:ascii="Cambria" w:hAnsi="Cambria"/>
          <w:sz w:val="16"/>
          <w:szCs w:val="16"/>
        </w:rPr>
      </w:pPr>
      <w:r w:rsidRPr="003E7B62">
        <w:rPr>
          <w:rStyle w:val="Voetnootmarkering"/>
          <w:rFonts w:ascii="Cambria" w:hAnsi="Cambria"/>
          <w:sz w:val="16"/>
          <w:szCs w:val="16"/>
        </w:rPr>
        <w:footnoteRef/>
      </w:r>
      <w:r w:rsidRPr="003E7B62">
        <w:rPr>
          <w:rFonts w:ascii="Cambria" w:hAnsi="Cambria"/>
          <w:sz w:val="16"/>
          <w:szCs w:val="16"/>
        </w:rPr>
        <w:t xml:space="preserve"> </w:t>
      </w:r>
      <w:r w:rsidRPr="003E7B62">
        <w:rPr>
          <w:rFonts w:ascii="Cambria" w:hAnsi="Cambria"/>
          <w:spacing w:val="-2"/>
          <w:sz w:val="16"/>
          <w:szCs w:val="16"/>
        </w:rPr>
        <w:t>Case C-275/92,</w:t>
      </w:r>
      <w:r w:rsidRPr="003E7B62">
        <w:rPr>
          <w:rFonts w:ascii="Cambria" w:hAnsi="Cambria"/>
          <w:i/>
          <w:spacing w:val="-2"/>
          <w:sz w:val="16"/>
          <w:szCs w:val="16"/>
        </w:rPr>
        <w:t xml:space="preserve"> </w:t>
      </w:r>
      <w:r w:rsidRPr="003E7B62">
        <w:rPr>
          <w:rFonts w:ascii="Cambria" w:eastAsiaTheme="minorEastAsia" w:hAnsi="Cambria"/>
          <w:bCs/>
          <w:i/>
          <w:sz w:val="16"/>
          <w:szCs w:val="16"/>
        </w:rPr>
        <w:t>Her Majesty's Customs and Excise v Gerhart Schindler and Jörg Schindler</w:t>
      </w:r>
      <w:r w:rsidRPr="003E7B62">
        <w:rPr>
          <w:rFonts w:ascii="Cambria" w:hAnsi="Cambria"/>
          <w:i/>
          <w:spacing w:val="-2"/>
          <w:sz w:val="16"/>
          <w:szCs w:val="16"/>
        </w:rPr>
        <w:t xml:space="preserve"> </w:t>
      </w:r>
      <w:r w:rsidRPr="003E7B62">
        <w:rPr>
          <w:rFonts w:ascii="Cambria" w:hAnsi="Cambria"/>
          <w:spacing w:val="-2"/>
          <w:sz w:val="16"/>
          <w:szCs w:val="16"/>
        </w:rPr>
        <w:t>(</w:t>
      </w:r>
      <w:r w:rsidRPr="003E7B62">
        <w:rPr>
          <w:rFonts w:ascii="Cambria" w:hAnsi="Cambria"/>
          <w:iCs/>
          <w:spacing w:val="-2"/>
          <w:sz w:val="16"/>
          <w:szCs w:val="16"/>
        </w:rPr>
        <w:t>Schindler), ECLI:EU:C:1994:119</w:t>
      </w:r>
      <w:r w:rsidRPr="003E7B62">
        <w:rPr>
          <w:rFonts w:ascii="Cambria" w:hAnsi="Cambria"/>
          <w:sz w:val="16"/>
          <w:szCs w:val="16"/>
        </w:rPr>
        <w:t>.</w:t>
      </w:r>
    </w:p>
  </w:footnote>
  <w:footnote w:id="64">
    <w:p w:rsidR="00386DDC" w:rsidRPr="00110B03" w:rsidRDefault="00386DDC">
      <w:pPr>
        <w:pStyle w:val="Voetnoottekst"/>
        <w:jc w:val="both"/>
        <w:rPr>
          <w:rFonts w:ascii="Cambria" w:hAnsi="Cambria"/>
          <w:sz w:val="16"/>
          <w:szCs w:val="16"/>
          <w:lang w:val="de-DE"/>
        </w:rPr>
      </w:pPr>
      <w:r w:rsidRPr="003E7B62">
        <w:rPr>
          <w:rStyle w:val="Voetnootmarkering"/>
          <w:rFonts w:ascii="Cambria" w:hAnsi="Cambria"/>
          <w:sz w:val="16"/>
          <w:szCs w:val="16"/>
        </w:rPr>
        <w:footnoteRef/>
      </w:r>
      <w:r w:rsidR="00FC5F2F" w:rsidRPr="00FC5F2F">
        <w:rPr>
          <w:rFonts w:ascii="Cambria" w:hAnsi="Cambria"/>
          <w:sz w:val="16"/>
          <w:szCs w:val="16"/>
          <w:lang w:val="de-DE"/>
        </w:rPr>
        <w:t xml:space="preserve"> DE VRIES, </w:t>
      </w:r>
      <w:r w:rsidR="00FC5F2F" w:rsidRPr="00FC5F2F">
        <w:rPr>
          <w:rFonts w:ascii="Cambria" w:hAnsi="Cambria"/>
          <w:i/>
          <w:sz w:val="16"/>
          <w:szCs w:val="16"/>
          <w:lang w:val="de-DE"/>
        </w:rPr>
        <w:t xml:space="preserve">supra </w:t>
      </w:r>
      <w:r w:rsidR="00FC5F2F" w:rsidRPr="00FC5F2F">
        <w:rPr>
          <w:rFonts w:ascii="Cambria" w:hAnsi="Cambria"/>
          <w:sz w:val="16"/>
          <w:szCs w:val="16"/>
          <w:lang w:val="de-DE"/>
        </w:rPr>
        <w:t xml:space="preserve">at </w:t>
      </w:r>
      <w:fldSimple w:instr=" NOTEREF _Ref420508960 \h  \* MERGEFORMAT ">
        <w:r w:rsidR="00FC5F2F" w:rsidRPr="00FC5F2F">
          <w:rPr>
            <w:rFonts w:ascii="Cambria" w:hAnsi="Cambria"/>
            <w:sz w:val="16"/>
            <w:szCs w:val="16"/>
            <w:lang w:val="de-DE"/>
          </w:rPr>
          <w:t>53</w:t>
        </w:r>
      </w:fldSimple>
      <w:r w:rsidR="00FC5F2F" w:rsidRPr="00FC5F2F">
        <w:rPr>
          <w:rFonts w:ascii="Cambria" w:hAnsi="Cambria"/>
          <w:sz w:val="16"/>
          <w:szCs w:val="16"/>
          <w:lang w:val="de-DE"/>
        </w:rPr>
        <w:t>, p. 351.</w:t>
      </w:r>
    </w:p>
  </w:footnote>
  <w:footnote w:id="65">
    <w:p w:rsidR="00386DDC" w:rsidRPr="003E7B62" w:rsidRDefault="00386DDC" w:rsidP="00613DB8">
      <w:pPr>
        <w:pStyle w:val="Voetnoottekst"/>
        <w:jc w:val="both"/>
        <w:rPr>
          <w:rFonts w:ascii="Cambria" w:hAnsi="Cambria" w:cs="Garamond"/>
          <w:sz w:val="16"/>
          <w:szCs w:val="16"/>
        </w:rPr>
      </w:pPr>
      <w:r w:rsidRPr="003E7B62">
        <w:rPr>
          <w:rStyle w:val="Voetnootmarkering"/>
          <w:rFonts w:ascii="Cambria" w:hAnsi="Cambria" w:cs="Garamond"/>
          <w:sz w:val="16"/>
          <w:szCs w:val="16"/>
        </w:rPr>
        <w:footnoteRef/>
      </w:r>
      <w:r w:rsidRPr="003E7B62">
        <w:rPr>
          <w:rFonts w:ascii="Cambria" w:hAnsi="Cambria" w:cs="Garamond"/>
          <w:sz w:val="16"/>
          <w:szCs w:val="16"/>
          <w:lang w:val="de-DE"/>
        </w:rPr>
        <w:t xml:space="preserve"> C. BROWN, ‘Case C-112/00, </w:t>
      </w:r>
      <w:r w:rsidRPr="003E7B62">
        <w:rPr>
          <w:rFonts w:ascii="Cambria" w:hAnsi="Cambria" w:cs="Garamond"/>
          <w:iCs/>
          <w:sz w:val="16"/>
          <w:szCs w:val="16"/>
          <w:lang w:val="de-DE"/>
        </w:rPr>
        <w:t>Eugen Schmidberger, Internationale Transporte und Planzüge v. Austria</w:t>
      </w:r>
      <w:r w:rsidRPr="003E7B62">
        <w:rPr>
          <w:rFonts w:ascii="Cambria" w:hAnsi="Cambria" w:cs="Garamond"/>
          <w:sz w:val="16"/>
          <w:szCs w:val="16"/>
          <w:lang w:val="de-DE"/>
        </w:rPr>
        <w:t xml:space="preserve">. </w:t>
      </w:r>
      <w:r w:rsidRPr="003E7B62">
        <w:rPr>
          <w:rFonts w:ascii="Cambria" w:hAnsi="Cambria" w:cs="Garamond"/>
          <w:sz w:val="16"/>
          <w:szCs w:val="16"/>
        </w:rPr>
        <w:t xml:space="preserve">Judgment of 12 June 2003, Full Court’ (2003) 40 </w:t>
      </w:r>
      <w:r w:rsidRPr="003E7B62">
        <w:rPr>
          <w:rFonts w:ascii="Cambria" w:hAnsi="Cambria" w:cs="Garamond"/>
          <w:i/>
          <w:iCs/>
          <w:sz w:val="16"/>
          <w:szCs w:val="16"/>
        </w:rPr>
        <w:t>CML. Rev</w:t>
      </w:r>
      <w:r w:rsidRPr="003E7B62">
        <w:rPr>
          <w:rFonts w:ascii="Cambria" w:hAnsi="Cambria" w:cs="Garamond"/>
          <w:iCs/>
          <w:sz w:val="16"/>
          <w:szCs w:val="16"/>
        </w:rPr>
        <w:t>, p.</w:t>
      </w:r>
      <w:r w:rsidRPr="003E7B62">
        <w:rPr>
          <w:rFonts w:ascii="Cambria" w:hAnsi="Cambria" w:cs="Garamond"/>
          <w:i/>
          <w:iCs/>
          <w:sz w:val="16"/>
          <w:szCs w:val="16"/>
        </w:rPr>
        <w:t xml:space="preserve"> </w:t>
      </w:r>
      <w:r w:rsidRPr="003E7B62">
        <w:rPr>
          <w:rFonts w:ascii="Cambria" w:hAnsi="Cambria" w:cs="Garamond"/>
          <w:iCs/>
          <w:sz w:val="16"/>
          <w:szCs w:val="16"/>
        </w:rPr>
        <w:t>1499</w:t>
      </w:r>
      <w:r w:rsidRPr="003E7B62">
        <w:rPr>
          <w:rFonts w:ascii="Cambria" w:hAnsi="Cambria" w:cs="Garamond"/>
          <w:sz w:val="16"/>
          <w:szCs w:val="16"/>
        </w:rPr>
        <w:t xml:space="preserve"> at 1508.</w:t>
      </w:r>
    </w:p>
  </w:footnote>
  <w:footnote w:id="66">
    <w:p w:rsidR="00386DDC" w:rsidRPr="00110B03" w:rsidRDefault="00386DDC">
      <w:pPr>
        <w:pStyle w:val="Voetnoottekst"/>
        <w:jc w:val="both"/>
        <w:rPr>
          <w:rFonts w:ascii="Cambria" w:hAnsi="Cambria"/>
          <w:color w:val="FF0000"/>
          <w:sz w:val="16"/>
          <w:szCs w:val="16"/>
          <w:lang w:val="en-US"/>
        </w:rPr>
      </w:pPr>
      <w:r w:rsidRPr="003E7B62">
        <w:rPr>
          <w:rStyle w:val="Voetnootmarkering"/>
          <w:rFonts w:ascii="Cambria" w:hAnsi="Cambria" w:cs="Garamond"/>
          <w:sz w:val="16"/>
          <w:szCs w:val="16"/>
        </w:rPr>
        <w:footnoteRef/>
      </w:r>
      <w:r w:rsidR="00FC5F2F" w:rsidRPr="00FC5F2F">
        <w:rPr>
          <w:rFonts w:ascii="Cambria" w:hAnsi="Cambria" w:cs="Garamond"/>
          <w:sz w:val="16"/>
          <w:szCs w:val="16"/>
          <w:lang w:val="en-US"/>
        </w:rPr>
        <w:t xml:space="preserve"> Case C-122/00, </w:t>
      </w:r>
      <w:r w:rsidR="00FC5F2F" w:rsidRPr="00FC5F2F">
        <w:rPr>
          <w:rFonts w:ascii="Cambria" w:hAnsi="Cambria" w:cs="Garamond"/>
          <w:i/>
          <w:sz w:val="16"/>
          <w:szCs w:val="16"/>
          <w:lang w:val="en-US"/>
        </w:rPr>
        <w:t>Schmidberger</w:t>
      </w:r>
      <w:r w:rsidR="00FC5F2F" w:rsidRPr="00FC5F2F">
        <w:rPr>
          <w:rFonts w:ascii="Cambria" w:hAnsi="Cambria" w:cs="Garamond"/>
          <w:sz w:val="16"/>
          <w:szCs w:val="16"/>
          <w:lang w:val="en-US"/>
        </w:rPr>
        <w:t>, ECLI:EU:C:2003:333.</w:t>
      </w:r>
    </w:p>
  </w:footnote>
  <w:footnote w:id="67">
    <w:p w:rsidR="00386DDC" w:rsidRPr="003E7B62" w:rsidRDefault="00386DDC">
      <w:pPr>
        <w:pStyle w:val="Voetnoottekst"/>
        <w:jc w:val="both"/>
        <w:rPr>
          <w:rFonts w:ascii="Cambria" w:hAnsi="Cambria" w:cs="Garamond"/>
          <w:sz w:val="16"/>
          <w:szCs w:val="16"/>
          <w:lang w:val="de-DE"/>
        </w:rPr>
      </w:pPr>
      <w:r w:rsidRPr="003E7B62">
        <w:rPr>
          <w:rStyle w:val="Voetnootmarkering"/>
          <w:rFonts w:ascii="Cambria" w:hAnsi="Cambria" w:cs="Garamond"/>
          <w:sz w:val="16"/>
          <w:szCs w:val="16"/>
        </w:rPr>
        <w:footnoteRef/>
      </w:r>
      <w:r w:rsidRPr="003E7B62">
        <w:rPr>
          <w:rFonts w:ascii="Cambria" w:hAnsi="Cambria" w:cs="Garamond"/>
          <w:sz w:val="16"/>
          <w:szCs w:val="16"/>
          <w:lang w:val="de-DE"/>
        </w:rPr>
        <w:t xml:space="preserve"> Case C-36/02, </w:t>
      </w:r>
      <w:r w:rsidRPr="003E7B62">
        <w:rPr>
          <w:rFonts w:ascii="Cambria" w:hAnsi="Cambria" w:cs="Garamond"/>
          <w:i/>
          <w:iCs/>
          <w:sz w:val="16"/>
          <w:szCs w:val="16"/>
          <w:lang w:val="de-DE"/>
        </w:rPr>
        <w:t>Omega Spielhallen- und Automatenaufstellungs-GmbH v Oberbürgermeisterin der Bundesstadt Bonn</w:t>
      </w:r>
      <w:r w:rsidRPr="003E7B62">
        <w:rPr>
          <w:rFonts w:ascii="Cambria" w:hAnsi="Cambria" w:cs="Garamond"/>
          <w:sz w:val="16"/>
          <w:szCs w:val="16"/>
          <w:lang w:val="de-DE"/>
        </w:rPr>
        <w:t xml:space="preserve"> (Ome</w:t>
      </w:r>
      <w:r w:rsidRPr="003E7B62">
        <w:rPr>
          <w:rFonts w:ascii="Cambria" w:hAnsi="Cambria" w:cs="Garamond"/>
          <w:sz w:val="16"/>
          <w:szCs w:val="16"/>
          <w:lang w:val="de-DE"/>
        </w:rPr>
        <w:softHyphen/>
        <w:t>ga)</w:t>
      </w:r>
      <w:r w:rsidRPr="003E7B62">
        <w:rPr>
          <w:rFonts w:ascii="Cambria" w:hAnsi="Cambria" w:cs="Garamond"/>
          <w:iCs/>
          <w:sz w:val="16"/>
          <w:szCs w:val="16"/>
          <w:lang w:val="de-DE"/>
        </w:rPr>
        <w:t xml:space="preserve">, ECLI:EU:C:2004:614; </w:t>
      </w:r>
      <w:r w:rsidRPr="003E7B62">
        <w:rPr>
          <w:rFonts w:ascii="Cambria" w:hAnsi="Cambria" w:cs="Garamond"/>
          <w:sz w:val="16"/>
          <w:szCs w:val="16"/>
          <w:lang w:val="de-DE"/>
        </w:rPr>
        <w:t xml:space="preserve">C-208/09, </w:t>
      </w:r>
      <w:r w:rsidRPr="003E7B62">
        <w:rPr>
          <w:rFonts w:ascii="Cambria" w:hAnsi="Cambria" w:cs="Garamond"/>
          <w:i/>
          <w:iCs/>
          <w:sz w:val="16"/>
          <w:szCs w:val="16"/>
          <w:lang w:val="de-DE"/>
        </w:rPr>
        <w:t>Sayn-Wittgenstein</w:t>
      </w:r>
      <w:r w:rsidRPr="003E7B62">
        <w:rPr>
          <w:rFonts w:ascii="Cambria" w:hAnsi="Cambria" w:cs="Garamond"/>
          <w:sz w:val="16"/>
          <w:szCs w:val="16"/>
          <w:lang w:val="de-DE"/>
        </w:rPr>
        <w:t>, ECLI:EU:C:2010:806.</w:t>
      </w:r>
    </w:p>
  </w:footnote>
  <w:footnote w:id="68">
    <w:p w:rsidR="00386DDC" w:rsidRPr="00110B03" w:rsidRDefault="00386DDC">
      <w:pPr>
        <w:pStyle w:val="Voetnoottekst"/>
        <w:jc w:val="both"/>
        <w:rPr>
          <w:rFonts w:ascii="Cambria" w:hAnsi="Cambria"/>
          <w:sz w:val="16"/>
          <w:szCs w:val="16"/>
          <w:lang w:val="en-US"/>
        </w:rPr>
      </w:pPr>
      <w:r w:rsidRPr="003E7B62">
        <w:rPr>
          <w:rStyle w:val="Voetnootmarkering"/>
          <w:rFonts w:ascii="Cambria" w:hAnsi="Cambria" w:cs="Garamond"/>
          <w:sz w:val="16"/>
          <w:szCs w:val="16"/>
        </w:rPr>
        <w:footnoteRef/>
      </w:r>
      <w:r w:rsidR="00FC5F2F" w:rsidRPr="00FC5F2F">
        <w:rPr>
          <w:rFonts w:ascii="Cambria" w:hAnsi="Cambria" w:cs="Garamond"/>
          <w:sz w:val="16"/>
          <w:szCs w:val="16"/>
          <w:lang w:val="es-ES"/>
        </w:rPr>
        <w:t xml:space="preserve"> Case C-244/06, </w:t>
      </w:r>
      <w:r w:rsidR="00FC5F2F" w:rsidRPr="00FC5F2F">
        <w:rPr>
          <w:rFonts w:ascii="Cambria" w:hAnsi="Cambria" w:cs="Garamond"/>
          <w:i/>
          <w:iCs/>
          <w:sz w:val="16"/>
          <w:szCs w:val="16"/>
          <w:lang w:val="es-ES"/>
        </w:rPr>
        <w:t>Dynamic Medien</w:t>
      </w:r>
      <w:r w:rsidR="00FC5F2F" w:rsidRPr="00FC5F2F">
        <w:rPr>
          <w:rFonts w:ascii="Cambria" w:hAnsi="Cambria" w:cs="Garamond"/>
          <w:sz w:val="16"/>
          <w:szCs w:val="16"/>
          <w:lang w:val="es-ES"/>
        </w:rPr>
        <w:t xml:space="preserve">, ECLI:EU:C:2008:85, para. </w:t>
      </w:r>
      <w:r w:rsidR="00FC5F2F" w:rsidRPr="00FC5F2F">
        <w:rPr>
          <w:rFonts w:ascii="Cambria" w:hAnsi="Cambria" w:cs="Garamond"/>
          <w:sz w:val="16"/>
          <w:szCs w:val="16"/>
          <w:lang w:val="en-US"/>
        </w:rPr>
        <w:t>42.</w:t>
      </w:r>
    </w:p>
  </w:footnote>
  <w:footnote w:id="69">
    <w:p w:rsidR="00386DDC" w:rsidRPr="00B34A94" w:rsidRDefault="00386DDC">
      <w:pPr>
        <w:pStyle w:val="Voetnoottekst"/>
        <w:jc w:val="both"/>
        <w:rPr>
          <w:rFonts w:ascii="Cambria" w:hAnsi="Cambria"/>
          <w:sz w:val="16"/>
          <w:szCs w:val="16"/>
          <w:highlight w:val="yellow"/>
        </w:rPr>
      </w:pPr>
      <w:r w:rsidRPr="00B34A94">
        <w:rPr>
          <w:rStyle w:val="Voetnootmarkering"/>
          <w:rFonts w:ascii="Cambria" w:hAnsi="Cambria" w:cs="Garamond"/>
          <w:sz w:val="16"/>
          <w:szCs w:val="16"/>
        </w:rPr>
        <w:footnoteRef/>
      </w:r>
      <w:r w:rsidR="00FC5F2F" w:rsidRPr="00FC5F2F">
        <w:rPr>
          <w:rFonts w:ascii="Cambria" w:hAnsi="Cambria" w:cs="Garamond"/>
          <w:sz w:val="16"/>
          <w:szCs w:val="16"/>
          <w:lang w:val="en-US"/>
        </w:rPr>
        <w:t xml:space="preserve"> K. LENAERTS and J.A. </w:t>
      </w:r>
      <w:r w:rsidRPr="00B34A94">
        <w:rPr>
          <w:rFonts w:ascii="Cambria" w:hAnsi="Cambria" w:cs="Garamond"/>
          <w:sz w:val="16"/>
          <w:szCs w:val="16"/>
        </w:rPr>
        <w:t xml:space="preserve">GUTIÉRREZ-FONS, 'The constitutional allocation of powers and general principles of EU law' (2010) 47 </w:t>
      </w:r>
      <w:r w:rsidRPr="00B34A94">
        <w:rPr>
          <w:rFonts w:ascii="Cambria" w:hAnsi="Cambria" w:cs="Garamond"/>
          <w:i/>
          <w:sz w:val="16"/>
          <w:szCs w:val="16"/>
        </w:rPr>
        <w:t>CML. Rev.</w:t>
      </w:r>
      <w:r w:rsidRPr="00B34A94">
        <w:rPr>
          <w:rFonts w:ascii="Cambria" w:hAnsi="Cambria" w:cs="Garamond"/>
          <w:sz w:val="16"/>
          <w:szCs w:val="16"/>
        </w:rPr>
        <w:t>,  pp. 1629–1669.</w:t>
      </w:r>
    </w:p>
  </w:footnote>
  <w:footnote w:id="70">
    <w:p w:rsidR="00386DDC" w:rsidRPr="00110B03" w:rsidRDefault="00386DDC">
      <w:pPr>
        <w:pStyle w:val="Voetnoottekst"/>
        <w:jc w:val="both"/>
        <w:rPr>
          <w:rFonts w:ascii="Cambria" w:hAnsi="Cambria" w:cs="Garamond"/>
          <w:sz w:val="16"/>
          <w:szCs w:val="16"/>
          <w:lang w:val="en-US"/>
        </w:rPr>
      </w:pPr>
      <w:r w:rsidRPr="00B34A94">
        <w:rPr>
          <w:rStyle w:val="Voetnootmarkering"/>
          <w:rFonts w:ascii="Cambria" w:hAnsi="Cambria" w:cs="Garamond"/>
          <w:sz w:val="16"/>
          <w:szCs w:val="16"/>
        </w:rPr>
        <w:footnoteRef/>
      </w:r>
      <w:r w:rsidR="00FC5F2F" w:rsidRPr="00FC5F2F">
        <w:rPr>
          <w:rFonts w:ascii="Cambria" w:hAnsi="Cambria" w:cs="Garamond"/>
          <w:sz w:val="16"/>
          <w:szCs w:val="16"/>
          <w:lang w:val="en-US"/>
        </w:rPr>
        <w:t xml:space="preserve"> </w:t>
      </w:r>
      <w:r w:rsidRPr="00B34A94">
        <w:rPr>
          <w:rFonts w:ascii="Cambria" w:hAnsi="Cambria" w:cs="Garamond"/>
          <w:sz w:val="16"/>
          <w:szCs w:val="16"/>
        </w:rPr>
        <w:t xml:space="preserve">T. TRIDIMAS, </w:t>
      </w:r>
      <w:r w:rsidRPr="00B34A94">
        <w:rPr>
          <w:rFonts w:ascii="Cambria" w:hAnsi="Cambria" w:cs="Garamond"/>
          <w:i/>
          <w:sz w:val="16"/>
          <w:szCs w:val="16"/>
        </w:rPr>
        <w:t>General principles of EU law</w:t>
      </w:r>
      <w:r w:rsidRPr="00B34A94">
        <w:rPr>
          <w:rFonts w:ascii="Cambria" w:hAnsi="Cambria" w:cs="Garamond"/>
          <w:sz w:val="16"/>
          <w:szCs w:val="16"/>
        </w:rPr>
        <w:t xml:space="preserve">, Oxford University Press, Oxford 2006, </w:t>
      </w:r>
      <w:r w:rsidRPr="00B34A94">
        <w:rPr>
          <w:rFonts w:ascii="Cambria" w:hAnsi="Cambria" w:cs="Garamond"/>
          <w:iCs/>
          <w:sz w:val="16"/>
          <w:szCs w:val="16"/>
        </w:rPr>
        <w:t xml:space="preserve">pp. </w:t>
      </w:r>
      <w:r w:rsidR="00FC5F2F" w:rsidRPr="00FC5F2F">
        <w:rPr>
          <w:rFonts w:ascii="Cambria" w:hAnsi="Cambria" w:cs="Garamond"/>
          <w:sz w:val="16"/>
          <w:szCs w:val="16"/>
          <w:lang w:val="en-US"/>
        </w:rPr>
        <w:t>341.</w:t>
      </w:r>
    </w:p>
  </w:footnote>
  <w:footnote w:id="71">
    <w:p w:rsidR="00386DDC" w:rsidRPr="00110B03" w:rsidRDefault="00386DDC">
      <w:pPr>
        <w:pStyle w:val="Voetnoottekst"/>
        <w:jc w:val="both"/>
        <w:rPr>
          <w:rFonts w:ascii="Cambria" w:hAnsi="Cambria"/>
          <w:sz w:val="16"/>
          <w:szCs w:val="16"/>
          <w:lang w:val="en-US"/>
        </w:rPr>
      </w:pPr>
      <w:r w:rsidRPr="00B34A94">
        <w:rPr>
          <w:rStyle w:val="Voetnootmarkering"/>
          <w:rFonts w:ascii="Cambria" w:hAnsi="Cambria" w:cs="Garamond"/>
          <w:sz w:val="16"/>
          <w:szCs w:val="16"/>
        </w:rPr>
        <w:footnoteRef/>
      </w:r>
      <w:r w:rsidR="00FC5F2F" w:rsidRPr="00FC5F2F">
        <w:rPr>
          <w:rFonts w:ascii="Cambria" w:hAnsi="Cambria" w:cs="Garamond"/>
          <w:sz w:val="16"/>
          <w:szCs w:val="16"/>
          <w:lang w:val="en-US"/>
        </w:rPr>
        <w:t xml:space="preserve"> Sayn-Wittgenstein, </w:t>
      </w:r>
      <w:r w:rsidR="00FC5F2F" w:rsidRPr="00FC5F2F">
        <w:rPr>
          <w:rFonts w:ascii="Cambria" w:hAnsi="Cambria" w:cs="Garamond"/>
          <w:i/>
          <w:sz w:val="16"/>
          <w:szCs w:val="16"/>
          <w:lang w:val="en-US"/>
        </w:rPr>
        <w:t xml:space="preserve">supra </w:t>
      </w:r>
      <w:r w:rsidR="00FC5F2F" w:rsidRPr="00FC5F2F">
        <w:rPr>
          <w:rFonts w:ascii="Cambria" w:hAnsi="Cambria" w:cs="Garamond"/>
          <w:sz w:val="16"/>
          <w:szCs w:val="16"/>
          <w:lang w:val="en-US"/>
        </w:rPr>
        <w:t xml:space="preserve">at </w:t>
      </w:r>
      <w:fldSimple w:instr=" NOTEREF _Ref420509098 \h  \* MERGEFORMAT ">
        <w:r w:rsidR="00FC5F2F" w:rsidRPr="00FC5F2F">
          <w:rPr>
            <w:rFonts w:ascii="Cambria" w:hAnsi="Cambria" w:cs="Garamond"/>
            <w:sz w:val="16"/>
            <w:szCs w:val="16"/>
            <w:lang w:val="en-US"/>
          </w:rPr>
          <w:t>67</w:t>
        </w:r>
      </w:fldSimple>
      <w:r w:rsidR="00FC5F2F" w:rsidRPr="00FC5F2F">
        <w:rPr>
          <w:rFonts w:ascii="Cambria" w:hAnsi="Cambria" w:cs="Garamond"/>
          <w:sz w:val="16"/>
          <w:szCs w:val="16"/>
          <w:lang w:val="en-US"/>
        </w:rPr>
        <w:t>, para. 92.</w:t>
      </w:r>
    </w:p>
  </w:footnote>
  <w:footnote w:id="72">
    <w:p w:rsidR="00386DDC" w:rsidRPr="00B34A94" w:rsidRDefault="00386DDC">
      <w:pPr>
        <w:pStyle w:val="Voetnoottekst"/>
        <w:jc w:val="both"/>
        <w:rPr>
          <w:rFonts w:ascii="Cambria" w:hAnsi="Cambria"/>
          <w:sz w:val="16"/>
          <w:szCs w:val="16"/>
        </w:rPr>
      </w:pPr>
      <w:r w:rsidRPr="00B34A94">
        <w:rPr>
          <w:rStyle w:val="Voetnootmarkering"/>
          <w:rFonts w:ascii="Cambria" w:hAnsi="Cambria" w:cs="Garamond"/>
          <w:sz w:val="16"/>
          <w:szCs w:val="16"/>
        </w:rPr>
        <w:footnoteRef/>
      </w:r>
      <w:r w:rsidRPr="00B34A94">
        <w:rPr>
          <w:rFonts w:ascii="Cambria" w:hAnsi="Cambria" w:cs="Garamond"/>
          <w:sz w:val="16"/>
          <w:szCs w:val="16"/>
        </w:rPr>
        <w:t xml:space="preserve"> A. VON BOGDANDY and S. SCHILL, ‘Overcoming absolute primacy: respect for national identity under the Lisbon Treaty’ (2011) 48 </w:t>
      </w:r>
      <w:r w:rsidRPr="00B34A94">
        <w:rPr>
          <w:rFonts w:ascii="Cambria" w:hAnsi="Cambria" w:cs="Garamond"/>
          <w:i/>
          <w:iCs/>
          <w:sz w:val="16"/>
          <w:szCs w:val="16"/>
        </w:rPr>
        <w:t>CML Rev.</w:t>
      </w:r>
      <w:r w:rsidRPr="00B34A94">
        <w:rPr>
          <w:rFonts w:ascii="Cambria" w:hAnsi="Cambria" w:cs="Garamond"/>
          <w:iCs/>
          <w:sz w:val="16"/>
          <w:szCs w:val="16"/>
        </w:rPr>
        <w:t>, pp.</w:t>
      </w:r>
      <w:r w:rsidRPr="00B34A94">
        <w:rPr>
          <w:rFonts w:ascii="Cambria" w:hAnsi="Cambria" w:cs="Garamond"/>
          <w:sz w:val="16"/>
          <w:szCs w:val="16"/>
        </w:rPr>
        <w:t xml:space="preserve"> 1417, 1425.</w:t>
      </w:r>
    </w:p>
  </w:footnote>
  <w:footnote w:id="73">
    <w:p w:rsidR="00386DDC" w:rsidRPr="00B34A94" w:rsidRDefault="00386DDC">
      <w:pPr>
        <w:pStyle w:val="Voetnoottekst"/>
        <w:jc w:val="both"/>
        <w:rPr>
          <w:rFonts w:ascii="Cambria" w:hAnsi="Cambria"/>
          <w:sz w:val="16"/>
          <w:szCs w:val="16"/>
        </w:rPr>
      </w:pPr>
      <w:r w:rsidRPr="00B34A94">
        <w:rPr>
          <w:rStyle w:val="Voetnootmarkering"/>
          <w:rFonts w:ascii="Cambria" w:hAnsi="Cambria" w:cs="Garamond"/>
          <w:sz w:val="16"/>
          <w:szCs w:val="16"/>
        </w:rPr>
        <w:footnoteRef/>
      </w:r>
      <w:r w:rsidRPr="00B34A94">
        <w:rPr>
          <w:rFonts w:ascii="Cambria" w:hAnsi="Cambria" w:cs="Garamond"/>
          <w:i/>
          <w:iCs/>
          <w:sz w:val="16"/>
          <w:szCs w:val="16"/>
        </w:rPr>
        <w:t xml:space="preserve"> </w:t>
      </w:r>
      <w:r w:rsidRPr="00B34A94">
        <w:rPr>
          <w:rFonts w:ascii="Cambria" w:hAnsi="Cambria" w:cs="Garamond"/>
          <w:sz w:val="16"/>
          <w:szCs w:val="16"/>
        </w:rPr>
        <w:t xml:space="preserve">Schmidberger, </w:t>
      </w:r>
      <w:r w:rsidRPr="00B34A94">
        <w:rPr>
          <w:rFonts w:ascii="Cambria" w:hAnsi="Cambria"/>
          <w:i/>
          <w:sz w:val="16"/>
          <w:szCs w:val="16"/>
          <w:lang w:val="en-US"/>
        </w:rPr>
        <w:t xml:space="preserve">supra </w:t>
      </w:r>
      <w:r>
        <w:rPr>
          <w:rFonts w:ascii="Cambria" w:hAnsi="Cambria"/>
          <w:sz w:val="16"/>
          <w:szCs w:val="16"/>
          <w:lang w:val="en-US"/>
        </w:rPr>
        <w:t xml:space="preserve">at </w:t>
      </w:r>
      <w:fldSimple w:instr=" NOTEREF _Ref420509047 \h  \* MERGEFORMAT ">
        <w:r w:rsidRPr="00B34A94">
          <w:rPr>
            <w:rFonts w:ascii="Cambria" w:hAnsi="Cambria"/>
            <w:sz w:val="16"/>
            <w:szCs w:val="16"/>
            <w:lang w:val="en-US"/>
          </w:rPr>
          <w:t>66</w:t>
        </w:r>
      </w:fldSimple>
      <w:r w:rsidRPr="00B34A94">
        <w:rPr>
          <w:rFonts w:ascii="Cambria" w:hAnsi="Cambria"/>
          <w:i/>
          <w:sz w:val="16"/>
          <w:szCs w:val="16"/>
          <w:lang w:val="en-US"/>
        </w:rPr>
        <w:t xml:space="preserve">, </w:t>
      </w:r>
      <w:r w:rsidRPr="00B34A94">
        <w:rPr>
          <w:rFonts w:ascii="Cambria" w:hAnsi="Cambria" w:cs="Garamond"/>
          <w:sz w:val="16"/>
          <w:szCs w:val="16"/>
        </w:rPr>
        <w:t>para 89.</w:t>
      </w:r>
    </w:p>
  </w:footnote>
  <w:footnote w:id="74">
    <w:p w:rsidR="00386DDC" w:rsidRPr="00B34A94" w:rsidRDefault="00386DDC">
      <w:pPr>
        <w:pStyle w:val="Voetnoottekst"/>
        <w:rPr>
          <w:rFonts w:ascii="Cambria" w:hAnsi="Cambria"/>
          <w:b/>
          <w:sz w:val="16"/>
          <w:szCs w:val="16"/>
        </w:rPr>
      </w:pPr>
      <w:r w:rsidRPr="00B34A94">
        <w:rPr>
          <w:rStyle w:val="Voetnootmarkering"/>
          <w:rFonts w:ascii="Cambria" w:hAnsi="Cambria"/>
          <w:sz w:val="16"/>
          <w:szCs w:val="16"/>
        </w:rPr>
        <w:footnoteRef/>
      </w:r>
      <w:r w:rsidRPr="00B34A94">
        <w:rPr>
          <w:rFonts w:ascii="Cambria" w:hAnsi="Cambria"/>
          <w:sz w:val="16"/>
          <w:szCs w:val="16"/>
        </w:rPr>
        <w:t xml:space="preserve"> Case 96/67, </w:t>
      </w:r>
      <w:r w:rsidRPr="00B34A94">
        <w:rPr>
          <w:rFonts w:ascii="Cambria" w:hAnsi="Cambria"/>
          <w:i/>
          <w:sz w:val="16"/>
          <w:szCs w:val="16"/>
        </w:rPr>
        <w:t>Albany International v Stichting Bedrijfspensioenfonds Textielindustrie</w:t>
      </w:r>
      <w:r w:rsidRPr="00B34A94">
        <w:rPr>
          <w:rFonts w:ascii="Cambria" w:hAnsi="Cambria"/>
          <w:sz w:val="16"/>
          <w:szCs w:val="16"/>
        </w:rPr>
        <w:t>, [1999] ECR I-05751.</w:t>
      </w:r>
    </w:p>
  </w:footnote>
  <w:footnote w:id="75">
    <w:p w:rsidR="00386DDC" w:rsidRPr="00110B03" w:rsidRDefault="00386DDC">
      <w:pPr>
        <w:pStyle w:val="Voetnoottekst"/>
        <w:rPr>
          <w:rFonts w:ascii="Cambria" w:hAnsi="Cambria"/>
          <w:sz w:val="16"/>
          <w:szCs w:val="16"/>
          <w:lang w:val="es-ES"/>
        </w:rPr>
      </w:pPr>
      <w:r w:rsidRPr="00B34A94">
        <w:rPr>
          <w:rStyle w:val="Voetnootmarkering"/>
          <w:rFonts w:ascii="Cambria" w:hAnsi="Cambria"/>
          <w:sz w:val="16"/>
          <w:szCs w:val="16"/>
        </w:rPr>
        <w:footnoteRef/>
      </w:r>
      <w:r w:rsidR="00FC5F2F" w:rsidRPr="00FC5F2F">
        <w:rPr>
          <w:rFonts w:ascii="Cambria" w:hAnsi="Cambria"/>
          <w:sz w:val="16"/>
          <w:szCs w:val="16"/>
          <w:lang w:val="es-ES"/>
        </w:rPr>
        <w:t xml:space="preserve"> Albany, </w:t>
      </w:r>
      <w:r w:rsidR="00FC5F2F" w:rsidRPr="00FC5F2F">
        <w:rPr>
          <w:rFonts w:ascii="Cambria" w:hAnsi="Cambria"/>
          <w:i/>
          <w:sz w:val="16"/>
          <w:szCs w:val="16"/>
          <w:lang w:val="es-ES"/>
        </w:rPr>
        <w:t>supra</w:t>
      </w:r>
      <w:r w:rsidR="00FC5F2F" w:rsidRPr="00FC5F2F">
        <w:rPr>
          <w:rFonts w:ascii="Cambria" w:hAnsi="Cambria"/>
          <w:sz w:val="16"/>
          <w:szCs w:val="16"/>
          <w:lang w:val="es-ES"/>
        </w:rPr>
        <w:t xml:space="preserve"> at </w:t>
      </w:r>
      <w:fldSimple w:instr=" NOTEREF _Ref420509253 \h  \* MERGEFORMAT ">
        <w:r w:rsidR="00FC5F2F" w:rsidRPr="00FC5F2F">
          <w:rPr>
            <w:rFonts w:ascii="Cambria" w:hAnsi="Cambria"/>
            <w:sz w:val="16"/>
            <w:szCs w:val="16"/>
            <w:lang w:val="es-ES"/>
          </w:rPr>
          <w:t>74</w:t>
        </w:r>
      </w:fldSimple>
      <w:r w:rsidR="00FC5F2F" w:rsidRPr="00FC5F2F">
        <w:rPr>
          <w:rFonts w:ascii="Cambria" w:hAnsi="Cambria"/>
          <w:sz w:val="16"/>
          <w:szCs w:val="16"/>
          <w:lang w:val="es-ES"/>
        </w:rPr>
        <w:t>, para. 59.</w:t>
      </w:r>
    </w:p>
  </w:footnote>
  <w:footnote w:id="76">
    <w:p w:rsidR="00386DDC" w:rsidRPr="00B34A94" w:rsidRDefault="00386DDC">
      <w:pPr>
        <w:pStyle w:val="Voetnoottekst"/>
        <w:rPr>
          <w:rFonts w:ascii="Cambria" w:hAnsi="Cambria"/>
          <w:sz w:val="16"/>
          <w:szCs w:val="16"/>
        </w:rPr>
      </w:pPr>
      <w:r w:rsidRPr="00B34A94">
        <w:rPr>
          <w:rStyle w:val="Voetnootmarkering"/>
          <w:rFonts w:ascii="Cambria" w:hAnsi="Cambria"/>
          <w:sz w:val="16"/>
          <w:szCs w:val="16"/>
        </w:rPr>
        <w:footnoteRef/>
      </w:r>
      <w:r w:rsidR="00FC5F2F" w:rsidRPr="00FC5F2F">
        <w:rPr>
          <w:rFonts w:ascii="Cambria" w:hAnsi="Cambria"/>
          <w:sz w:val="16"/>
          <w:szCs w:val="16"/>
          <w:lang w:val="es-ES"/>
        </w:rPr>
        <w:t xml:space="preserve"> Albany, </w:t>
      </w:r>
      <w:r w:rsidR="00FC5F2F" w:rsidRPr="00FC5F2F">
        <w:rPr>
          <w:rFonts w:ascii="Cambria" w:hAnsi="Cambria"/>
          <w:i/>
          <w:sz w:val="16"/>
          <w:szCs w:val="16"/>
          <w:lang w:val="es-ES"/>
        </w:rPr>
        <w:t>supra</w:t>
      </w:r>
      <w:r w:rsidR="00FC5F2F" w:rsidRPr="00FC5F2F">
        <w:rPr>
          <w:rFonts w:ascii="Cambria" w:hAnsi="Cambria"/>
          <w:sz w:val="16"/>
          <w:szCs w:val="16"/>
          <w:lang w:val="es-ES"/>
        </w:rPr>
        <w:t xml:space="preserve"> at </w:t>
      </w:r>
      <w:fldSimple w:instr=" NOTEREF _Ref420509253 \h  \* MERGEFORMAT ">
        <w:r w:rsidR="00FC5F2F" w:rsidRPr="00FC5F2F">
          <w:rPr>
            <w:rFonts w:ascii="Cambria" w:hAnsi="Cambria"/>
            <w:sz w:val="16"/>
            <w:szCs w:val="16"/>
            <w:lang w:val="es-ES"/>
          </w:rPr>
          <w:t>74</w:t>
        </w:r>
      </w:fldSimple>
      <w:r w:rsidR="00FC5F2F" w:rsidRPr="00FC5F2F">
        <w:rPr>
          <w:rFonts w:ascii="Cambria" w:hAnsi="Cambria"/>
          <w:sz w:val="16"/>
          <w:szCs w:val="16"/>
          <w:lang w:val="es-ES"/>
        </w:rPr>
        <w:t xml:space="preserve">, para. </w:t>
      </w:r>
      <w:r w:rsidRPr="00B34A94">
        <w:rPr>
          <w:rFonts w:ascii="Cambria" w:hAnsi="Cambria"/>
          <w:sz w:val="16"/>
          <w:szCs w:val="16"/>
        </w:rPr>
        <w:t>60.</w:t>
      </w:r>
    </w:p>
  </w:footnote>
  <w:footnote w:id="77">
    <w:p w:rsidR="00386DDC" w:rsidRPr="00B34A94" w:rsidRDefault="00386DDC">
      <w:pPr>
        <w:pStyle w:val="Voetnoottekst"/>
        <w:rPr>
          <w:rFonts w:ascii="Cambria" w:hAnsi="Cambria"/>
          <w:sz w:val="16"/>
          <w:szCs w:val="16"/>
        </w:rPr>
      </w:pPr>
      <w:r w:rsidRPr="00B34A94">
        <w:rPr>
          <w:rStyle w:val="Voetnootmarkering"/>
          <w:rFonts w:ascii="Cambria" w:hAnsi="Cambria"/>
          <w:sz w:val="16"/>
          <w:szCs w:val="16"/>
        </w:rPr>
        <w:footnoteRef/>
      </w:r>
      <w:r w:rsidRPr="00B34A94">
        <w:rPr>
          <w:rFonts w:ascii="Cambria" w:hAnsi="Cambria"/>
          <w:sz w:val="16"/>
          <w:szCs w:val="16"/>
        </w:rPr>
        <w:t xml:space="preserve"> See Viking, </w:t>
      </w:r>
      <w:r w:rsidRPr="00B34A94">
        <w:rPr>
          <w:rFonts w:ascii="Cambria" w:hAnsi="Cambria"/>
          <w:i/>
          <w:sz w:val="16"/>
          <w:szCs w:val="16"/>
        </w:rPr>
        <w:t>supra</w:t>
      </w:r>
      <w:r w:rsidRPr="00B34A94">
        <w:rPr>
          <w:rFonts w:ascii="Cambria" w:hAnsi="Cambria"/>
          <w:sz w:val="16"/>
          <w:szCs w:val="16"/>
        </w:rPr>
        <w:t xml:space="preserve"> at </w:t>
      </w:r>
      <w:fldSimple w:instr=" NOTEREF _Ref420507988 \h  \* MERGEFORMAT ">
        <w:r w:rsidRPr="00B34A94">
          <w:t>3</w:t>
        </w:r>
      </w:fldSimple>
      <w:r w:rsidRPr="00B34A94">
        <w:rPr>
          <w:rFonts w:ascii="Cambria" w:hAnsi="Cambria"/>
          <w:sz w:val="16"/>
          <w:szCs w:val="16"/>
        </w:rPr>
        <w:t>.</w:t>
      </w:r>
    </w:p>
  </w:footnote>
  <w:footnote w:id="78">
    <w:p w:rsidR="00386DDC" w:rsidRPr="00B34A94" w:rsidRDefault="00386DDC" w:rsidP="000B2D96">
      <w:pPr>
        <w:pStyle w:val="Voetnoottekst"/>
        <w:rPr>
          <w:rFonts w:ascii="Cambria" w:hAnsi="Cambria"/>
          <w:sz w:val="16"/>
          <w:szCs w:val="16"/>
        </w:rPr>
      </w:pPr>
      <w:r w:rsidRPr="00B34A94">
        <w:rPr>
          <w:rStyle w:val="Voetnootmarkering"/>
          <w:rFonts w:ascii="Cambria" w:hAnsi="Cambria"/>
          <w:sz w:val="16"/>
          <w:szCs w:val="16"/>
        </w:rPr>
        <w:footnoteRef/>
      </w:r>
      <w:r w:rsidRPr="00B34A94">
        <w:rPr>
          <w:rFonts w:ascii="Cambria" w:hAnsi="Cambria"/>
          <w:sz w:val="16"/>
          <w:szCs w:val="16"/>
        </w:rPr>
        <w:t xml:space="preserve"> See also </w:t>
      </w:r>
      <w:r w:rsidRPr="00B34A94">
        <w:rPr>
          <w:rFonts w:ascii="Cambria" w:hAnsi="Cambria" w:cs="Times New Roman"/>
          <w:sz w:val="16"/>
          <w:szCs w:val="16"/>
        </w:rPr>
        <w:t>WEATHERILL</w:t>
      </w:r>
      <w:r>
        <w:rPr>
          <w:rFonts w:ascii="Cambria" w:hAnsi="Cambria" w:cs="Times New Roman"/>
          <w:sz w:val="16"/>
          <w:szCs w:val="16"/>
        </w:rPr>
        <w:t xml:space="preserve">, </w:t>
      </w:r>
      <w:r w:rsidRPr="00B34A94">
        <w:rPr>
          <w:rFonts w:ascii="Cambria" w:hAnsi="Cambria" w:cs="Times New Roman"/>
          <w:i/>
          <w:sz w:val="16"/>
          <w:szCs w:val="16"/>
        </w:rPr>
        <w:t>supra</w:t>
      </w:r>
      <w:r w:rsidRPr="00B34A94">
        <w:rPr>
          <w:rFonts w:ascii="Cambria" w:hAnsi="Cambria" w:cs="Times New Roman"/>
          <w:sz w:val="16"/>
          <w:szCs w:val="16"/>
        </w:rPr>
        <w:t xml:space="preserve"> at </w:t>
      </w:r>
      <w:fldSimple w:instr=" NOTEREF _Ref420512854 \h  \* MERGEFORMAT ">
        <w:r w:rsidRPr="00B34A94">
          <w:rPr>
            <w:rFonts w:ascii="Cambria" w:hAnsi="Cambria" w:cs="Times New Roman"/>
            <w:sz w:val="16"/>
            <w:szCs w:val="16"/>
          </w:rPr>
          <w:t>44</w:t>
        </w:r>
      </w:fldSimple>
      <w:r w:rsidRPr="00B34A94">
        <w:rPr>
          <w:rFonts w:ascii="Cambria" w:hAnsi="Cambria" w:cs="Times New Roman"/>
          <w:sz w:val="16"/>
          <w:szCs w:val="16"/>
        </w:rPr>
        <w:t xml:space="preserve">, </w:t>
      </w:r>
      <w:r w:rsidRPr="00B34A94">
        <w:rPr>
          <w:rFonts w:ascii="Cambria" w:hAnsi="Cambria"/>
          <w:sz w:val="16"/>
          <w:szCs w:val="16"/>
        </w:rPr>
        <w:t>p. 17.</w:t>
      </w:r>
    </w:p>
  </w:footnote>
  <w:footnote w:id="79">
    <w:p w:rsidR="00386DDC" w:rsidRPr="00B34A94" w:rsidRDefault="00386DDC">
      <w:pPr>
        <w:pStyle w:val="Voetnoottekst"/>
        <w:rPr>
          <w:rFonts w:ascii="Cambria" w:hAnsi="Cambria"/>
          <w:sz w:val="16"/>
          <w:szCs w:val="16"/>
          <w:lang w:val="es-ES"/>
        </w:rPr>
      </w:pPr>
      <w:r w:rsidRPr="00B34A94">
        <w:rPr>
          <w:rStyle w:val="Voetnootmarkering"/>
          <w:rFonts w:ascii="Cambria" w:hAnsi="Cambria"/>
          <w:sz w:val="16"/>
          <w:szCs w:val="16"/>
        </w:rPr>
        <w:footnoteRef/>
      </w:r>
      <w:r w:rsidRPr="00B34A94">
        <w:rPr>
          <w:rFonts w:ascii="Cambria" w:hAnsi="Cambria"/>
          <w:sz w:val="16"/>
          <w:szCs w:val="16"/>
          <w:lang w:val="es-ES"/>
        </w:rPr>
        <w:t xml:space="preserve"> </w:t>
      </w:r>
      <w:r w:rsidR="00FC5F2F" w:rsidRPr="00FC5F2F">
        <w:rPr>
          <w:rFonts w:ascii="Cambria" w:hAnsi="Cambria"/>
          <w:iCs/>
          <w:sz w:val="16"/>
          <w:szCs w:val="16"/>
          <w:lang w:val="es-ES"/>
        </w:rPr>
        <w:t>Viking,</w:t>
      </w:r>
      <w:r w:rsidR="00FC5F2F" w:rsidRPr="00FC5F2F">
        <w:rPr>
          <w:rFonts w:ascii="Cambria" w:hAnsi="Cambria"/>
          <w:sz w:val="16"/>
          <w:szCs w:val="16"/>
          <w:lang w:val="es-ES"/>
        </w:rPr>
        <w:t xml:space="preserve"> </w:t>
      </w:r>
      <w:r w:rsidR="00FC5F2F" w:rsidRPr="00FC5F2F">
        <w:rPr>
          <w:rFonts w:ascii="Cambria" w:hAnsi="Cambria"/>
          <w:i/>
          <w:sz w:val="16"/>
          <w:szCs w:val="16"/>
          <w:lang w:val="es-ES"/>
        </w:rPr>
        <w:t>supra</w:t>
      </w:r>
      <w:r w:rsidR="00FC5F2F" w:rsidRPr="00FC5F2F">
        <w:rPr>
          <w:rFonts w:ascii="Cambria" w:hAnsi="Cambria"/>
          <w:sz w:val="16"/>
          <w:szCs w:val="16"/>
          <w:lang w:val="es-ES"/>
        </w:rPr>
        <w:t xml:space="preserve"> at </w:t>
      </w:r>
      <w:fldSimple w:instr=" NOTEREF _Ref420507988 \h  \* MERGEFORMAT ">
        <w:r w:rsidR="00FC5F2F" w:rsidRPr="00FC5F2F">
          <w:rPr>
            <w:lang w:val="es-ES"/>
          </w:rPr>
          <w:t>3</w:t>
        </w:r>
      </w:fldSimple>
      <w:r w:rsidR="00FC5F2F" w:rsidRPr="00FC5F2F">
        <w:rPr>
          <w:rFonts w:ascii="Cambria" w:hAnsi="Cambria"/>
          <w:sz w:val="16"/>
          <w:szCs w:val="16"/>
          <w:lang w:val="es-ES"/>
        </w:rPr>
        <w:t xml:space="preserve">, </w:t>
      </w:r>
      <w:r w:rsidRPr="00B34A94">
        <w:rPr>
          <w:rFonts w:ascii="Cambria" w:hAnsi="Cambria"/>
          <w:sz w:val="16"/>
          <w:szCs w:val="16"/>
          <w:lang w:val="es-ES"/>
        </w:rPr>
        <w:t>para. 81.</w:t>
      </w:r>
    </w:p>
  </w:footnote>
  <w:footnote w:id="80">
    <w:p w:rsidR="00386DDC" w:rsidRPr="00110B03" w:rsidRDefault="00386DDC" w:rsidP="00E3755E">
      <w:pPr>
        <w:pStyle w:val="Voetnoottekst"/>
        <w:jc w:val="both"/>
        <w:rPr>
          <w:rFonts w:ascii="Cambria" w:hAnsi="Cambria"/>
          <w:sz w:val="16"/>
          <w:szCs w:val="16"/>
          <w:highlight w:val="yellow"/>
          <w:lang w:val="es-ES"/>
        </w:rPr>
      </w:pPr>
      <w:r w:rsidRPr="00B34A94">
        <w:rPr>
          <w:rStyle w:val="Voetnootmarkering"/>
          <w:rFonts w:ascii="Cambria" w:hAnsi="Cambria"/>
          <w:sz w:val="16"/>
          <w:szCs w:val="16"/>
        </w:rPr>
        <w:footnoteRef/>
      </w:r>
      <w:r w:rsidRPr="00B34A94">
        <w:rPr>
          <w:rFonts w:ascii="Cambria" w:hAnsi="Cambria"/>
          <w:sz w:val="16"/>
          <w:szCs w:val="16"/>
          <w:lang w:val="es-ES"/>
        </w:rPr>
        <w:t xml:space="preserve"> </w:t>
      </w:r>
      <w:r w:rsidR="00FC5F2F" w:rsidRPr="00FC5F2F">
        <w:rPr>
          <w:rFonts w:ascii="Cambria" w:hAnsi="Cambria"/>
          <w:iCs/>
          <w:sz w:val="16"/>
          <w:szCs w:val="16"/>
          <w:lang w:val="es-ES"/>
        </w:rPr>
        <w:t>Laval,</w:t>
      </w:r>
      <w:r w:rsidR="00FC5F2F" w:rsidRPr="00FC5F2F">
        <w:rPr>
          <w:rFonts w:ascii="Cambria" w:hAnsi="Cambria"/>
          <w:sz w:val="16"/>
          <w:szCs w:val="16"/>
          <w:lang w:val="es-ES"/>
        </w:rPr>
        <w:t xml:space="preserve"> </w:t>
      </w:r>
      <w:r w:rsidR="00FC5F2F" w:rsidRPr="00FC5F2F">
        <w:rPr>
          <w:rFonts w:ascii="Cambria" w:hAnsi="Cambria"/>
          <w:i/>
          <w:sz w:val="16"/>
          <w:szCs w:val="16"/>
          <w:lang w:val="es-ES"/>
        </w:rPr>
        <w:t>supra</w:t>
      </w:r>
      <w:r w:rsidR="00FC5F2F" w:rsidRPr="00FC5F2F">
        <w:rPr>
          <w:rFonts w:ascii="Cambria" w:hAnsi="Cambria"/>
          <w:sz w:val="16"/>
          <w:szCs w:val="16"/>
          <w:lang w:val="es-ES"/>
        </w:rPr>
        <w:t xml:space="preserve"> at </w:t>
      </w:r>
      <w:fldSimple w:instr=" NOTEREF _Ref420507988 \h  \* MERGEFORMAT ">
        <w:r w:rsidR="00FC5F2F" w:rsidRPr="00FC5F2F">
          <w:rPr>
            <w:lang w:val="es-ES"/>
          </w:rPr>
          <w:t>3</w:t>
        </w:r>
      </w:fldSimple>
      <w:r w:rsidR="00FC5F2F" w:rsidRPr="00FC5F2F">
        <w:rPr>
          <w:rFonts w:ascii="Cambria" w:hAnsi="Cambria"/>
          <w:sz w:val="16"/>
          <w:szCs w:val="16"/>
          <w:lang w:val="es-ES"/>
        </w:rPr>
        <w:t xml:space="preserve">, </w:t>
      </w:r>
      <w:r w:rsidRPr="00B34A94">
        <w:rPr>
          <w:rFonts w:ascii="Cambria" w:hAnsi="Cambria"/>
          <w:sz w:val="16"/>
          <w:szCs w:val="16"/>
          <w:lang w:val="es-ES"/>
        </w:rPr>
        <w:t xml:space="preserve">para. 98; </w:t>
      </w:r>
      <w:r w:rsidR="00FC5F2F" w:rsidRPr="00FC5F2F">
        <w:rPr>
          <w:rFonts w:ascii="Cambria" w:hAnsi="Cambria"/>
          <w:iCs/>
          <w:sz w:val="16"/>
          <w:szCs w:val="16"/>
          <w:lang w:val="es-ES"/>
        </w:rPr>
        <w:t>Viking</w:t>
      </w:r>
      <w:r w:rsidR="00FC5F2F" w:rsidRPr="00FC5F2F">
        <w:rPr>
          <w:rFonts w:ascii="Cambria" w:hAnsi="Cambria"/>
          <w:sz w:val="16"/>
          <w:szCs w:val="16"/>
          <w:lang w:val="es-ES"/>
        </w:rPr>
        <w:t xml:space="preserve"> </w:t>
      </w:r>
      <w:r w:rsidR="00FC5F2F" w:rsidRPr="00FC5F2F">
        <w:rPr>
          <w:rFonts w:ascii="Cambria" w:hAnsi="Cambria"/>
          <w:i/>
          <w:sz w:val="16"/>
          <w:szCs w:val="16"/>
          <w:lang w:val="es-ES"/>
        </w:rPr>
        <w:t>supra</w:t>
      </w:r>
      <w:r w:rsidR="00FC5F2F" w:rsidRPr="00FC5F2F">
        <w:rPr>
          <w:rFonts w:ascii="Cambria" w:hAnsi="Cambria"/>
          <w:sz w:val="16"/>
          <w:szCs w:val="16"/>
          <w:lang w:val="es-ES"/>
        </w:rPr>
        <w:t xml:space="preserve"> at </w:t>
      </w:r>
      <w:fldSimple w:instr=" NOTEREF _Ref420507988 \h  \* MERGEFORMAT ">
        <w:r w:rsidR="00FC5F2F" w:rsidRPr="00FC5F2F">
          <w:rPr>
            <w:lang w:val="es-ES"/>
          </w:rPr>
          <w:t>3</w:t>
        </w:r>
      </w:fldSimple>
      <w:r w:rsidR="00FC5F2F" w:rsidRPr="00FC5F2F">
        <w:rPr>
          <w:rFonts w:ascii="Cambria" w:hAnsi="Cambria"/>
          <w:sz w:val="16"/>
          <w:szCs w:val="16"/>
          <w:lang w:val="es-ES"/>
        </w:rPr>
        <w:t xml:space="preserve">, </w:t>
      </w:r>
      <w:r w:rsidRPr="00B34A94">
        <w:rPr>
          <w:rFonts w:ascii="Cambria" w:hAnsi="Cambria"/>
          <w:sz w:val="16"/>
          <w:szCs w:val="16"/>
          <w:lang w:val="es-ES"/>
        </w:rPr>
        <w:t xml:space="preserve">para. </w:t>
      </w:r>
      <w:r w:rsidR="00FC5F2F" w:rsidRPr="00FC5F2F">
        <w:rPr>
          <w:rFonts w:ascii="Cambria" w:hAnsi="Cambria"/>
          <w:sz w:val="16"/>
          <w:szCs w:val="16"/>
          <w:lang w:val="es-ES"/>
        </w:rPr>
        <w:t>33.</w:t>
      </w:r>
    </w:p>
  </w:footnote>
  <w:footnote w:id="81">
    <w:p w:rsidR="00386DDC" w:rsidRPr="00110B03" w:rsidRDefault="00386DDC" w:rsidP="00BD3A90">
      <w:pPr>
        <w:pStyle w:val="Voetnoottekst"/>
        <w:jc w:val="both"/>
        <w:rPr>
          <w:rFonts w:ascii="Cambria" w:hAnsi="Cambria" w:cs="Times New Roman"/>
          <w:sz w:val="16"/>
          <w:szCs w:val="16"/>
          <w:lang w:val="es-ES"/>
        </w:rPr>
      </w:pPr>
      <w:r w:rsidRPr="00B34A94">
        <w:rPr>
          <w:rStyle w:val="Voetnootmarkering"/>
          <w:rFonts w:ascii="Cambria" w:hAnsi="Cambria"/>
          <w:sz w:val="16"/>
          <w:szCs w:val="16"/>
        </w:rPr>
        <w:footnoteRef/>
      </w:r>
      <w:r w:rsidR="00FC5F2F" w:rsidRPr="00FC5F2F">
        <w:rPr>
          <w:rFonts w:ascii="Cambria" w:hAnsi="Cambria"/>
          <w:sz w:val="16"/>
          <w:szCs w:val="16"/>
          <w:lang w:val="es-ES"/>
        </w:rPr>
        <w:t xml:space="preserve"> </w:t>
      </w:r>
      <w:r w:rsidR="00FC5F2F" w:rsidRPr="00FC5F2F">
        <w:rPr>
          <w:rFonts w:ascii="Cambria" w:hAnsi="Cambria"/>
          <w:iCs/>
          <w:sz w:val="16"/>
          <w:szCs w:val="16"/>
          <w:lang w:val="es-ES"/>
        </w:rPr>
        <w:t>Laval,</w:t>
      </w:r>
      <w:r w:rsidR="00FC5F2F" w:rsidRPr="00FC5F2F">
        <w:rPr>
          <w:rFonts w:ascii="Cambria" w:hAnsi="Cambria"/>
          <w:sz w:val="16"/>
          <w:szCs w:val="16"/>
          <w:lang w:val="es-ES"/>
        </w:rPr>
        <w:t xml:space="preserve"> </w:t>
      </w:r>
      <w:r w:rsidR="00FC5F2F" w:rsidRPr="00FC5F2F">
        <w:rPr>
          <w:rFonts w:ascii="Cambria" w:hAnsi="Cambria"/>
          <w:i/>
          <w:sz w:val="16"/>
          <w:szCs w:val="16"/>
          <w:lang w:val="es-ES"/>
        </w:rPr>
        <w:t>supra</w:t>
      </w:r>
      <w:r w:rsidR="00FC5F2F" w:rsidRPr="00FC5F2F">
        <w:rPr>
          <w:rFonts w:ascii="Cambria" w:hAnsi="Cambria"/>
          <w:sz w:val="16"/>
          <w:szCs w:val="16"/>
          <w:lang w:val="es-ES"/>
        </w:rPr>
        <w:t xml:space="preserve"> at </w:t>
      </w:r>
      <w:fldSimple w:instr=" NOTEREF _Ref420507988 \h  \* MERGEFORMAT ">
        <w:r w:rsidR="00FC5F2F" w:rsidRPr="00FC5F2F">
          <w:rPr>
            <w:lang w:val="es-ES"/>
          </w:rPr>
          <w:t>3</w:t>
        </w:r>
      </w:fldSimple>
      <w:r w:rsidR="00FC5F2F" w:rsidRPr="00FC5F2F">
        <w:rPr>
          <w:rFonts w:ascii="Cambria" w:hAnsi="Cambria"/>
          <w:sz w:val="16"/>
          <w:szCs w:val="16"/>
          <w:lang w:val="es-ES"/>
        </w:rPr>
        <w:t xml:space="preserve">, </w:t>
      </w:r>
      <w:r w:rsidRPr="00B34A94">
        <w:rPr>
          <w:rFonts w:ascii="Cambria" w:hAnsi="Cambria"/>
          <w:sz w:val="16"/>
          <w:szCs w:val="16"/>
          <w:lang w:val="es-ES"/>
        </w:rPr>
        <w:t>para. 84.</w:t>
      </w:r>
    </w:p>
  </w:footnote>
  <w:footnote w:id="82">
    <w:p w:rsidR="00386DDC" w:rsidRPr="00B34A94" w:rsidRDefault="00386DDC" w:rsidP="003F447C">
      <w:pPr>
        <w:pStyle w:val="Voetnoottekst"/>
        <w:jc w:val="both"/>
        <w:rPr>
          <w:rFonts w:ascii="Cambria" w:hAnsi="Cambria" w:cs="Times New Roman"/>
          <w:sz w:val="16"/>
          <w:szCs w:val="16"/>
        </w:rPr>
      </w:pPr>
      <w:r w:rsidRPr="00B34A94">
        <w:rPr>
          <w:rStyle w:val="Voetnootmarkering"/>
          <w:rFonts w:ascii="Cambria" w:hAnsi="Cambria"/>
          <w:sz w:val="16"/>
          <w:szCs w:val="16"/>
        </w:rPr>
        <w:footnoteRef/>
      </w:r>
      <w:r w:rsidR="00FC5F2F" w:rsidRPr="00FC5F2F">
        <w:rPr>
          <w:rFonts w:ascii="Cambria" w:hAnsi="Cambria"/>
          <w:sz w:val="16"/>
          <w:szCs w:val="16"/>
          <w:lang w:val="es-ES"/>
        </w:rPr>
        <w:t xml:space="preserve"> </w:t>
      </w:r>
      <w:r w:rsidR="00FC5F2F" w:rsidRPr="00FC5F2F">
        <w:rPr>
          <w:rFonts w:ascii="Cambria" w:hAnsi="Cambria"/>
          <w:iCs/>
          <w:sz w:val="16"/>
          <w:szCs w:val="16"/>
          <w:lang w:val="es-ES"/>
        </w:rPr>
        <w:t>Viking,</w:t>
      </w:r>
      <w:r w:rsidR="00FC5F2F" w:rsidRPr="00FC5F2F">
        <w:rPr>
          <w:rFonts w:ascii="Cambria" w:hAnsi="Cambria"/>
          <w:sz w:val="16"/>
          <w:szCs w:val="16"/>
          <w:lang w:val="es-ES"/>
        </w:rPr>
        <w:t xml:space="preserve"> </w:t>
      </w:r>
      <w:r w:rsidR="00FC5F2F" w:rsidRPr="00FC5F2F">
        <w:rPr>
          <w:rFonts w:ascii="Cambria" w:hAnsi="Cambria"/>
          <w:i/>
          <w:sz w:val="16"/>
          <w:szCs w:val="16"/>
          <w:lang w:val="es-ES"/>
        </w:rPr>
        <w:t>supra</w:t>
      </w:r>
      <w:r w:rsidR="00FC5F2F" w:rsidRPr="00FC5F2F">
        <w:rPr>
          <w:rFonts w:ascii="Cambria" w:hAnsi="Cambria"/>
          <w:sz w:val="16"/>
          <w:szCs w:val="16"/>
          <w:lang w:val="es-ES"/>
        </w:rPr>
        <w:t xml:space="preserve"> at </w:t>
      </w:r>
      <w:fldSimple w:instr=" NOTEREF _Ref420507988 \h  \* MERGEFORMAT ">
        <w:r w:rsidR="00FC5F2F" w:rsidRPr="00FC5F2F">
          <w:rPr>
            <w:lang w:val="es-ES"/>
          </w:rPr>
          <w:t>3</w:t>
        </w:r>
      </w:fldSimple>
      <w:r w:rsidR="00FC5F2F" w:rsidRPr="00FC5F2F">
        <w:rPr>
          <w:rFonts w:ascii="Cambria" w:hAnsi="Cambria"/>
          <w:sz w:val="16"/>
          <w:szCs w:val="16"/>
          <w:lang w:val="es-ES"/>
        </w:rPr>
        <w:t>, para</w:t>
      </w:r>
      <w:r w:rsidRPr="00B34A94">
        <w:rPr>
          <w:rFonts w:ascii="Cambria" w:hAnsi="Cambria"/>
          <w:sz w:val="16"/>
          <w:szCs w:val="16"/>
          <w:lang w:val="es-ES"/>
        </w:rPr>
        <w:t xml:space="preserve">s. </w:t>
      </w:r>
      <w:r w:rsidR="00FC5F2F" w:rsidRPr="00FC5F2F">
        <w:rPr>
          <w:rFonts w:ascii="Cambria" w:hAnsi="Cambria"/>
          <w:sz w:val="16"/>
          <w:szCs w:val="16"/>
          <w:lang w:val="en-US"/>
        </w:rPr>
        <w:t>86-87.</w:t>
      </w:r>
    </w:p>
  </w:footnote>
  <w:footnote w:id="83">
    <w:p w:rsidR="00386DDC" w:rsidRPr="008F0CE7" w:rsidRDefault="00386DDC">
      <w:pPr>
        <w:pStyle w:val="Voetnoottekst"/>
        <w:rPr>
          <w:rFonts w:ascii="Cambria" w:hAnsi="Cambria"/>
          <w:sz w:val="16"/>
          <w:szCs w:val="16"/>
        </w:rPr>
      </w:pPr>
      <w:r w:rsidRPr="008F0CE7">
        <w:rPr>
          <w:rStyle w:val="Voetnootmarkering"/>
          <w:rFonts w:ascii="Cambria" w:hAnsi="Cambria"/>
          <w:sz w:val="16"/>
          <w:szCs w:val="16"/>
        </w:rPr>
        <w:footnoteRef/>
      </w:r>
      <w:r w:rsidRPr="008F0CE7">
        <w:rPr>
          <w:rFonts w:ascii="Cambria" w:hAnsi="Cambria"/>
          <w:sz w:val="16"/>
          <w:szCs w:val="16"/>
        </w:rPr>
        <w:t xml:space="preserve"> D. ASHIAGBOR, ‘Unravelling the Embedded Liberal Bargain: Labour and Social Welfare Law in the Context of EU Market Integration’ (2013) 19:3 </w:t>
      </w:r>
      <w:r w:rsidRPr="008F0CE7">
        <w:rPr>
          <w:rFonts w:ascii="Cambria" w:hAnsi="Cambria"/>
          <w:i/>
          <w:sz w:val="16"/>
          <w:szCs w:val="16"/>
        </w:rPr>
        <w:t>European Law Journal,</w:t>
      </w:r>
      <w:r w:rsidRPr="008F0CE7">
        <w:rPr>
          <w:rFonts w:ascii="Cambria" w:hAnsi="Cambria"/>
          <w:sz w:val="16"/>
          <w:szCs w:val="16"/>
        </w:rPr>
        <w:t xml:space="preserve"> pp. 315-316.</w:t>
      </w:r>
    </w:p>
  </w:footnote>
  <w:footnote w:id="84">
    <w:p w:rsidR="00386DDC" w:rsidRPr="008F0CE7" w:rsidRDefault="00386DDC" w:rsidP="005A460B">
      <w:pPr>
        <w:pStyle w:val="Voetnoottekst"/>
        <w:rPr>
          <w:rFonts w:ascii="Cambria" w:hAnsi="Cambria"/>
          <w:sz w:val="16"/>
          <w:szCs w:val="16"/>
        </w:rPr>
      </w:pPr>
      <w:r w:rsidRPr="008F0CE7">
        <w:rPr>
          <w:rStyle w:val="Voetnootmarkering"/>
          <w:rFonts w:ascii="Cambria" w:hAnsi="Cambria"/>
          <w:sz w:val="16"/>
          <w:szCs w:val="16"/>
        </w:rPr>
        <w:footnoteRef/>
      </w:r>
      <w:r w:rsidRPr="008F0CE7">
        <w:rPr>
          <w:rFonts w:ascii="Cambria" w:hAnsi="Cambria"/>
          <w:sz w:val="16"/>
          <w:szCs w:val="16"/>
        </w:rPr>
        <w:t xml:space="preserve"> Directive 96/71/EC of 16 December 1996 concerning the posting of workers in the framework of the provision of services, [1996]</w:t>
      </w:r>
      <w:r w:rsidRPr="008F0CE7">
        <w:rPr>
          <w:rFonts w:ascii="Cambria" w:hAnsi="Cambria"/>
          <w:i/>
          <w:sz w:val="16"/>
          <w:szCs w:val="16"/>
        </w:rPr>
        <w:t xml:space="preserve"> </w:t>
      </w:r>
      <w:r w:rsidRPr="008F0CE7">
        <w:rPr>
          <w:rFonts w:ascii="Cambria" w:hAnsi="Cambria"/>
          <w:sz w:val="16"/>
          <w:szCs w:val="16"/>
        </w:rPr>
        <w:t>OJ L 018 , 21.01.1997.</w:t>
      </w:r>
    </w:p>
  </w:footnote>
  <w:footnote w:id="85">
    <w:p w:rsidR="00386DDC" w:rsidRPr="008F0CE7" w:rsidRDefault="00386DDC">
      <w:pPr>
        <w:pStyle w:val="Voetnoottekst"/>
        <w:rPr>
          <w:rFonts w:ascii="Cambria" w:hAnsi="Cambria"/>
          <w:sz w:val="16"/>
          <w:szCs w:val="16"/>
        </w:rPr>
      </w:pPr>
      <w:r w:rsidRPr="008F0CE7">
        <w:rPr>
          <w:rStyle w:val="Voetnootmarkering"/>
          <w:rFonts w:ascii="Cambria" w:hAnsi="Cambria"/>
          <w:sz w:val="16"/>
          <w:szCs w:val="16"/>
        </w:rPr>
        <w:footnoteRef/>
      </w:r>
      <w:r w:rsidRPr="008F0CE7">
        <w:rPr>
          <w:rFonts w:ascii="Cambria" w:hAnsi="Cambria"/>
          <w:sz w:val="16"/>
          <w:szCs w:val="16"/>
        </w:rPr>
        <w:t xml:space="preserve"> Consideration no. 22 of the preamble </w:t>
      </w:r>
      <w:r>
        <w:rPr>
          <w:rFonts w:ascii="Cambria" w:hAnsi="Cambria"/>
          <w:sz w:val="16"/>
          <w:szCs w:val="16"/>
        </w:rPr>
        <w:t>to</w:t>
      </w:r>
      <w:r w:rsidRPr="008F0CE7">
        <w:rPr>
          <w:rFonts w:ascii="Cambria" w:hAnsi="Cambria"/>
          <w:sz w:val="16"/>
          <w:szCs w:val="16"/>
        </w:rPr>
        <w:t xml:space="preserve"> Directive 96/71 concerning the posting of workers in the framework of the provision of services.</w:t>
      </w:r>
    </w:p>
  </w:footnote>
  <w:footnote w:id="86">
    <w:p w:rsidR="00386DDC" w:rsidRPr="008F0CE7" w:rsidRDefault="00386DDC" w:rsidP="00A16490">
      <w:pPr>
        <w:autoSpaceDE w:val="0"/>
        <w:autoSpaceDN w:val="0"/>
        <w:adjustRightInd w:val="0"/>
        <w:spacing w:after="0" w:line="240" w:lineRule="auto"/>
        <w:jc w:val="both"/>
        <w:rPr>
          <w:rFonts w:ascii="Cambria" w:hAnsi="Cambria"/>
          <w:sz w:val="16"/>
          <w:szCs w:val="16"/>
          <w:lang w:val="nl-NL"/>
        </w:rPr>
      </w:pPr>
      <w:r w:rsidRPr="008F0CE7">
        <w:rPr>
          <w:rStyle w:val="Voetnootmarkering"/>
          <w:rFonts w:ascii="Cambria" w:hAnsi="Cambria"/>
          <w:sz w:val="16"/>
          <w:szCs w:val="16"/>
        </w:rPr>
        <w:footnoteRef/>
      </w:r>
      <w:r w:rsidRPr="008F0CE7">
        <w:rPr>
          <w:rFonts w:ascii="Cambria" w:hAnsi="Cambria"/>
          <w:sz w:val="16"/>
          <w:szCs w:val="16"/>
        </w:rPr>
        <w:t xml:space="preserve"> A. BÜCKER &amp; W. WARNECK (</w:t>
      </w:r>
      <w:r>
        <w:rPr>
          <w:rFonts w:ascii="Cambria" w:hAnsi="Cambria"/>
          <w:sz w:val="16"/>
          <w:szCs w:val="16"/>
        </w:rPr>
        <w:t>e</w:t>
      </w:r>
      <w:r w:rsidRPr="008F0CE7">
        <w:rPr>
          <w:rFonts w:ascii="Cambria" w:hAnsi="Cambria"/>
          <w:sz w:val="16"/>
          <w:szCs w:val="16"/>
        </w:rPr>
        <w:t xml:space="preserve">ds.), </w:t>
      </w:r>
      <w:r w:rsidRPr="008F0CE7">
        <w:rPr>
          <w:rFonts w:ascii="Cambria" w:hAnsi="Cambria"/>
          <w:i/>
          <w:sz w:val="16"/>
          <w:szCs w:val="16"/>
        </w:rPr>
        <w:t>Reconciling Fundamental Social Rights and Economic Freedoms after Viking, Laval and Rüffert</w:t>
      </w:r>
      <w:r w:rsidRPr="008F0CE7">
        <w:rPr>
          <w:rFonts w:ascii="Cambria" w:hAnsi="Cambria"/>
          <w:sz w:val="16"/>
          <w:szCs w:val="16"/>
        </w:rPr>
        <w:t xml:space="preserve">, 2011; A. VAN HOEK and M. HOUWERZIJL, ‘Loonconcurrentie als motor van de interne markt? </w:t>
      </w:r>
      <w:r w:rsidRPr="008F0CE7">
        <w:rPr>
          <w:rFonts w:ascii="Cambria" w:hAnsi="Cambria"/>
          <w:sz w:val="16"/>
          <w:szCs w:val="16"/>
          <w:lang w:val="nl-NL"/>
        </w:rPr>
        <w:t xml:space="preserve">Deel II’ (2008) no. 12 </w:t>
      </w:r>
      <w:r w:rsidRPr="008F0CE7">
        <w:rPr>
          <w:rFonts w:ascii="Cambria" w:hAnsi="Cambria"/>
          <w:i/>
          <w:sz w:val="16"/>
          <w:szCs w:val="16"/>
          <w:lang w:val="nl-NL"/>
        </w:rPr>
        <w:t>Nederlands Tijdschrift voor Europees Recht,</w:t>
      </w:r>
      <w:r w:rsidRPr="008F0CE7">
        <w:rPr>
          <w:rFonts w:ascii="Cambria" w:hAnsi="Cambria"/>
          <w:sz w:val="16"/>
          <w:szCs w:val="16"/>
          <w:lang w:val="nl-NL"/>
        </w:rPr>
        <w:t xml:space="preserve"> pp. 337-346.</w:t>
      </w:r>
    </w:p>
  </w:footnote>
  <w:footnote w:id="87">
    <w:p w:rsidR="00386DDC" w:rsidRPr="008F0CE7" w:rsidRDefault="00386DDC">
      <w:pPr>
        <w:pStyle w:val="Voetnoottekst"/>
        <w:rPr>
          <w:rFonts w:ascii="Cambria" w:hAnsi="Cambria" w:cs="Times New Roman"/>
          <w:sz w:val="16"/>
          <w:szCs w:val="16"/>
        </w:rPr>
      </w:pPr>
      <w:r w:rsidRPr="008F0CE7">
        <w:rPr>
          <w:rStyle w:val="Voetnootmarkering"/>
          <w:rFonts w:ascii="Cambria" w:hAnsi="Cambria"/>
          <w:sz w:val="16"/>
          <w:szCs w:val="16"/>
        </w:rPr>
        <w:footnoteRef/>
      </w:r>
      <w:r w:rsidRPr="008F0CE7">
        <w:rPr>
          <w:rFonts w:ascii="Cambria" w:hAnsi="Cambria"/>
          <w:sz w:val="16"/>
          <w:szCs w:val="16"/>
          <w:lang w:val="nl-NL"/>
        </w:rPr>
        <w:t xml:space="preserve"> Case </w:t>
      </w:r>
      <w:r w:rsidRPr="008F0CE7">
        <w:rPr>
          <w:rFonts w:ascii="Cambria" w:hAnsi="Cambria" w:cs="Times New Roman"/>
          <w:sz w:val="16"/>
          <w:szCs w:val="16"/>
          <w:lang w:val="nl-NL"/>
        </w:rPr>
        <w:t xml:space="preserve">C-426/11, </w:t>
      </w:r>
      <w:r w:rsidRPr="008F0CE7">
        <w:rPr>
          <w:rFonts w:ascii="Cambria" w:hAnsi="Cambria" w:cs="Verdana"/>
          <w:bCs/>
          <w:i/>
          <w:sz w:val="16"/>
          <w:szCs w:val="16"/>
          <w:lang w:val="nl-NL"/>
        </w:rPr>
        <w:t>Mark Alemo-Herron and others v Parkwood Leisure Ldt.</w:t>
      </w:r>
      <w:r w:rsidRPr="008F0CE7">
        <w:rPr>
          <w:rFonts w:ascii="Cambria" w:hAnsi="Cambria" w:cs="Times New Roman"/>
          <w:i/>
          <w:sz w:val="16"/>
          <w:szCs w:val="16"/>
          <w:lang w:val="nl-NL"/>
        </w:rPr>
        <w:t xml:space="preserve"> </w:t>
      </w:r>
      <w:r w:rsidR="00FC5F2F" w:rsidRPr="00FC5F2F">
        <w:rPr>
          <w:rFonts w:ascii="Cambria" w:hAnsi="Cambria" w:cs="Times New Roman"/>
          <w:sz w:val="16"/>
          <w:szCs w:val="16"/>
          <w:lang w:val="en-US"/>
        </w:rPr>
        <w:t>(Alemo Herron),</w:t>
      </w:r>
      <w:r w:rsidR="00FC5F2F" w:rsidRPr="00FC5F2F">
        <w:rPr>
          <w:rFonts w:ascii="Cambria" w:hAnsi="Cambria" w:cs="Times New Roman"/>
          <w:i/>
          <w:sz w:val="16"/>
          <w:szCs w:val="16"/>
          <w:lang w:val="en-US"/>
        </w:rPr>
        <w:t xml:space="preserve"> </w:t>
      </w:r>
      <w:r w:rsidR="00FC5F2F" w:rsidRPr="00FC5F2F">
        <w:rPr>
          <w:rFonts w:ascii="Cambria" w:hAnsi="Cambria" w:cs="Times New Roman"/>
          <w:sz w:val="16"/>
          <w:szCs w:val="16"/>
          <w:lang w:val="en-US"/>
        </w:rPr>
        <w:t xml:space="preserve">ECLI:EU: C:2013:52. </w:t>
      </w:r>
      <w:r w:rsidRPr="008F0CE7">
        <w:rPr>
          <w:rFonts w:ascii="Cambria" w:hAnsi="Cambria" w:cs="Times New Roman"/>
          <w:sz w:val="16"/>
          <w:szCs w:val="16"/>
        </w:rPr>
        <w:t>See also S. WEATHERILL, ‘Use and Abuse of the EU’s Charter of Fundamental Rights: on the improper veneration of freedom of contract’ (2014</w:t>
      </w:r>
      <w:r>
        <w:rPr>
          <w:rFonts w:ascii="Cambria" w:hAnsi="Cambria" w:cs="Times New Roman"/>
          <w:sz w:val="16"/>
          <w:szCs w:val="16"/>
        </w:rPr>
        <w:t xml:space="preserve">) </w:t>
      </w:r>
      <w:r w:rsidRPr="008F0CE7">
        <w:rPr>
          <w:rFonts w:ascii="Cambria" w:hAnsi="Cambria" w:cs="Times New Roman"/>
          <w:sz w:val="16"/>
          <w:szCs w:val="16"/>
        </w:rPr>
        <w:t xml:space="preserve">10 </w:t>
      </w:r>
      <w:r w:rsidRPr="008F0CE7">
        <w:rPr>
          <w:rFonts w:ascii="Cambria" w:hAnsi="Cambria" w:cs="Times New Roman"/>
          <w:i/>
          <w:sz w:val="16"/>
          <w:szCs w:val="16"/>
        </w:rPr>
        <w:t>European Review of Contract Law</w:t>
      </w:r>
      <w:r w:rsidRPr="008F0CE7">
        <w:rPr>
          <w:rFonts w:ascii="Cambria" w:hAnsi="Cambria" w:cs="Times New Roman"/>
          <w:sz w:val="16"/>
          <w:szCs w:val="16"/>
        </w:rPr>
        <w:t>, p.</w:t>
      </w:r>
      <w:r w:rsidRPr="008F0CE7">
        <w:rPr>
          <w:rFonts w:ascii="Cambria" w:hAnsi="Cambria" w:cs="Times New Roman"/>
          <w:i/>
          <w:sz w:val="16"/>
          <w:szCs w:val="16"/>
        </w:rPr>
        <w:t xml:space="preserve"> </w:t>
      </w:r>
      <w:r w:rsidRPr="008F0CE7">
        <w:rPr>
          <w:rFonts w:ascii="Cambria" w:hAnsi="Cambria" w:cs="Times New Roman"/>
          <w:sz w:val="16"/>
          <w:szCs w:val="16"/>
        </w:rPr>
        <w:t xml:space="preserve">157; J. PRASSL, ‘Freedom of Contract as a General Principle of EU Law? Transfers of Undertakings and the Protection of Employer Rights in EU Labour Law’ (2013) 42  </w:t>
      </w:r>
      <w:r w:rsidRPr="008F0CE7">
        <w:rPr>
          <w:rFonts w:ascii="Cambria" w:hAnsi="Cambria" w:cs="Times New Roman"/>
          <w:i/>
          <w:sz w:val="16"/>
          <w:szCs w:val="16"/>
        </w:rPr>
        <w:t>Industrial Law Journal</w:t>
      </w:r>
      <w:r w:rsidRPr="008F0CE7">
        <w:rPr>
          <w:rFonts w:ascii="Cambria" w:hAnsi="Cambria" w:cs="Times New Roman"/>
          <w:sz w:val="16"/>
          <w:szCs w:val="16"/>
        </w:rPr>
        <w:t>, p. 434.</w:t>
      </w:r>
    </w:p>
  </w:footnote>
  <w:footnote w:id="88">
    <w:p w:rsidR="00386DDC" w:rsidRPr="008F0CE7" w:rsidRDefault="00386DDC" w:rsidP="00D37787">
      <w:pPr>
        <w:pStyle w:val="Voetnoottekst"/>
        <w:rPr>
          <w:sz w:val="16"/>
          <w:szCs w:val="16"/>
          <w:lang w:val="en-US"/>
        </w:rPr>
      </w:pPr>
      <w:r w:rsidRPr="008F0CE7">
        <w:rPr>
          <w:rStyle w:val="Voetnootmarkering"/>
          <w:rFonts w:ascii="Cambria" w:hAnsi="Cambria"/>
          <w:sz w:val="16"/>
          <w:szCs w:val="16"/>
        </w:rPr>
        <w:footnoteRef/>
      </w:r>
      <w:r w:rsidRPr="008F0CE7">
        <w:rPr>
          <w:rFonts w:ascii="Cambria" w:hAnsi="Cambria"/>
          <w:sz w:val="16"/>
          <w:szCs w:val="16"/>
        </w:rPr>
        <w:t xml:space="preserve"> </w:t>
      </w:r>
      <w:r w:rsidRPr="008F0CE7">
        <w:rPr>
          <w:rFonts w:ascii="Cambria" w:hAnsi="Cambria"/>
          <w:sz w:val="16"/>
          <w:szCs w:val="16"/>
          <w:lang w:val="en-US"/>
        </w:rPr>
        <w:t xml:space="preserve">Art. 8 of </w:t>
      </w:r>
      <w:r w:rsidRPr="008F0CE7">
        <w:rPr>
          <w:rFonts w:ascii="Cambria" w:hAnsi="Cambria"/>
          <w:sz w:val="16"/>
          <w:szCs w:val="16"/>
        </w:rPr>
        <w:t>Directive 77/187/EEC of 14 February 1977 on the approximation of the laws of the Member States rela</w:t>
      </w:r>
      <w:r w:rsidRPr="008F0CE7">
        <w:rPr>
          <w:rFonts w:ascii="Cambria" w:hAnsi="Cambria"/>
          <w:sz w:val="16"/>
          <w:szCs w:val="16"/>
        </w:rPr>
        <w:softHyphen/>
        <w:t>ting to the safeguarding of employees’ rights in the event of transfers of undertakings.</w:t>
      </w:r>
    </w:p>
  </w:footnote>
  <w:footnote w:id="89">
    <w:p w:rsidR="00386DDC" w:rsidRPr="008F0CE7" w:rsidRDefault="00386DDC" w:rsidP="009059F7">
      <w:pPr>
        <w:pStyle w:val="Voetnoottekst"/>
        <w:jc w:val="both"/>
        <w:rPr>
          <w:rFonts w:ascii="Cambria" w:hAnsi="Cambria"/>
          <w:sz w:val="16"/>
          <w:szCs w:val="16"/>
        </w:rPr>
      </w:pPr>
      <w:r w:rsidRPr="008F0CE7">
        <w:rPr>
          <w:rStyle w:val="Voetnootmarkering"/>
          <w:rFonts w:ascii="Cambria" w:hAnsi="Cambria"/>
          <w:sz w:val="16"/>
          <w:szCs w:val="16"/>
        </w:rPr>
        <w:footnoteRef/>
      </w:r>
      <w:r w:rsidRPr="008F0CE7">
        <w:rPr>
          <w:rFonts w:ascii="Cambria" w:hAnsi="Cambria"/>
          <w:sz w:val="16"/>
          <w:szCs w:val="16"/>
        </w:rPr>
        <w:t xml:space="preserve"> DE </w:t>
      </w:r>
      <w:r w:rsidRPr="008F0CE7">
        <w:rPr>
          <w:rFonts w:ascii="Cambria" w:hAnsi="Cambria" w:cs="Times New Roman"/>
          <w:sz w:val="16"/>
          <w:szCs w:val="16"/>
        </w:rPr>
        <w:t xml:space="preserve">VRIES, </w:t>
      </w:r>
      <w:r w:rsidRPr="008F0CE7">
        <w:rPr>
          <w:rFonts w:ascii="Cambria" w:hAnsi="Cambria" w:cs="Times New Roman"/>
          <w:i/>
          <w:sz w:val="16"/>
          <w:szCs w:val="16"/>
        </w:rPr>
        <w:t xml:space="preserve">supra </w:t>
      </w:r>
      <w:r w:rsidRPr="008F0CE7">
        <w:rPr>
          <w:rFonts w:ascii="Cambria" w:hAnsi="Cambria" w:cs="Times New Roman"/>
          <w:sz w:val="16"/>
          <w:szCs w:val="16"/>
        </w:rPr>
        <w:t xml:space="preserve">at </w:t>
      </w:r>
      <w:fldSimple w:instr=" NOTEREF _Ref420508960 \h  \* MERGEFORMAT ">
        <w:r w:rsidRPr="008F0CE7">
          <w:rPr>
            <w:rFonts w:ascii="Cambria" w:hAnsi="Cambria" w:cs="Times New Roman"/>
            <w:sz w:val="16"/>
            <w:szCs w:val="16"/>
          </w:rPr>
          <w:t>53</w:t>
        </w:r>
      </w:fldSimple>
      <w:r w:rsidRPr="008F0CE7">
        <w:rPr>
          <w:rFonts w:ascii="Cambria" w:hAnsi="Cambria" w:cs="Times New Roman"/>
          <w:sz w:val="16"/>
          <w:szCs w:val="16"/>
        </w:rPr>
        <w:t>,</w:t>
      </w:r>
      <w:r w:rsidRPr="008F0CE7">
        <w:rPr>
          <w:rFonts w:ascii="Cambria" w:hAnsi="Cambria"/>
          <w:sz w:val="16"/>
          <w:szCs w:val="16"/>
        </w:rPr>
        <w:t xml:space="preserve"> p. 332.</w:t>
      </w:r>
    </w:p>
  </w:footnote>
  <w:footnote w:id="90">
    <w:p w:rsidR="00386DDC" w:rsidRPr="008F0CE7" w:rsidRDefault="00386DDC" w:rsidP="00372A5C">
      <w:pPr>
        <w:pStyle w:val="Voetnoottekst"/>
        <w:jc w:val="both"/>
        <w:rPr>
          <w:rFonts w:ascii="Cambria" w:hAnsi="Cambria"/>
          <w:sz w:val="16"/>
          <w:szCs w:val="16"/>
        </w:rPr>
      </w:pPr>
      <w:r w:rsidRPr="008F0CE7">
        <w:rPr>
          <w:rStyle w:val="Voetnootmarkering"/>
          <w:rFonts w:ascii="Cambria" w:hAnsi="Cambria"/>
          <w:sz w:val="16"/>
          <w:szCs w:val="16"/>
        </w:rPr>
        <w:footnoteRef/>
      </w:r>
      <w:r w:rsidRPr="008F0CE7">
        <w:rPr>
          <w:rFonts w:ascii="Cambria" w:hAnsi="Cambria"/>
          <w:sz w:val="16"/>
          <w:szCs w:val="16"/>
        </w:rPr>
        <w:t xml:space="preserve"> This developed over time, see: P. CRAIG, ‘The Evolution of the Single Market’ in C. BARNARD and J. SCOTT (Eds.), </w:t>
      </w:r>
      <w:r w:rsidRPr="008F0CE7">
        <w:rPr>
          <w:rFonts w:ascii="Cambria" w:hAnsi="Cambria"/>
          <w:i/>
          <w:sz w:val="16"/>
          <w:szCs w:val="16"/>
        </w:rPr>
        <w:t>The</w:t>
      </w:r>
      <w:r w:rsidRPr="008F0CE7">
        <w:rPr>
          <w:rFonts w:ascii="Cambria" w:hAnsi="Cambria"/>
          <w:sz w:val="16"/>
          <w:szCs w:val="16"/>
        </w:rPr>
        <w:t xml:space="preserve"> </w:t>
      </w:r>
      <w:r w:rsidRPr="008F0CE7">
        <w:rPr>
          <w:rFonts w:ascii="Cambria" w:hAnsi="Cambria"/>
          <w:i/>
          <w:sz w:val="16"/>
          <w:szCs w:val="16"/>
        </w:rPr>
        <w:t>Law of the Single European Market – Unpacking the Premises</w:t>
      </w:r>
      <w:r w:rsidRPr="008F0CE7">
        <w:rPr>
          <w:rFonts w:ascii="Cambria" w:hAnsi="Cambria"/>
          <w:sz w:val="16"/>
          <w:szCs w:val="16"/>
        </w:rPr>
        <w:t>, Hart Publishing, Oxford 2002, p. 32.</w:t>
      </w:r>
    </w:p>
  </w:footnote>
  <w:footnote w:id="91">
    <w:p w:rsidR="00386DDC" w:rsidRPr="008F0CE7" w:rsidRDefault="00386DDC" w:rsidP="00372A5C">
      <w:pPr>
        <w:pStyle w:val="Normaalweb"/>
        <w:spacing w:before="0" w:beforeAutospacing="0" w:after="0" w:afterAutospacing="0"/>
        <w:rPr>
          <w:rFonts w:ascii="Cambria" w:hAnsi="Cambria"/>
          <w:sz w:val="16"/>
          <w:szCs w:val="16"/>
          <w:lang w:val="en-US"/>
        </w:rPr>
      </w:pPr>
      <w:r w:rsidRPr="008F0CE7">
        <w:rPr>
          <w:rStyle w:val="Voetnootmarkering"/>
          <w:rFonts w:ascii="Cambria" w:hAnsi="Cambria"/>
          <w:sz w:val="16"/>
          <w:szCs w:val="16"/>
        </w:rPr>
        <w:footnoteRef/>
      </w:r>
      <w:r w:rsidRPr="008F0CE7">
        <w:rPr>
          <w:rFonts w:ascii="Cambria" w:hAnsi="Cambria"/>
          <w:sz w:val="16"/>
          <w:szCs w:val="16"/>
          <w:lang w:val="en-US"/>
        </w:rPr>
        <w:t xml:space="preserve"> D. AUGENSTEIN, ‘Engaging the Fundamentals: On the Autonomous Substance of EU Fundamental Rights Law’ (2013</w:t>
      </w:r>
      <w:r>
        <w:rPr>
          <w:rFonts w:ascii="Cambria" w:hAnsi="Cambria"/>
          <w:sz w:val="16"/>
          <w:szCs w:val="16"/>
          <w:lang w:val="en-US"/>
        </w:rPr>
        <w:t xml:space="preserve">) </w:t>
      </w:r>
      <w:r w:rsidRPr="008F0CE7">
        <w:rPr>
          <w:rFonts w:ascii="Cambria" w:hAnsi="Cambria"/>
          <w:sz w:val="16"/>
          <w:szCs w:val="16"/>
          <w:lang w:val="en-US"/>
        </w:rPr>
        <w:t xml:space="preserve">14 </w:t>
      </w:r>
      <w:r w:rsidRPr="008F0CE7">
        <w:rPr>
          <w:rFonts w:ascii="Cambria" w:hAnsi="Cambria"/>
          <w:i/>
          <w:sz w:val="16"/>
          <w:szCs w:val="16"/>
          <w:lang w:val="en-US"/>
        </w:rPr>
        <w:t>German Law Journal</w:t>
      </w:r>
      <w:r w:rsidRPr="008F0CE7">
        <w:rPr>
          <w:rFonts w:ascii="Cambria" w:hAnsi="Cambria"/>
          <w:sz w:val="16"/>
          <w:szCs w:val="16"/>
          <w:lang w:val="en-US"/>
        </w:rPr>
        <w:t>, p. 1919.</w:t>
      </w:r>
    </w:p>
  </w:footnote>
  <w:footnote w:id="92">
    <w:p w:rsidR="00386DDC" w:rsidRPr="008F0CE7" w:rsidRDefault="00386DDC" w:rsidP="00372A5C">
      <w:pPr>
        <w:pStyle w:val="Voetnoottekst"/>
        <w:jc w:val="both"/>
        <w:rPr>
          <w:rFonts w:ascii="Cambria" w:hAnsi="Cambria"/>
          <w:sz w:val="16"/>
          <w:szCs w:val="16"/>
          <w:lang w:val="en-US"/>
        </w:rPr>
      </w:pPr>
      <w:r w:rsidRPr="008F0CE7">
        <w:rPr>
          <w:rStyle w:val="Voetnootmarkering"/>
          <w:rFonts w:ascii="Cambria" w:hAnsi="Cambria"/>
          <w:sz w:val="16"/>
          <w:szCs w:val="16"/>
        </w:rPr>
        <w:footnoteRef/>
      </w:r>
      <w:r w:rsidRPr="008F0CE7">
        <w:rPr>
          <w:rFonts w:ascii="Cambria" w:hAnsi="Cambria"/>
          <w:sz w:val="16"/>
          <w:szCs w:val="16"/>
        </w:rPr>
        <w:t xml:space="preserve"> </w:t>
      </w:r>
      <w:r w:rsidRPr="008F0CE7">
        <w:rPr>
          <w:rFonts w:ascii="Cambria" w:hAnsi="Cambria"/>
          <w:sz w:val="16"/>
          <w:szCs w:val="16"/>
          <w:lang w:val="en-US"/>
        </w:rPr>
        <w:t xml:space="preserve">S. DOUGLAS-SCOTT, ‘The European Union and Human Rights after the Treaty of Lisbon’, </w:t>
      </w:r>
      <w:r>
        <w:rPr>
          <w:rFonts w:ascii="Cambria" w:hAnsi="Cambria"/>
          <w:sz w:val="16"/>
          <w:szCs w:val="16"/>
          <w:lang w:val="en-US"/>
        </w:rPr>
        <w:t xml:space="preserve">(2011) </w:t>
      </w:r>
      <w:r w:rsidRPr="008F0CE7">
        <w:rPr>
          <w:rFonts w:ascii="Cambria" w:hAnsi="Cambria"/>
          <w:sz w:val="16"/>
          <w:szCs w:val="16"/>
          <w:lang w:val="en-US"/>
        </w:rPr>
        <w:t xml:space="preserve">11 </w:t>
      </w:r>
      <w:r w:rsidRPr="008F0CE7">
        <w:rPr>
          <w:rFonts w:ascii="Cambria" w:hAnsi="Cambria"/>
          <w:i/>
          <w:sz w:val="16"/>
          <w:szCs w:val="16"/>
          <w:lang w:val="en-US"/>
        </w:rPr>
        <w:t>Human Rights Law Review</w:t>
      </w:r>
      <w:r w:rsidRPr="008F0CE7">
        <w:rPr>
          <w:rFonts w:ascii="Cambria" w:hAnsi="Cambria"/>
          <w:sz w:val="16"/>
          <w:szCs w:val="16"/>
          <w:lang w:val="en-US"/>
        </w:rPr>
        <w:t>, p. 681</w:t>
      </w:r>
      <w:r>
        <w:rPr>
          <w:rFonts w:ascii="Cambria" w:hAnsi="Cambria"/>
          <w:sz w:val="16"/>
          <w:szCs w:val="16"/>
          <w:lang w:val="en-US"/>
        </w:rPr>
        <w:t>.</w:t>
      </w:r>
    </w:p>
  </w:footnote>
  <w:footnote w:id="93">
    <w:p w:rsidR="00386DDC" w:rsidRPr="008F0CE7" w:rsidRDefault="00386DDC" w:rsidP="00372A5C">
      <w:pPr>
        <w:pStyle w:val="Voetnoottekst"/>
        <w:rPr>
          <w:rFonts w:ascii="Cambria" w:hAnsi="Cambria"/>
          <w:sz w:val="16"/>
          <w:szCs w:val="16"/>
          <w:lang w:val="en-US"/>
        </w:rPr>
      </w:pPr>
      <w:r w:rsidRPr="008F0CE7">
        <w:rPr>
          <w:rStyle w:val="Voetnootmarkering"/>
          <w:rFonts w:ascii="Cambria" w:hAnsi="Cambria"/>
          <w:sz w:val="16"/>
          <w:szCs w:val="16"/>
        </w:rPr>
        <w:footnoteRef/>
      </w:r>
      <w:r w:rsidRPr="008F0CE7">
        <w:rPr>
          <w:rFonts w:ascii="Cambria" w:hAnsi="Cambria"/>
          <w:sz w:val="16"/>
          <w:szCs w:val="16"/>
        </w:rPr>
        <w:t xml:space="preserve"> ‘Freedom to choose an occupation and right to engage in work’.</w:t>
      </w:r>
    </w:p>
  </w:footnote>
  <w:footnote w:id="94">
    <w:p w:rsidR="00386DDC" w:rsidRPr="008F0CE7" w:rsidRDefault="00386DDC" w:rsidP="000340A6">
      <w:pPr>
        <w:pStyle w:val="Voetnoottekst"/>
        <w:rPr>
          <w:rFonts w:ascii="Cambria" w:hAnsi="Cambria"/>
          <w:bCs/>
          <w:sz w:val="16"/>
          <w:szCs w:val="16"/>
        </w:rPr>
      </w:pPr>
      <w:r w:rsidRPr="008F0CE7">
        <w:rPr>
          <w:rStyle w:val="Voetnootmarkering"/>
          <w:rFonts w:ascii="Cambria" w:hAnsi="Cambria"/>
          <w:sz w:val="16"/>
          <w:szCs w:val="16"/>
        </w:rPr>
        <w:footnoteRef/>
      </w:r>
      <w:r w:rsidRPr="008F0CE7">
        <w:rPr>
          <w:rFonts w:ascii="Cambria" w:hAnsi="Cambria"/>
          <w:sz w:val="16"/>
          <w:szCs w:val="16"/>
        </w:rPr>
        <w:t xml:space="preserve"> S. PEERS, e.a. (</w:t>
      </w:r>
      <w:r>
        <w:rPr>
          <w:rFonts w:ascii="Cambria" w:hAnsi="Cambria"/>
          <w:sz w:val="16"/>
          <w:szCs w:val="16"/>
        </w:rPr>
        <w:t>e</w:t>
      </w:r>
      <w:r w:rsidRPr="008F0CE7">
        <w:rPr>
          <w:rFonts w:ascii="Cambria" w:hAnsi="Cambria"/>
          <w:sz w:val="16"/>
          <w:szCs w:val="16"/>
        </w:rPr>
        <w:t xml:space="preserve">ds.), </w:t>
      </w:r>
      <w:r w:rsidRPr="008F0CE7">
        <w:rPr>
          <w:rFonts w:ascii="Cambria" w:hAnsi="Cambria"/>
          <w:bCs/>
          <w:i/>
          <w:sz w:val="16"/>
          <w:szCs w:val="16"/>
        </w:rPr>
        <w:t>The EU Charter of Fundamental Rights: A Commentary</w:t>
      </w:r>
      <w:r w:rsidRPr="008F0CE7">
        <w:rPr>
          <w:rFonts w:ascii="Cambria" w:hAnsi="Cambria"/>
          <w:bCs/>
          <w:sz w:val="16"/>
          <w:szCs w:val="16"/>
        </w:rPr>
        <w:t xml:space="preserve">, Hart Publishing, Oxford 2014, </w:t>
      </w:r>
      <w:r w:rsidRPr="008F0CE7">
        <w:rPr>
          <w:rFonts w:ascii="Cambria" w:hAnsi="Cambria"/>
          <w:sz w:val="16"/>
          <w:szCs w:val="16"/>
        </w:rPr>
        <w:t>pp. 425-431.</w:t>
      </w:r>
    </w:p>
  </w:footnote>
  <w:footnote w:id="95">
    <w:p w:rsidR="00386DDC" w:rsidRPr="008F0CE7" w:rsidRDefault="00386DDC" w:rsidP="00950990">
      <w:pPr>
        <w:pStyle w:val="Voetnoottekst"/>
        <w:rPr>
          <w:rFonts w:ascii="Cambria" w:hAnsi="Cambria"/>
          <w:sz w:val="16"/>
          <w:szCs w:val="16"/>
        </w:rPr>
      </w:pPr>
      <w:r w:rsidRPr="008F0CE7">
        <w:rPr>
          <w:rStyle w:val="Voetnootmarkering"/>
          <w:rFonts w:ascii="Cambria" w:hAnsi="Cambria"/>
          <w:sz w:val="16"/>
          <w:szCs w:val="16"/>
        </w:rPr>
        <w:footnoteRef/>
      </w:r>
      <w:r w:rsidRPr="008F0CE7">
        <w:rPr>
          <w:rFonts w:ascii="Cambria" w:hAnsi="Cambria"/>
          <w:sz w:val="16"/>
          <w:szCs w:val="16"/>
        </w:rPr>
        <w:t xml:space="preserve"> See: </w:t>
      </w:r>
      <w:r w:rsidRPr="008F0CE7">
        <w:rPr>
          <w:rFonts w:ascii="Cambria" w:hAnsi="Cambria"/>
          <w:i/>
          <w:sz w:val="16"/>
          <w:szCs w:val="16"/>
        </w:rPr>
        <w:t>The Future Status of the EU Charter on Fundamental Rights</w:t>
      </w:r>
      <w:r w:rsidRPr="008F0CE7">
        <w:rPr>
          <w:rFonts w:ascii="Cambria" w:hAnsi="Cambria"/>
          <w:sz w:val="16"/>
          <w:szCs w:val="16"/>
        </w:rPr>
        <w:t xml:space="preserve">, Session 2002-03, 6th Report, HL Paper 48; </w:t>
      </w:r>
      <w:r w:rsidRPr="008F0CE7">
        <w:rPr>
          <w:rFonts w:ascii="Cambria" w:hAnsi="Cambria"/>
          <w:i/>
          <w:sz w:val="16"/>
          <w:szCs w:val="16"/>
        </w:rPr>
        <w:t>cf.</w:t>
      </w:r>
      <w:r>
        <w:rPr>
          <w:rFonts w:ascii="Cambria" w:hAnsi="Cambria"/>
          <w:sz w:val="16"/>
          <w:szCs w:val="16"/>
        </w:rPr>
        <w:t xml:space="preserve"> </w:t>
      </w:r>
      <w:r w:rsidRPr="008F0CE7">
        <w:rPr>
          <w:rFonts w:ascii="Cambria" w:hAnsi="Cambria"/>
          <w:sz w:val="16"/>
          <w:szCs w:val="16"/>
        </w:rPr>
        <w:t xml:space="preserve">PEERS, </w:t>
      </w:r>
      <w:r w:rsidRPr="008F0CE7">
        <w:rPr>
          <w:rFonts w:ascii="Cambria" w:hAnsi="Cambria"/>
          <w:i/>
          <w:sz w:val="16"/>
          <w:szCs w:val="16"/>
        </w:rPr>
        <w:t>supra</w:t>
      </w:r>
      <w:r w:rsidRPr="008F0CE7">
        <w:rPr>
          <w:rFonts w:ascii="Cambria" w:hAnsi="Cambria"/>
          <w:sz w:val="16"/>
          <w:szCs w:val="16"/>
        </w:rPr>
        <w:t xml:space="preserve"> at </w:t>
      </w:r>
      <w:fldSimple w:instr=" NOTEREF _Ref420513033 \h  \* MERGEFORMAT ">
        <w:r w:rsidRPr="008F0CE7">
          <w:rPr>
            <w:rFonts w:ascii="Cambria" w:hAnsi="Cambria"/>
            <w:sz w:val="16"/>
            <w:szCs w:val="16"/>
          </w:rPr>
          <w:t>94</w:t>
        </w:r>
      </w:fldSimple>
      <w:r w:rsidRPr="008F0CE7">
        <w:rPr>
          <w:rFonts w:ascii="Cambria" w:hAnsi="Cambria"/>
          <w:sz w:val="16"/>
          <w:szCs w:val="16"/>
        </w:rPr>
        <w:t>, p. 438.</w:t>
      </w:r>
    </w:p>
  </w:footnote>
  <w:footnote w:id="96">
    <w:p w:rsidR="00386DDC" w:rsidRPr="008F0CE7" w:rsidRDefault="00386DDC" w:rsidP="00950990">
      <w:pPr>
        <w:pStyle w:val="Voetnoottekst"/>
        <w:rPr>
          <w:rFonts w:ascii="Cambria" w:hAnsi="Cambria"/>
          <w:i/>
          <w:sz w:val="16"/>
          <w:szCs w:val="16"/>
        </w:rPr>
      </w:pPr>
      <w:r w:rsidRPr="008F0CE7">
        <w:rPr>
          <w:rStyle w:val="Voetnootmarkering"/>
          <w:rFonts w:ascii="Cambria" w:hAnsi="Cambria"/>
          <w:sz w:val="16"/>
          <w:szCs w:val="16"/>
        </w:rPr>
        <w:footnoteRef/>
      </w:r>
      <w:r w:rsidRPr="008F0CE7">
        <w:rPr>
          <w:rFonts w:ascii="Cambria" w:hAnsi="Cambria"/>
          <w:sz w:val="16"/>
          <w:szCs w:val="16"/>
        </w:rPr>
        <w:t xml:space="preserve"> Case 4/73, </w:t>
      </w:r>
      <w:r w:rsidRPr="008F0CE7">
        <w:rPr>
          <w:rFonts w:ascii="Cambria" w:hAnsi="Cambria"/>
          <w:i/>
          <w:sz w:val="16"/>
          <w:szCs w:val="16"/>
        </w:rPr>
        <w:t>Nold,</w:t>
      </w:r>
      <w:r w:rsidRPr="008F0CE7">
        <w:rPr>
          <w:rFonts w:ascii="Cambria" w:hAnsi="Cambria"/>
          <w:sz w:val="16"/>
          <w:szCs w:val="16"/>
        </w:rPr>
        <w:t xml:space="preserve"> ECLI:EU:C:1974:51. In this case the fundamental status of the right was derived from </w:t>
      </w:r>
      <w:r w:rsidRPr="008F0CE7">
        <w:rPr>
          <w:rFonts w:ascii="Cambria" w:hAnsi="Cambria"/>
          <w:i/>
          <w:sz w:val="16"/>
          <w:szCs w:val="16"/>
        </w:rPr>
        <w:t>inter alia</w:t>
      </w:r>
      <w:r w:rsidRPr="008F0CE7">
        <w:rPr>
          <w:rFonts w:ascii="Cambria" w:hAnsi="Cambria"/>
          <w:sz w:val="16"/>
          <w:szCs w:val="16"/>
        </w:rPr>
        <w:t xml:space="preserve"> the German Basic Law. Still, the freedom to conduct a business is recognised by only a few national constitutions, most notably in States with a history of fascist or dictatorial regime, </w:t>
      </w:r>
      <w:r w:rsidRPr="008F0CE7">
        <w:rPr>
          <w:rFonts w:ascii="Cambria" w:hAnsi="Cambria"/>
          <w:i/>
          <w:sz w:val="16"/>
          <w:szCs w:val="16"/>
        </w:rPr>
        <w:t>cf.</w:t>
      </w:r>
      <w:r w:rsidRPr="008F0CE7">
        <w:rPr>
          <w:rFonts w:ascii="Cambria" w:hAnsi="Cambria"/>
          <w:sz w:val="16"/>
          <w:szCs w:val="16"/>
        </w:rPr>
        <w:t xml:space="preserve"> PEERS, </w:t>
      </w:r>
      <w:r w:rsidRPr="008F0CE7">
        <w:rPr>
          <w:rFonts w:ascii="Cambria" w:hAnsi="Cambria"/>
          <w:i/>
          <w:sz w:val="16"/>
          <w:szCs w:val="16"/>
        </w:rPr>
        <w:t>supra</w:t>
      </w:r>
      <w:r w:rsidRPr="008F0CE7">
        <w:rPr>
          <w:rFonts w:ascii="Cambria" w:hAnsi="Cambria"/>
          <w:sz w:val="16"/>
          <w:szCs w:val="16"/>
        </w:rPr>
        <w:t xml:space="preserve"> at </w:t>
      </w:r>
      <w:fldSimple w:instr=" NOTEREF _Ref420513033 \h  \* MERGEFORMAT ">
        <w:r w:rsidRPr="008F0CE7">
          <w:rPr>
            <w:rFonts w:ascii="Cambria" w:hAnsi="Cambria"/>
            <w:sz w:val="16"/>
            <w:szCs w:val="16"/>
          </w:rPr>
          <w:t>94</w:t>
        </w:r>
      </w:fldSimple>
      <w:r w:rsidRPr="008F0CE7">
        <w:rPr>
          <w:rFonts w:ascii="Cambria" w:hAnsi="Cambria"/>
          <w:sz w:val="16"/>
          <w:szCs w:val="16"/>
        </w:rPr>
        <w:t>.</w:t>
      </w:r>
    </w:p>
  </w:footnote>
  <w:footnote w:id="97">
    <w:p w:rsidR="00386DDC" w:rsidRPr="007B3F43" w:rsidRDefault="00386DDC" w:rsidP="00950990">
      <w:pPr>
        <w:pStyle w:val="Voetnoottekst"/>
        <w:rPr>
          <w:rFonts w:ascii="Cambria" w:hAnsi="Cambria"/>
          <w:bCs/>
          <w:i/>
          <w:sz w:val="16"/>
          <w:szCs w:val="16"/>
          <w:lang w:val="fr-FR"/>
        </w:rPr>
      </w:pPr>
      <w:r w:rsidRPr="00E762CE">
        <w:rPr>
          <w:rStyle w:val="Voetnootmarkering"/>
          <w:rFonts w:ascii="Cambria" w:hAnsi="Cambria"/>
          <w:sz w:val="16"/>
          <w:szCs w:val="18"/>
        </w:rPr>
        <w:footnoteRef/>
      </w:r>
      <w:r w:rsidRPr="00E762CE">
        <w:rPr>
          <w:rFonts w:ascii="Cambria" w:hAnsi="Cambria"/>
          <w:sz w:val="16"/>
          <w:szCs w:val="18"/>
          <w:lang w:val="fr-FR"/>
        </w:rPr>
        <w:t xml:space="preserve"> Ca</w:t>
      </w:r>
      <w:r w:rsidRPr="007B3F43">
        <w:rPr>
          <w:rFonts w:ascii="Cambria" w:hAnsi="Cambria"/>
          <w:sz w:val="16"/>
          <w:szCs w:val="16"/>
          <w:lang w:val="fr-FR"/>
        </w:rPr>
        <w:t xml:space="preserve">se C-70/10, </w:t>
      </w:r>
      <w:r w:rsidRPr="007B3F43">
        <w:rPr>
          <w:rFonts w:ascii="Cambria" w:hAnsi="Cambria"/>
          <w:bCs/>
          <w:i/>
          <w:sz w:val="16"/>
          <w:szCs w:val="16"/>
          <w:lang w:val="fr-FR"/>
        </w:rPr>
        <w:t xml:space="preserve">Scarlet Extended SA v Société belge des auteurs, compositeurs et éditeurs SCRL </w:t>
      </w:r>
      <w:r w:rsidRPr="007B3F43">
        <w:rPr>
          <w:rFonts w:ascii="Cambria" w:hAnsi="Cambria"/>
          <w:bCs/>
          <w:sz w:val="16"/>
          <w:szCs w:val="16"/>
          <w:lang w:val="fr-FR"/>
        </w:rPr>
        <w:t>(SABAM)</w:t>
      </w:r>
      <w:r w:rsidRPr="007B3F43">
        <w:rPr>
          <w:rFonts w:ascii="Cambria" w:hAnsi="Cambria"/>
          <w:sz w:val="16"/>
          <w:szCs w:val="16"/>
          <w:lang w:val="fr-FR"/>
        </w:rPr>
        <w:t xml:space="preserve"> (Scarlet Extended), ECLI:EU:C:2011:771.</w:t>
      </w:r>
    </w:p>
  </w:footnote>
  <w:footnote w:id="98">
    <w:p w:rsidR="00386DDC" w:rsidRPr="007B3F43" w:rsidRDefault="00386DDC">
      <w:pPr>
        <w:pStyle w:val="Voetnoottekst"/>
        <w:rPr>
          <w:rFonts w:ascii="Cambria" w:hAnsi="Cambria"/>
          <w:sz w:val="16"/>
          <w:szCs w:val="16"/>
          <w:lang w:val="en-US"/>
        </w:rPr>
      </w:pPr>
      <w:r w:rsidRPr="007B3F43">
        <w:rPr>
          <w:rStyle w:val="Voetnootmarkering"/>
          <w:rFonts w:ascii="Cambria" w:hAnsi="Cambria"/>
          <w:sz w:val="16"/>
          <w:szCs w:val="16"/>
        </w:rPr>
        <w:footnoteRef/>
      </w:r>
      <w:r w:rsidRPr="007B3F43">
        <w:rPr>
          <w:rFonts w:ascii="Cambria" w:hAnsi="Cambria"/>
          <w:sz w:val="16"/>
          <w:szCs w:val="16"/>
        </w:rPr>
        <w:t xml:space="preserve"> S. WEATHERILL, ‘Protecting the Internal Market From the Charter’ in S. DE VRIES, U. BERNITZ and S. WEATHERILL (</w:t>
      </w:r>
      <w:r>
        <w:rPr>
          <w:rFonts w:ascii="Cambria" w:hAnsi="Cambria"/>
          <w:sz w:val="16"/>
          <w:szCs w:val="16"/>
        </w:rPr>
        <w:t>eds.</w:t>
      </w:r>
      <w:r w:rsidRPr="007B3F43">
        <w:rPr>
          <w:rFonts w:ascii="Cambria" w:hAnsi="Cambria"/>
          <w:sz w:val="16"/>
          <w:szCs w:val="16"/>
        </w:rPr>
        <w:t>),</w:t>
      </w:r>
      <w:r w:rsidRPr="007B3F43">
        <w:rPr>
          <w:rFonts w:ascii="Cambria" w:hAnsi="Cambria"/>
          <w:i/>
          <w:sz w:val="16"/>
          <w:szCs w:val="16"/>
        </w:rPr>
        <w:t xml:space="preserve"> Five Years Old and Growing - The EU Charter of Fundamental</w:t>
      </w:r>
      <w:r w:rsidRPr="007B3F43">
        <w:rPr>
          <w:rFonts w:ascii="Cambria" w:hAnsi="Cambria"/>
          <w:i/>
          <w:sz w:val="16"/>
          <w:szCs w:val="16"/>
          <w:lang w:val="en-US"/>
        </w:rPr>
        <w:t xml:space="preserve"> Rights as a binding instrument</w:t>
      </w:r>
      <w:r w:rsidRPr="007B3F43">
        <w:rPr>
          <w:rFonts w:ascii="Cambria" w:hAnsi="Cambria"/>
          <w:sz w:val="16"/>
          <w:szCs w:val="16"/>
          <w:lang w:val="en-US"/>
        </w:rPr>
        <w:t xml:space="preserve">, Hart Publishing, Oxford, 2015, </w:t>
      </w:r>
      <w:r w:rsidRPr="0046139B">
        <w:rPr>
          <w:rFonts w:ascii="Cambria" w:hAnsi="Cambria"/>
          <w:i/>
          <w:sz w:val="16"/>
          <w:szCs w:val="16"/>
          <w:lang w:val="en-US"/>
        </w:rPr>
        <w:t>forthcoming</w:t>
      </w:r>
      <w:r w:rsidRPr="007B3F43">
        <w:rPr>
          <w:rFonts w:ascii="Cambria" w:hAnsi="Cambria"/>
          <w:sz w:val="16"/>
          <w:szCs w:val="16"/>
          <w:lang w:val="en-US"/>
        </w:rPr>
        <w:t>.</w:t>
      </w:r>
    </w:p>
  </w:footnote>
  <w:footnote w:id="99">
    <w:p w:rsidR="00386DDC" w:rsidRPr="007B3F43" w:rsidRDefault="00386DDC" w:rsidP="00950990">
      <w:pPr>
        <w:pStyle w:val="Voetnoottekst"/>
        <w:jc w:val="both"/>
        <w:rPr>
          <w:rFonts w:ascii="Cambria" w:hAnsi="Cambria"/>
          <w:sz w:val="16"/>
          <w:szCs w:val="16"/>
          <w:lang w:val="en-US"/>
        </w:rPr>
      </w:pPr>
      <w:r w:rsidRPr="007B3F43">
        <w:rPr>
          <w:rStyle w:val="Voetnootmarkering"/>
          <w:rFonts w:ascii="Cambria" w:hAnsi="Cambria"/>
          <w:sz w:val="16"/>
          <w:szCs w:val="16"/>
        </w:rPr>
        <w:footnoteRef/>
      </w:r>
      <w:r w:rsidR="00FC5F2F" w:rsidRPr="00FC5F2F">
        <w:rPr>
          <w:rFonts w:ascii="Cambria" w:hAnsi="Cambria" w:cs="Garamond"/>
          <w:sz w:val="16"/>
          <w:szCs w:val="16"/>
          <w:lang w:val="fr-FR"/>
        </w:rPr>
        <w:t xml:space="preserve"> P. CRAIG and G. DE BÚRCA, </w:t>
      </w:r>
      <w:r w:rsidR="00FC5F2F" w:rsidRPr="00FC5F2F">
        <w:rPr>
          <w:rFonts w:ascii="Cambria" w:hAnsi="Cambria" w:cs="Garamond"/>
          <w:i/>
          <w:sz w:val="16"/>
          <w:szCs w:val="16"/>
          <w:lang w:val="fr-FR"/>
        </w:rPr>
        <w:t xml:space="preserve">EU Law. </w:t>
      </w:r>
      <w:r w:rsidRPr="007B3F43">
        <w:rPr>
          <w:rFonts w:ascii="Cambria" w:hAnsi="Cambria" w:cs="Garamond"/>
          <w:i/>
          <w:sz w:val="16"/>
          <w:szCs w:val="16"/>
          <w:lang w:val="en-US"/>
        </w:rPr>
        <w:t xml:space="preserve">Text, cases, and materials, </w:t>
      </w:r>
      <w:r w:rsidRPr="007B3F43">
        <w:rPr>
          <w:rFonts w:ascii="Cambria" w:hAnsi="Cambria" w:cs="Garamond"/>
          <w:sz w:val="16"/>
          <w:szCs w:val="16"/>
          <w:lang w:val="en-US"/>
        </w:rPr>
        <w:t>5</w:t>
      </w:r>
      <w:r w:rsidRPr="007B3F43">
        <w:rPr>
          <w:rFonts w:ascii="Cambria" w:hAnsi="Cambria" w:cs="Garamond"/>
          <w:sz w:val="16"/>
          <w:szCs w:val="16"/>
          <w:vertAlign w:val="superscript"/>
          <w:lang w:val="en-US"/>
        </w:rPr>
        <w:t>th</w:t>
      </w:r>
      <w:r>
        <w:rPr>
          <w:rFonts w:ascii="Cambria" w:hAnsi="Cambria" w:cs="Garamond"/>
          <w:sz w:val="16"/>
          <w:szCs w:val="16"/>
          <w:lang w:val="en-US"/>
        </w:rPr>
        <w:t xml:space="preserve"> ed.</w:t>
      </w:r>
      <w:r w:rsidRPr="007B3F43">
        <w:rPr>
          <w:rFonts w:ascii="Cambria" w:hAnsi="Cambria" w:cs="Garamond"/>
          <w:sz w:val="16"/>
          <w:szCs w:val="16"/>
          <w:lang w:val="en-US"/>
        </w:rPr>
        <w:t>, Oxford University Press, Oxford 2011, p. 398.</w:t>
      </w:r>
    </w:p>
  </w:footnote>
  <w:footnote w:id="100">
    <w:p w:rsidR="00386DDC" w:rsidRPr="007B3F43" w:rsidRDefault="00386DDC" w:rsidP="00950990">
      <w:pPr>
        <w:pStyle w:val="Voetnoottekst"/>
        <w:jc w:val="both"/>
        <w:rPr>
          <w:rFonts w:ascii="Cambria" w:hAnsi="Cambria"/>
          <w:sz w:val="16"/>
          <w:szCs w:val="16"/>
          <w:lang w:val="en-US"/>
        </w:rPr>
      </w:pPr>
      <w:r w:rsidRPr="007B3F43">
        <w:rPr>
          <w:rStyle w:val="Voetnootmarkering"/>
          <w:rFonts w:ascii="Cambria" w:hAnsi="Cambria"/>
          <w:sz w:val="16"/>
          <w:szCs w:val="16"/>
        </w:rPr>
        <w:footnoteRef/>
      </w:r>
      <w:r w:rsidRPr="007B3F43">
        <w:rPr>
          <w:rFonts w:ascii="Cambria" w:hAnsi="Cambria"/>
          <w:sz w:val="16"/>
          <w:szCs w:val="16"/>
        </w:rPr>
        <w:t xml:space="preserve"> </w:t>
      </w:r>
      <w:r w:rsidRPr="007B3F43">
        <w:rPr>
          <w:rFonts w:ascii="Cambria" w:hAnsi="Cambria"/>
          <w:sz w:val="16"/>
          <w:szCs w:val="16"/>
          <w:lang w:val="en-US"/>
        </w:rPr>
        <w:t xml:space="preserve">Opinion of AG CRUZ VILLALÓN in Case C-176/12, </w:t>
      </w:r>
      <w:r w:rsidRPr="007B3F43">
        <w:rPr>
          <w:rFonts w:ascii="Cambria" w:hAnsi="Cambria"/>
          <w:i/>
          <w:sz w:val="16"/>
          <w:szCs w:val="16"/>
          <w:lang w:val="en-US"/>
        </w:rPr>
        <w:t>AMS</w:t>
      </w:r>
      <w:r w:rsidRPr="007B3F43">
        <w:rPr>
          <w:rFonts w:ascii="Cambria" w:hAnsi="Cambria"/>
          <w:sz w:val="16"/>
          <w:szCs w:val="16"/>
          <w:lang w:val="en-US"/>
        </w:rPr>
        <w:t>, ECLI:EU:C:2013:491, para. 49.</w:t>
      </w:r>
    </w:p>
  </w:footnote>
  <w:footnote w:id="101">
    <w:p w:rsidR="00386DDC" w:rsidRPr="00110B03" w:rsidRDefault="00386DDC" w:rsidP="00950990">
      <w:pPr>
        <w:pStyle w:val="Voetnoottekst"/>
        <w:jc w:val="both"/>
        <w:rPr>
          <w:rFonts w:ascii="Cambria" w:hAnsi="Cambria"/>
          <w:sz w:val="16"/>
          <w:szCs w:val="16"/>
          <w:lang w:val="en-US"/>
        </w:rPr>
      </w:pPr>
      <w:r w:rsidRPr="007B3F43">
        <w:rPr>
          <w:rStyle w:val="Voetnootmarkering"/>
          <w:rFonts w:ascii="Cambria" w:hAnsi="Cambria"/>
          <w:sz w:val="16"/>
          <w:szCs w:val="16"/>
        </w:rPr>
        <w:footnoteRef/>
      </w:r>
      <w:r w:rsidR="00FC5F2F" w:rsidRPr="00FC5F2F">
        <w:rPr>
          <w:rFonts w:ascii="Cambria" w:hAnsi="Cambria"/>
          <w:sz w:val="16"/>
          <w:szCs w:val="16"/>
          <w:lang w:val="en-US"/>
        </w:rPr>
        <w:t xml:space="preserve"> K. LENAERTS, ‘Exploring the limits of the EU Charter of Fundamental Rights’ (2012) </w:t>
      </w:r>
      <w:r w:rsidR="00FC5F2F" w:rsidRPr="00FC5F2F">
        <w:rPr>
          <w:rFonts w:ascii="Cambria" w:hAnsi="Cambria"/>
          <w:i/>
          <w:sz w:val="16"/>
          <w:szCs w:val="16"/>
          <w:lang w:val="en-US"/>
        </w:rPr>
        <w:t>European Constitutional Law Review</w:t>
      </w:r>
      <w:r w:rsidR="00FC5F2F" w:rsidRPr="00FC5F2F">
        <w:rPr>
          <w:rFonts w:ascii="Cambria" w:hAnsi="Cambria"/>
          <w:sz w:val="16"/>
          <w:szCs w:val="16"/>
          <w:lang w:val="en-US"/>
        </w:rPr>
        <w:t>, p. 399.</w:t>
      </w:r>
    </w:p>
  </w:footnote>
  <w:footnote w:id="102">
    <w:p w:rsidR="00386DDC" w:rsidRPr="007B3F43" w:rsidRDefault="00386DDC" w:rsidP="00950990">
      <w:pPr>
        <w:pStyle w:val="Voetnoottekst"/>
        <w:jc w:val="both"/>
        <w:rPr>
          <w:rFonts w:ascii="Cambria" w:hAnsi="Cambria"/>
          <w:sz w:val="16"/>
          <w:szCs w:val="16"/>
        </w:rPr>
      </w:pPr>
      <w:r w:rsidRPr="007B3F43">
        <w:rPr>
          <w:rStyle w:val="Voetnootmarkering"/>
          <w:rFonts w:ascii="Cambria" w:hAnsi="Cambria"/>
          <w:sz w:val="16"/>
          <w:szCs w:val="16"/>
        </w:rPr>
        <w:footnoteRef/>
      </w:r>
      <w:r w:rsidRPr="007B3F43">
        <w:rPr>
          <w:rFonts w:ascii="Cambria" w:hAnsi="Cambria" w:cs="Garamond"/>
          <w:sz w:val="16"/>
          <w:szCs w:val="16"/>
          <w:lang w:val="nl-NL"/>
        </w:rPr>
        <w:t xml:space="preserve"> R. BARENTS, ‘Een grondwet voor Europa (VI): de grondrechten’ (2005)</w:t>
      </w:r>
      <w:r w:rsidRPr="007B3F43">
        <w:rPr>
          <w:rFonts w:ascii="Cambria" w:hAnsi="Cambria" w:cs="Garamond"/>
          <w:iCs/>
          <w:sz w:val="16"/>
          <w:szCs w:val="16"/>
          <w:lang w:val="nl-NL"/>
        </w:rPr>
        <w:t xml:space="preserve"> no. 2 </w:t>
      </w:r>
      <w:r w:rsidRPr="007B3F43">
        <w:rPr>
          <w:rFonts w:ascii="Cambria" w:hAnsi="Cambria" w:cs="Garamond"/>
          <w:sz w:val="16"/>
          <w:szCs w:val="16"/>
          <w:lang w:val="nl-NL"/>
        </w:rPr>
        <w:t xml:space="preserve"> </w:t>
      </w:r>
      <w:r w:rsidRPr="007B3F43">
        <w:rPr>
          <w:rFonts w:ascii="Cambria" w:hAnsi="Cambria" w:cs="Garamond"/>
          <w:i/>
          <w:iCs/>
          <w:sz w:val="16"/>
          <w:szCs w:val="16"/>
          <w:lang w:val="nl-NL"/>
        </w:rPr>
        <w:t>Nederlands tijdschrift voor Europees recht</w:t>
      </w:r>
      <w:r w:rsidRPr="007B3F43">
        <w:rPr>
          <w:rFonts w:ascii="Cambria" w:hAnsi="Cambria" w:cs="Garamond"/>
          <w:iCs/>
          <w:sz w:val="16"/>
          <w:szCs w:val="16"/>
          <w:lang w:val="nl-NL"/>
        </w:rPr>
        <w:t xml:space="preserve">, p. </w:t>
      </w:r>
      <w:r w:rsidRPr="007B3F43">
        <w:rPr>
          <w:rFonts w:ascii="Cambria" w:hAnsi="Cambria" w:cs="Garamond"/>
          <w:sz w:val="16"/>
          <w:szCs w:val="16"/>
          <w:lang w:val="nl-NL"/>
        </w:rPr>
        <w:t xml:space="preserve">44. </w:t>
      </w:r>
      <w:r w:rsidRPr="007B3F43">
        <w:rPr>
          <w:rFonts w:ascii="Cambria" w:hAnsi="Cambria" w:cs="Garamond"/>
          <w:sz w:val="16"/>
          <w:szCs w:val="16"/>
        </w:rPr>
        <w:t xml:space="preserve">See TRIDIMAS, </w:t>
      </w:r>
      <w:r w:rsidRPr="007B3F43">
        <w:rPr>
          <w:rFonts w:ascii="Cambria" w:hAnsi="Cambria" w:cs="Garamond"/>
          <w:i/>
          <w:sz w:val="16"/>
          <w:szCs w:val="16"/>
        </w:rPr>
        <w:t xml:space="preserve">supra </w:t>
      </w:r>
      <w:r w:rsidRPr="007B3F43">
        <w:rPr>
          <w:rFonts w:ascii="Cambria" w:hAnsi="Cambria" w:cs="Garamond"/>
          <w:sz w:val="16"/>
          <w:szCs w:val="16"/>
        </w:rPr>
        <w:t xml:space="preserve">at </w:t>
      </w:r>
      <w:r w:rsidR="007B022E" w:rsidRPr="007B3F43">
        <w:rPr>
          <w:rFonts w:ascii="Cambria" w:hAnsi="Cambria" w:cs="Garamond"/>
          <w:sz w:val="16"/>
          <w:szCs w:val="16"/>
        </w:rPr>
        <w:fldChar w:fldCharType="begin"/>
      </w:r>
      <w:r w:rsidRPr="007B3F43">
        <w:rPr>
          <w:rFonts w:ascii="Cambria" w:hAnsi="Cambria" w:cs="Garamond"/>
          <w:sz w:val="16"/>
          <w:szCs w:val="16"/>
        </w:rPr>
        <w:instrText xml:space="preserve"> NOTEREF _Ref420513882 \h </w:instrText>
      </w:r>
      <w:r w:rsidR="007B022E" w:rsidRPr="007B3F43">
        <w:rPr>
          <w:rFonts w:ascii="Cambria" w:hAnsi="Cambria" w:cs="Garamond"/>
          <w:sz w:val="16"/>
          <w:szCs w:val="16"/>
        </w:rPr>
      </w:r>
      <w:r w:rsidR="007B022E" w:rsidRPr="007B3F43">
        <w:rPr>
          <w:rFonts w:ascii="Cambria" w:hAnsi="Cambria" w:cs="Garamond"/>
          <w:sz w:val="16"/>
          <w:szCs w:val="16"/>
        </w:rPr>
        <w:fldChar w:fldCharType="separate"/>
      </w:r>
      <w:r w:rsidRPr="007B3F43">
        <w:rPr>
          <w:rFonts w:ascii="Cambria" w:hAnsi="Cambria" w:cs="Garamond"/>
          <w:sz w:val="16"/>
          <w:szCs w:val="16"/>
        </w:rPr>
        <w:t>70</w:t>
      </w:r>
      <w:r w:rsidR="007B022E" w:rsidRPr="007B3F43">
        <w:rPr>
          <w:rFonts w:ascii="Cambria" w:hAnsi="Cambria" w:cs="Garamond"/>
          <w:sz w:val="16"/>
          <w:szCs w:val="16"/>
        </w:rPr>
        <w:fldChar w:fldCharType="end"/>
      </w:r>
      <w:r w:rsidRPr="007B3F43">
        <w:rPr>
          <w:rFonts w:ascii="Cambria" w:hAnsi="Cambria" w:cs="Garamond"/>
          <w:sz w:val="16"/>
          <w:szCs w:val="16"/>
        </w:rPr>
        <w:t xml:space="preserve">, </w:t>
      </w:r>
      <w:r w:rsidRPr="007B3F43">
        <w:rPr>
          <w:rFonts w:ascii="Cambria" w:hAnsi="Cambria" w:cs="Garamond"/>
          <w:iCs/>
          <w:sz w:val="16"/>
          <w:szCs w:val="16"/>
        </w:rPr>
        <w:t xml:space="preserve">pp. </w:t>
      </w:r>
      <w:r w:rsidRPr="007B3F43">
        <w:rPr>
          <w:rFonts w:ascii="Cambria" w:hAnsi="Cambria" w:cs="Garamond"/>
          <w:sz w:val="16"/>
          <w:szCs w:val="16"/>
        </w:rPr>
        <w:t>358-359.</w:t>
      </w:r>
    </w:p>
  </w:footnote>
  <w:footnote w:id="103">
    <w:p w:rsidR="00386DDC" w:rsidRPr="007B3F43" w:rsidRDefault="00386DDC">
      <w:pPr>
        <w:pStyle w:val="Voetnoottekst"/>
        <w:jc w:val="both"/>
        <w:rPr>
          <w:rFonts w:ascii="Cambria" w:hAnsi="Cambria"/>
          <w:sz w:val="16"/>
          <w:szCs w:val="16"/>
          <w:lang w:val="en-US"/>
        </w:rPr>
      </w:pPr>
      <w:r w:rsidRPr="007B3F43">
        <w:rPr>
          <w:rStyle w:val="Voetnootmarkering"/>
          <w:rFonts w:ascii="Cambria" w:hAnsi="Cambria"/>
          <w:sz w:val="16"/>
          <w:szCs w:val="16"/>
        </w:rPr>
        <w:footnoteRef/>
      </w:r>
      <w:r w:rsidRPr="007B3F43">
        <w:rPr>
          <w:rFonts w:ascii="Cambria" w:hAnsi="Cambria"/>
          <w:sz w:val="16"/>
          <w:szCs w:val="16"/>
        </w:rPr>
        <w:t xml:space="preserve"> </w:t>
      </w:r>
      <w:r w:rsidRPr="007B3F43">
        <w:rPr>
          <w:rFonts w:ascii="Cambria" w:hAnsi="Cambria"/>
          <w:sz w:val="16"/>
          <w:szCs w:val="16"/>
          <w:lang w:val="en-US"/>
        </w:rPr>
        <w:t xml:space="preserve">Case C-176/12, </w:t>
      </w:r>
      <w:r w:rsidRPr="007B3F43">
        <w:rPr>
          <w:rFonts w:ascii="Cambria" w:hAnsi="Cambria"/>
          <w:i/>
          <w:sz w:val="16"/>
          <w:szCs w:val="16"/>
          <w:lang w:val="en-US"/>
        </w:rPr>
        <w:t xml:space="preserve">AMS, </w:t>
      </w:r>
      <w:r w:rsidRPr="007B3F43">
        <w:rPr>
          <w:rFonts w:ascii="Cambria" w:hAnsi="Cambria"/>
          <w:sz w:val="16"/>
          <w:szCs w:val="16"/>
          <w:lang w:val="en-US"/>
        </w:rPr>
        <w:t>ECLI:EU:C:2014:2.</w:t>
      </w:r>
    </w:p>
  </w:footnote>
  <w:footnote w:id="104">
    <w:p w:rsidR="00386DDC" w:rsidRPr="0046139B" w:rsidRDefault="00386DDC">
      <w:pPr>
        <w:pStyle w:val="Voetnoottekst"/>
        <w:jc w:val="both"/>
        <w:rPr>
          <w:rFonts w:ascii="Cambria" w:hAnsi="Cambria"/>
          <w:sz w:val="16"/>
          <w:szCs w:val="16"/>
          <w:lang w:val="en-US"/>
        </w:rPr>
      </w:pPr>
      <w:r w:rsidRPr="0046139B">
        <w:rPr>
          <w:rStyle w:val="Voetnootmarkering"/>
          <w:rFonts w:ascii="Cambria" w:hAnsi="Cambria"/>
          <w:sz w:val="16"/>
          <w:szCs w:val="16"/>
        </w:rPr>
        <w:footnoteRef/>
      </w:r>
      <w:r w:rsidRPr="0046139B">
        <w:rPr>
          <w:rFonts w:ascii="Cambria" w:hAnsi="Cambria"/>
          <w:sz w:val="16"/>
          <w:szCs w:val="16"/>
        </w:rPr>
        <w:t xml:space="preserve"> </w:t>
      </w:r>
      <w:r w:rsidRPr="0046139B">
        <w:rPr>
          <w:rFonts w:ascii="Cambria" w:hAnsi="Cambria"/>
          <w:sz w:val="16"/>
          <w:szCs w:val="16"/>
          <w:lang w:val="en-US"/>
        </w:rPr>
        <w:t xml:space="preserve">AMS, </w:t>
      </w:r>
      <w:r w:rsidR="00FC5F2F" w:rsidRPr="00FC5F2F">
        <w:rPr>
          <w:rFonts w:ascii="Cambria" w:hAnsi="Cambria" w:cs="Garamond"/>
          <w:i/>
          <w:sz w:val="16"/>
          <w:szCs w:val="16"/>
          <w:lang w:val="en-US"/>
        </w:rPr>
        <w:t xml:space="preserve">supra </w:t>
      </w:r>
      <w:r w:rsidR="00FC5F2F" w:rsidRPr="00FC5F2F">
        <w:rPr>
          <w:rFonts w:ascii="Cambria" w:hAnsi="Cambria" w:cs="Garamond"/>
          <w:sz w:val="16"/>
          <w:szCs w:val="16"/>
          <w:lang w:val="en-US"/>
        </w:rPr>
        <w:t xml:space="preserve">at </w:t>
      </w:r>
      <w:fldSimple w:instr=" NOTEREF _Ref420512544 \h  \* MERGEFORMAT ">
        <w:r w:rsidR="00FC5F2F" w:rsidRPr="00FC5F2F">
          <w:rPr>
            <w:rFonts w:ascii="Cambria" w:hAnsi="Cambria" w:cs="Garamond"/>
            <w:sz w:val="16"/>
            <w:szCs w:val="16"/>
            <w:lang w:val="en-US"/>
          </w:rPr>
          <w:t>103</w:t>
        </w:r>
      </w:fldSimple>
      <w:r w:rsidR="00FC5F2F" w:rsidRPr="00FC5F2F">
        <w:rPr>
          <w:rFonts w:ascii="Cambria" w:hAnsi="Cambria" w:cs="Garamond"/>
          <w:sz w:val="16"/>
          <w:szCs w:val="16"/>
          <w:lang w:val="en-US"/>
        </w:rPr>
        <w:t>,</w:t>
      </w:r>
      <w:r w:rsidRPr="0046139B">
        <w:rPr>
          <w:rFonts w:ascii="Cambria" w:hAnsi="Cambria"/>
          <w:sz w:val="16"/>
          <w:szCs w:val="16"/>
          <w:lang w:val="en-US"/>
        </w:rPr>
        <w:t xml:space="preserve"> para. 45.</w:t>
      </w:r>
    </w:p>
  </w:footnote>
  <w:footnote w:id="105">
    <w:p w:rsidR="00386DDC" w:rsidRPr="0046139B" w:rsidRDefault="00386DDC">
      <w:pPr>
        <w:pStyle w:val="Voetnoottekst"/>
        <w:jc w:val="both"/>
        <w:rPr>
          <w:rFonts w:ascii="Cambria" w:hAnsi="Cambria"/>
          <w:sz w:val="16"/>
          <w:szCs w:val="16"/>
          <w:lang w:val="en-US"/>
        </w:rPr>
      </w:pPr>
      <w:r w:rsidRPr="0046139B">
        <w:rPr>
          <w:rStyle w:val="Voetnootmarkering"/>
          <w:rFonts w:ascii="Cambria" w:hAnsi="Cambria"/>
          <w:sz w:val="16"/>
          <w:szCs w:val="16"/>
        </w:rPr>
        <w:footnoteRef/>
      </w:r>
      <w:r w:rsidRPr="0046139B">
        <w:rPr>
          <w:rFonts w:ascii="Cambria" w:hAnsi="Cambria"/>
          <w:sz w:val="16"/>
          <w:szCs w:val="16"/>
        </w:rPr>
        <w:t xml:space="preserve"> </w:t>
      </w:r>
      <w:r w:rsidRPr="0046139B">
        <w:rPr>
          <w:rFonts w:ascii="Cambria" w:hAnsi="Cambria"/>
          <w:sz w:val="16"/>
          <w:szCs w:val="16"/>
          <w:lang w:val="en-US"/>
        </w:rPr>
        <w:t xml:space="preserve">Opinion of AG CRUZ VILLALÓN in Case C-176/12, </w:t>
      </w:r>
      <w:r w:rsidRPr="0046139B">
        <w:rPr>
          <w:rFonts w:ascii="Cambria" w:hAnsi="Cambria"/>
          <w:i/>
          <w:sz w:val="16"/>
          <w:szCs w:val="16"/>
          <w:lang w:val="en-US"/>
        </w:rPr>
        <w:t>AMS</w:t>
      </w:r>
      <w:r w:rsidRPr="0046139B">
        <w:rPr>
          <w:rFonts w:ascii="Cambria" w:hAnsi="Cambria"/>
          <w:sz w:val="16"/>
          <w:szCs w:val="16"/>
          <w:lang w:val="en-US"/>
        </w:rPr>
        <w:t>, ECLI:EU:C:2013:491, paras. 50-80.</w:t>
      </w:r>
    </w:p>
  </w:footnote>
  <w:footnote w:id="106">
    <w:p w:rsidR="00386DDC" w:rsidRPr="0046139B" w:rsidRDefault="00386DDC">
      <w:pPr>
        <w:pStyle w:val="Voetnoottekst"/>
        <w:rPr>
          <w:rFonts w:ascii="Cambria" w:hAnsi="Cambria"/>
          <w:sz w:val="16"/>
          <w:szCs w:val="16"/>
          <w:lang w:val="en-US"/>
        </w:rPr>
      </w:pPr>
      <w:r w:rsidRPr="0046139B">
        <w:rPr>
          <w:rStyle w:val="Voetnootmarkering"/>
          <w:rFonts w:ascii="Cambria" w:hAnsi="Cambria"/>
          <w:sz w:val="16"/>
          <w:szCs w:val="16"/>
        </w:rPr>
        <w:footnoteRef/>
      </w:r>
      <w:r w:rsidRPr="0046139B">
        <w:rPr>
          <w:rFonts w:ascii="Cambria" w:hAnsi="Cambria"/>
          <w:sz w:val="16"/>
          <w:szCs w:val="16"/>
        </w:rPr>
        <w:t xml:space="preserve"> </w:t>
      </w:r>
      <w:r w:rsidRPr="0046139B">
        <w:rPr>
          <w:rFonts w:ascii="Cambria" w:hAnsi="Cambria"/>
          <w:sz w:val="16"/>
          <w:szCs w:val="16"/>
          <w:lang w:val="en-US"/>
        </w:rPr>
        <w:t xml:space="preserve">Opinion AMS, </w:t>
      </w:r>
      <w:r w:rsidR="00FC5F2F" w:rsidRPr="00FC5F2F">
        <w:rPr>
          <w:rFonts w:ascii="Cambria" w:hAnsi="Cambria" w:cs="Garamond"/>
          <w:i/>
          <w:sz w:val="16"/>
          <w:szCs w:val="16"/>
          <w:lang w:val="en-US"/>
        </w:rPr>
        <w:t xml:space="preserve">supra </w:t>
      </w:r>
      <w:r w:rsidR="00FC5F2F" w:rsidRPr="00FC5F2F">
        <w:rPr>
          <w:rFonts w:ascii="Cambria" w:hAnsi="Cambria" w:cs="Garamond"/>
          <w:sz w:val="16"/>
          <w:szCs w:val="16"/>
          <w:lang w:val="en-US"/>
        </w:rPr>
        <w:t xml:space="preserve">at </w:t>
      </w:r>
      <w:fldSimple w:instr=" NOTEREF _Ref420512583 \h  \* MERGEFORMAT ">
        <w:r w:rsidR="00FC5F2F" w:rsidRPr="00FC5F2F">
          <w:rPr>
            <w:rFonts w:ascii="Cambria" w:hAnsi="Cambria" w:cs="Garamond"/>
            <w:sz w:val="16"/>
            <w:szCs w:val="16"/>
            <w:lang w:val="en-US"/>
          </w:rPr>
          <w:t>105</w:t>
        </w:r>
      </w:fldSimple>
      <w:r w:rsidR="00FC5F2F" w:rsidRPr="00FC5F2F">
        <w:rPr>
          <w:rFonts w:ascii="Cambria" w:hAnsi="Cambria" w:cs="Garamond"/>
          <w:sz w:val="16"/>
          <w:szCs w:val="16"/>
          <w:lang w:val="en-US"/>
        </w:rPr>
        <w:t xml:space="preserve">, </w:t>
      </w:r>
      <w:r w:rsidRPr="0046139B">
        <w:rPr>
          <w:rFonts w:ascii="Cambria" w:hAnsi="Cambria"/>
          <w:sz w:val="16"/>
          <w:szCs w:val="16"/>
          <w:lang w:val="en-US"/>
        </w:rPr>
        <w:t xml:space="preserve">para. </w:t>
      </w:r>
      <w:r w:rsidRPr="0046139B">
        <w:rPr>
          <w:rFonts w:ascii="Cambria" w:hAnsi="Cambria"/>
          <w:sz w:val="16"/>
          <w:szCs w:val="16"/>
        </w:rPr>
        <w:t>49.</w:t>
      </w:r>
    </w:p>
  </w:footnote>
  <w:footnote w:id="107">
    <w:p w:rsidR="00386DDC" w:rsidRPr="0046139B" w:rsidRDefault="00386DDC">
      <w:pPr>
        <w:pStyle w:val="Voetnoottekst"/>
        <w:rPr>
          <w:rFonts w:ascii="Cambria" w:hAnsi="Cambria"/>
          <w:sz w:val="16"/>
          <w:szCs w:val="16"/>
        </w:rPr>
      </w:pPr>
      <w:r w:rsidRPr="0046139B">
        <w:rPr>
          <w:rStyle w:val="Voetnootmarkering"/>
          <w:rFonts w:ascii="Cambria" w:hAnsi="Cambria"/>
          <w:sz w:val="16"/>
          <w:szCs w:val="16"/>
        </w:rPr>
        <w:footnoteRef/>
      </w:r>
      <w:r w:rsidRPr="0046139B">
        <w:rPr>
          <w:rFonts w:ascii="Cambria" w:hAnsi="Cambria"/>
          <w:sz w:val="16"/>
          <w:szCs w:val="16"/>
        </w:rPr>
        <w:t xml:space="preserve"> </w:t>
      </w:r>
      <w:r w:rsidRPr="0046139B">
        <w:rPr>
          <w:rFonts w:ascii="Cambria" w:hAnsi="Cambria"/>
          <w:sz w:val="16"/>
          <w:szCs w:val="16"/>
          <w:lang w:val="en-US"/>
        </w:rPr>
        <w:t xml:space="preserve">Opinion AMS, </w:t>
      </w:r>
      <w:r w:rsidRPr="0046139B">
        <w:rPr>
          <w:rFonts w:ascii="Cambria" w:hAnsi="Cambria" w:cs="Garamond"/>
          <w:i/>
          <w:sz w:val="16"/>
          <w:szCs w:val="16"/>
        </w:rPr>
        <w:t xml:space="preserve">supra </w:t>
      </w:r>
      <w:r w:rsidRPr="0046139B">
        <w:rPr>
          <w:rFonts w:ascii="Cambria" w:hAnsi="Cambria" w:cs="Garamond"/>
          <w:sz w:val="16"/>
          <w:szCs w:val="16"/>
        </w:rPr>
        <w:t xml:space="preserve">at </w:t>
      </w:r>
      <w:fldSimple w:instr=" NOTEREF _Ref420512583 \h  \* MERGEFORMAT ">
        <w:r w:rsidRPr="0046139B">
          <w:rPr>
            <w:rFonts w:ascii="Cambria" w:hAnsi="Cambria" w:cs="Garamond"/>
            <w:sz w:val="16"/>
            <w:szCs w:val="16"/>
          </w:rPr>
          <w:t>105</w:t>
        </w:r>
      </w:fldSimple>
      <w:r w:rsidRPr="0046139B">
        <w:rPr>
          <w:rFonts w:ascii="Cambria" w:hAnsi="Cambria" w:cs="Garamond"/>
          <w:sz w:val="16"/>
          <w:szCs w:val="16"/>
        </w:rPr>
        <w:t xml:space="preserve">, </w:t>
      </w:r>
      <w:r w:rsidRPr="0046139B">
        <w:rPr>
          <w:rFonts w:ascii="Cambria" w:hAnsi="Cambria"/>
          <w:sz w:val="16"/>
          <w:szCs w:val="16"/>
        </w:rPr>
        <w:t>para. 55.</w:t>
      </w:r>
    </w:p>
  </w:footnote>
  <w:footnote w:id="108">
    <w:p w:rsidR="00386DDC" w:rsidRPr="0046139B" w:rsidRDefault="00386DDC">
      <w:pPr>
        <w:pStyle w:val="Voetnoottekst"/>
        <w:rPr>
          <w:sz w:val="16"/>
          <w:szCs w:val="16"/>
          <w:lang w:val="en-US"/>
        </w:rPr>
      </w:pPr>
      <w:r w:rsidRPr="0046139B">
        <w:rPr>
          <w:rStyle w:val="Voetnootmarkering"/>
          <w:rFonts w:ascii="Cambria" w:hAnsi="Cambria"/>
          <w:sz w:val="16"/>
          <w:szCs w:val="16"/>
        </w:rPr>
        <w:footnoteRef/>
      </w:r>
      <w:r>
        <w:rPr>
          <w:rFonts w:ascii="Cambria" w:hAnsi="Cambria"/>
          <w:sz w:val="16"/>
          <w:szCs w:val="16"/>
        </w:rPr>
        <w:t xml:space="preserve"> See also J.</w:t>
      </w:r>
      <w:r w:rsidRPr="0046139B">
        <w:rPr>
          <w:rFonts w:ascii="Cambria" w:hAnsi="Cambria"/>
          <w:sz w:val="16"/>
          <w:szCs w:val="16"/>
        </w:rPr>
        <w:t xml:space="preserve">M. SERVAIS, </w:t>
      </w:r>
      <w:r w:rsidRPr="0046139B">
        <w:rPr>
          <w:rFonts w:ascii="Cambria" w:hAnsi="Cambria"/>
          <w:i/>
          <w:sz w:val="16"/>
          <w:szCs w:val="16"/>
        </w:rPr>
        <w:t>International labour law</w:t>
      </w:r>
      <w:r w:rsidRPr="0046139B">
        <w:rPr>
          <w:rFonts w:ascii="Cambria" w:hAnsi="Cambria"/>
          <w:sz w:val="16"/>
          <w:szCs w:val="16"/>
        </w:rPr>
        <w:t>, Kluwer International</w:t>
      </w:r>
      <w:r w:rsidRPr="0046139B">
        <w:rPr>
          <w:rFonts w:ascii="Cambria" w:hAnsi="Cambria"/>
          <w:sz w:val="16"/>
          <w:szCs w:val="16"/>
          <w:lang w:val="en-US"/>
        </w:rPr>
        <w:t>, The Hague 2014, p. 104.</w:t>
      </w:r>
    </w:p>
  </w:footnote>
  <w:footnote w:id="109">
    <w:p w:rsidR="00386DDC" w:rsidRPr="0046139B" w:rsidRDefault="00386DDC" w:rsidP="005B3C96">
      <w:pPr>
        <w:pStyle w:val="Voetnoottekst"/>
        <w:jc w:val="both"/>
        <w:rPr>
          <w:rFonts w:ascii="Cambria" w:hAnsi="Cambria"/>
          <w:sz w:val="16"/>
          <w:szCs w:val="16"/>
        </w:rPr>
      </w:pPr>
      <w:r w:rsidRPr="0046139B">
        <w:rPr>
          <w:rStyle w:val="Voetnootmarkering"/>
          <w:rFonts w:ascii="Cambria" w:hAnsi="Cambria"/>
          <w:sz w:val="16"/>
          <w:szCs w:val="16"/>
        </w:rPr>
        <w:footnoteRef/>
      </w:r>
      <w:r w:rsidRPr="0046139B">
        <w:rPr>
          <w:rFonts w:ascii="Cambria" w:hAnsi="Cambria"/>
          <w:sz w:val="16"/>
          <w:szCs w:val="16"/>
        </w:rPr>
        <w:t xml:space="preserve"> This was recognized by</w:t>
      </w:r>
      <w:r>
        <w:rPr>
          <w:rFonts w:ascii="Cambria" w:hAnsi="Cambria"/>
          <w:sz w:val="16"/>
          <w:szCs w:val="16"/>
        </w:rPr>
        <w:t xml:space="preserve"> the</w:t>
      </w:r>
      <w:r w:rsidRPr="0046139B">
        <w:rPr>
          <w:rFonts w:ascii="Cambria" w:hAnsi="Cambria"/>
          <w:sz w:val="16"/>
          <w:szCs w:val="16"/>
        </w:rPr>
        <w:t xml:space="preserve"> ECtHR in that it acknowledged that the rights to collective bargaining and collective action, though regulated in the European Social Charter, are an essential part of the civil right to associa</w:t>
      </w:r>
      <w:r w:rsidRPr="0046139B">
        <w:rPr>
          <w:rFonts w:ascii="Cambria" w:hAnsi="Cambria"/>
          <w:sz w:val="16"/>
          <w:szCs w:val="16"/>
        </w:rPr>
        <w:softHyphen/>
        <w:t>tion and, there</w:t>
      </w:r>
      <w:r w:rsidRPr="0046139B">
        <w:rPr>
          <w:rFonts w:ascii="Cambria" w:hAnsi="Cambria"/>
          <w:sz w:val="16"/>
          <w:szCs w:val="16"/>
        </w:rPr>
        <w:softHyphen/>
        <w:t xml:space="preserve">fore, </w:t>
      </w:r>
      <w:r>
        <w:rPr>
          <w:rFonts w:ascii="Cambria" w:hAnsi="Cambria"/>
          <w:sz w:val="16"/>
          <w:szCs w:val="16"/>
        </w:rPr>
        <w:t xml:space="preserve">are </w:t>
      </w:r>
      <w:r w:rsidRPr="0046139B">
        <w:rPr>
          <w:rFonts w:ascii="Cambria" w:hAnsi="Cambria"/>
          <w:sz w:val="16"/>
          <w:szCs w:val="16"/>
        </w:rPr>
        <w:t xml:space="preserve">protected by Article 11 ECHR (ECtHR 12 November 2008, Appl. No. 34503/97, </w:t>
      </w:r>
      <w:r w:rsidRPr="0046139B">
        <w:rPr>
          <w:rFonts w:ascii="Cambria" w:hAnsi="Cambria"/>
          <w:i/>
          <w:sz w:val="16"/>
          <w:szCs w:val="16"/>
        </w:rPr>
        <w:t>Demir and Baykara v Turkey</w:t>
      </w:r>
      <w:r w:rsidRPr="0046139B">
        <w:rPr>
          <w:rFonts w:ascii="Cambria" w:hAnsi="Cambria"/>
          <w:sz w:val="16"/>
          <w:szCs w:val="16"/>
        </w:rPr>
        <w:t xml:space="preserve">;  ECtHR, 21 April 2009, Appl. No. 68959/01, </w:t>
      </w:r>
      <w:r w:rsidRPr="0046139B">
        <w:rPr>
          <w:rFonts w:ascii="Cambria" w:hAnsi="Cambria"/>
          <w:i/>
          <w:sz w:val="16"/>
          <w:szCs w:val="16"/>
        </w:rPr>
        <w:t>Enerji Yapi-Yol Sen v Turkey</w:t>
      </w:r>
      <w:r w:rsidRPr="0046139B">
        <w:rPr>
          <w:rFonts w:ascii="Cambria" w:hAnsi="Cambria"/>
          <w:sz w:val="16"/>
          <w:szCs w:val="16"/>
        </w:rPr>
        <w:t>).</w:t>
      </w:r>
    </w:p>
  </w:footnote>
  <w:footnote w:id="110">
    <w:p w:rsidR="00386DDC" w:rsidRPr="00110B03" w:rsidRDefault="00386DDC">
      <w:pPr>
        <w:pStyle w:val="Voetnoottekst"/>
        <w:rPr>
          <w:rFonts w:ascii="Cambria" w:hAnsi="Cambria"/>
          <w:sz w:val="16"/>
          <w:szCs w:val="16"/>
          <w:lang w:val="es-ES"/>
        </w:rPr>
      </w:pPr>
      <w:r w:rsidRPr="0046139B">
        <w:rPr>
          <w:rStyle w:val="Voetnootmarkering"/>
          <w:rFonts w:ascii="Cambria" w:hAnsi="Cambria"/>
          <w:sz w:val="16"/>
          <w:szCs w:val="16"/>
        </w:rPr>
        <w:footnoteRef/>
      </w:r>
      <w:r w:rsidR="00FC5F2F" w:rsidRPr="00FC5F2F">
        <w:rPr>
          <w:rFonts w:ascii="Cambria" w:hAnsi="Cambria"/>
          <w:sz w:val="16"/>
          <w:szCs w:val="16"/>
          <w:lang w:val="es-ES"/>
        </w:rPr>
        <w:t xml:space="preserve"> Opinion AMS, </w:t>
      </w:r>
      <w:r w:rsidR="00FC5F2F" w:rsidRPr="00FC5F2F">
        <w:rPr>
          <w:rFonts w:ascii="Cambria" w:hAnsi="Cambria" w:cs="Garamond"/>
          <w:i/>
          <w:sz w:val="16"/>
          <w:szCs w:val="16"/>
          <w:lang w:val="es-ES"/>
        </w:rPr>
        <w:t xml:space="preserve">supra </w:t>
      </w:r>
      <w:r w:rsidR="00FC5F2F" w:rsidRPr="00FC5F2F">
        <w:rPr>
          <w:rFonts w:ascii="Cambria" w:hAnsi="Cambria" w:cs="Garamond"/>
          <w:sz w:val="16"/>
          <w:szCs w:val="16"/>
          <w:lang w:val="es-ES"/>
        </w:rPr>
        <w:t xml:space="preserve">at </w:t>
      </w:r>
      <w:fldSimple w:instr=" NOTEREF _Ref420512583 \h  \* MERGEFORMAT ">
        <w:r w:rsidR="00FC5F2F" w:rsidRPr="00FC5F2F">
          <w:rPr>
            <w:rFonts w:ascii="Cambria" w:hAnsi="Cambria" w:cs="Garamond"/>
            <w:sz w:val="16"/>
            <w:szCs w:val="16"/>
            <w:lang w:val="es-ES"/>
          </w:rPr>
          <w:t>105</w:t>
        </w:r>
      </w:fldSimple>
      <w:r w:rsidR="00FC5F2F" w:rsidRPr="00FC5F2F">
        <w:rPr>
          <w:rFonts w:ascii="Cambria" w:hAnsi="Cambria" w:cs="Garamond"/>
          <w:sz w:val="16"/>
          <w:szCs w:val="16"/>
          <w:lang w:val="es-ES"/>
        </w:rPr>
        <w:t xml:space="preserve">, </w:t>
      </w:r>
      <w:r w:rsidR="00FC5F2F" w:rsidRPr="00FC5F2F">
        <w:rPr>
          <w:rFonts w:ascii="Cambria" w:hAnsi="Cambria"/>
          <w:sz w:val="16"/>
          <w:szCs w:val="16"/>
          <w:lang w:val="es-ES"/>
        </w:rPr>
        <w:t>paras. 38-41.</w:t>
      </w:r>
    </w:p>
  </w:footnote>
  <w:footnote w:id="111">
    <w:p w:rsidR="00386DDC" w:rsidRPr="00110B03" w:rsidRDefault="00386DDC">
      <w:pPr>
        <w:pStyle w:val="Voetnoottekst"/>
        <w:rPr>
          <w:rFonts w:ascii="Cambria" w:hAnsi="Cambria"/>
          <w:sz w:val="16"/>
          <w:szCs w:val="16"/>
          <w:lang w:val="es-ES"/>
        </w:rPr>
      </w:pPr>
      <w:r w:rsidRPr="0046139B">
        <w:rPr>
          <w:rStyle w:val="Voetnootmarkering"/>
          <w:rFonts w:ascii="Cambria" w:hAnsi="Cambria"/>
          <w:sz w:val="16"/>
          <w:szCs w:val="16"/>
        </w:rPr>
        <w:footnoteRef/>
      </w:r>
      <w:r w:rsidR="00FC5F2F" w:rsidRPr="00FC5F2F">
        <w:rPr>
          <w:rFonts w:ascii="Cambria" w:hAnsi="Cambria"/>
          <w:sz w:val="16"/>
          <w:szCs w:val="16"/>
          <w:lang w:val="es-ES"/>
        </w:rPr>
        <w:t xml:space="preserve"> Opinion AMS, </w:t>
      </w:r>
      <w:r w:rsidR="00FC5F2F" w:rsidRPr="00FC5F2F">
        <w:rPr>
          <w:rFonts w:ascii="Cambria" w:hAnsi="Cambria" w:cs="Garamond"/>
          <w:i/>
          <w:sz w:val="16"/>
          <w:szCs w:val="16"/>
          <w:lang w:val="es-ES"/>
        </w:rPr>
        <w:t xml:space="preserve">supra </w:t>
      </w:r>
      <w:r w:rsidR="00FC5F2F" w:rsidRPr="00FC5F2F">
        <w:rPr>
          <w:rFonts w:ascii="Cambria" w:hAnsi="Cambria" w:cs="Garamond"/>
          <w:sz w:val="16"/>
          <w:szCs w:val="16"/>
          <w:lang w:val="es-ES"/>
        </w:rPr>
        <w:t xml:space="preserve">at </w:t>
      </w:r>
      <w:fldSimple w:instr=" NOTEREF _Ref420512583 \h  \* MERGEFORMAT ">
        <w:r w:rsidR="00FC5F2F" w:rsidRPr="00FC5F2F">
          <w:rPr>
            <w:rFonts w:ascii="Cambria" w:hAnsi="Cambria" w:cs="Garamond"/>
            <w:sz w:val="16"/>
            <w:szCs w:val="16"/>
            <w:lang w:val="es-ES"/>
          </w:rPr>
          <w:t>105</w:t>
        </w:r>
      </w:fldSimple>
      <w:r w:rsidR="00FC5F2F" w:rsidRPr="00FC5F2F">
        <w:rPr>
          <w:rFonts w:ascii="Cambria" w:hAnsi="Cambria" w:cs="Garamond"/>
          <w:sz w:val="16"/>
          <w:szCs w:val="16"/>
          <w:lang w:val="es-ES"/>
        </w:rPr>
        <w:t xml:space="preserve">, </w:t>
      </w:r>
      <w:r w:rsidR="00FC5F2F" w:rsidRPr="00FC5F2F">
        <w:rPr>
          <w:rFonts w:ascii="Cambria" w:hAnsi="Cambria"/>
          <w:sz w:val="16"/>
          <w:szCs w:val="16"/>
          <w:lang w:val="es-ES"/>
        </w:rPr>
        <w:t>para. 31.</w:t>
      </w:r>
    </w:p>
  </w:footnote>
  <w:footnote w:id="112">
    <w:p w:rsidR="00386DDC" w:rsidRPr="00110B03" w:rsidRDefault="00386DDC">
      <w:pPr>
        <w:pStyle w:val="Voetnoottekst"/>
        <w:rPr>
          <w:sz w:val="16"/>
          <w:szCs w:val="16"/>
          <w:lang w:val="es-ES"/>
        </w:rPr>
      </w:pPr>
      <w:r w:rsidRPr="0046139B">
        <w:rPr>
          <w:rStyle w:val="Voetnootmarkering"/>
          <w:rFonts w:ascii="Cambria" w:hAnsi="Cambria"/>
          <w:sz w:val="16"/>
          <w:szCs w:val="16"/>
        </w:rPr>
        <w:footnoteRef/>
      </w:r>
      <w:r w:rsidR="00FC5F2F" w:rsidRPr="00FC5F2F">
        <w:rPr>
          <w:rFonts w:ascii="Cambria" w:hAnsi="Cambria"/>
          <w:sz w:val="16"/>
          <w:szCs w:val="16"/>
          <w:lang w:val="es-ES"/>
        </w:rPr>
        <w:t xml:space="preserve"> AMS, </w:t>
      </w:r>
      <w:r w:rsidR="00FC5F2F" w:rsidRPr="00FC5F2F">
        <w:rPr>
          <w:rFonts w:ascii="Cambria" w:hAnsi="Cambria" w:cs="Garamond"/>
          <w:i/>
          <w:sz w:val="16"/>
          <w:szCs w:val="16"/>
          <w:lang w:val="es-ES"/>
        </w:rPr>
        <w:t xml:space="preserve">supra </w:t>
      </w:r>
      <w:r w:rsidR="00FC5F2F" w:rsidRPr="00FC5F2F">
        <w:rPr>
          <w:rFonts w:ascii="Cambria" w:hAnsi="Cambria" w:cs="Garamond"/>
          <w:sz w:val="16"/>
          <w:szCs w:val="16"/>
          <w:lang w:val="es-ES"/>
        </w:rPr>
        <w:t xml:space="preserve">at </w:t>
      </w:r>
      <w:fldSimple w:instr=" NOTEREF _Ref420512544 \h  \* MERGEFORMAT ">
        <w:r w:rsidR="00FC5F2F" w:rsidRPr="00FC5F2F">
          <w:rPr>
            <w:rFonts w:ascii="Cambria" w:hAnsi="Cambria" w:cs="Garamond"/>
            <w:sz w:val="16"/>
            <w:szCs w:val="16"/>
            <w:lang w:val="es-ES"/>
          </w:rPr>
          <w:t>103</w:t>
        </w:r>
      </w:fldSimple>
      <w:r w:rsidR="00FC5F2F" w:rsidRPr="00FC5F2F">
        <w:rPr>
          <w:rFonts w:ascii="Cambria" w:hAnsi="Cambria" w:cs="Garamond"/>
          <w:sz w:val="16"/>
          <w:szCs w:val="16"/>
          <w:lang w:val="es-ES"/>
        </w:rPr>
        <w:t>,</w:t>
      </w:r>
      <w:r w:rsidR="00FC5F2F" w:rsidRPr="00FC5F2F">
        <w:rPr>
          <w:rFonts w:ascii="Cambria" w:hAnsi="Cambria"/>
          <w:sz w:val="16"/>
          <w:szCs w:val="16"/>
          <w:lang w:val="es-ES"/>
        </w:rPr>
        <w:t xml:space="preserve"> para. 41.</w:t>
      </w:r>
    </w:p>
  </w:footnote>
  <w:footnote w:id="113">
    <w:p w:rsidR="00386DDC" w:rsidRPr="0046139B" w:rsidRDefault="00386DDC">
      <w:pPr>
        <w:pStyle w:val="Voetnoottekst"/>
        <w:rPr>
          <w:rFonts w:ascii="Cambria" w:hAnsi="Cambria"/>
          <w:sz w:val="16"/>
          <w:szCs w:val="16"/>
          <w:lang w:val="en-US"/>
        </w:rPr>
      </w:pPr>
      <w:r w:rsidRPr="0046139B">
        <w:rPr>
          <w:rStyle w:val="Voetnootmarkering"/>
          <w:rFonts w:ascii="Cambria" w:hAnsi="Cambria"/>
          <w:sz w:val="16"/>
          <w:szCs w:val="16"/>
        </w:rPr>
        <w:footnoteRef/>
      </w:r>
      <w:r w:rsidR="00FC5F2F" w:rsidRPr="00FC5F2F">
        <w:rPr>
          <w:rFonts w:ascii="Cambria" w:hAnsi="Cambria"/>
          <w:sz w:val="16"/>
          <w:szCs w:val="16"/>
          <w:lang w:val="es-ES"/>
        </w:rPr>
        <w:t xml:space="preserve"> AMS, </w:t>
      </w:r>
      <w:r w:rsidR="00FC5F2F" w:rsidRPr="00FC5F2F">
        <w:rPr>
          <w:rFonts w:ascii="Cambria" w:hAnsi="Cambria" w:cs="Garamond"/>
          <w:i/>
          <w:sz w:val="16"/>
          <w:szCs w:val="16"/>
          <w:lang w:val="es-ES"/>
        </w:rPr>
        <w:t xml:space="preserve">supra </w:t>
      </w:r>
      <w:r w:rsidR="00FC5F2F" w:rsidRPr="00FC5F2F">
        <w:rPr>
          <w:rFonts w:ascii="Cambria" w:hAnsi="Cambria" w:cs="Garamond"/>
          <w:sz w:val="16"/>
          <w:szCs w:val="16"/>
          <w:lang w:val="es-ES"/>
        </w:rPr>
        <w:t xml:space="preserve">at </w:t>
      </w:r>
      <w:fldSimple w:instr=" NOTEREF _Ref420512544 \h  \* MERGEFORMAT ">
        <w:r w:rsidR="00FC5F2F" w:rsidRPr="00FC5F2F">
          <w:rPr>
            <w:rFonts w:ascii="Cambria" w:hAnsi="Cambria" w:cs="Garamond"/>
            <w:sz w:val="16"/>
            <w:szCs w:val="16"/>
            <w:lang w:val="es-ES"/>
          </w:rPr>
          <w:t>103</w:t>
        </w:r>
      </w:fldSimple>
      <w:r w:rsidR="00FC5F2F" w:rsidRPr="00FC5F2F">
        <w:rPr>
          <w:rFonts w:ascii="Cambria" w:hAnsi="Cambria" w:cs="Garamond"/>
          <w:sz w:val="16"/>
          <w:szCs w:val="16"/>
          <w:lang w:val="es-ES"/>
        </w:rPr>
        <w:t>,</w:t>
      </w:r>
      <w:r w:rsidR="00FC5F2F" w:rsidRPr="00FC5F2F">
        <w:rPr>
          <w:rFonts w:ascii="Cambria" w:hAnsi="Cambria"/>
          <w:sz w:val="16"/>
          <w:szCs w:val="16"/>
          <w:lang w:val="es-ES"/>
        </w:rPr>
        <w:t xml:space="preserve"> para. </w:t>
      </w:r>
      <w:r w:rsidRPr="0046139B">
        <w:rPr>
          <w:rFonts w:ascii="Cambria" w:hAnsi="Cambria"/>
          <w:sz w:val="16"/>
          <w:szCs w:val="16"/>
          <w:lang w:val="en-US"/>
        </w:rPr>
        <w:t>47.</w:t>
      </w:r>
    </w:p>
  </w:footnote>
  <w:footnote w:id="114">
    <w:p w:rsidR="00386DDC" w:rsidRPr="00341652" w:rsidRDefault="00386DDC">
      <w:pPr>
        <w:pStyle w:val="Voetnoottekst"/>
        <w:rPr>
          <w:rFonts w:ascii="Cambria" w:hAnsi="Cambria"/>
          <w:sz w:val="18"/>
          <w:szCs w:val="18"/>
          <w:lang w:val="en-US"/>
        </w:rPr>
      </w:pPr>
      <w:r w:rsidRPr="0048447D">
        <w:rPr>
          <w:rStyle w:val="Voetnootmarkering"/>
          <w:rFonts w:ascii="Cambria" w:hAnsi="Cambria"/>
          <w:sz w:val="16"/>
          <w:szCs w:val="18"/>
        </w:rPr>
        <w:footnoteRef/>
      </w:r>
      <w:r w:rsidRPr="0048447D">
        <w:rPr>
          <w:rFonts w:ascii="Cambria" w:hAnsi="Cambria"/>
          <w:sz w:val="16"/>
          <w:szCs w:val="18"/>
        </w:rPr>
        <w:t xml:space="preserve"> </w:t>
      </w:r>
      <w:r w:rsidRPr="0048447D">
        <w:rPr>
          <w:rFonts w:ascii="Cambria" w:hAnsi="Cambria"/>
          <w:sz w:val="16"/>
          <w:szCs w:val="18"/>
          <w:lang w:val="en-US"/>
        </w:rPr>
        <w:t>Case C-555/07</w:t>
      </w:r>
      <w:r>
        <w:rPr>
          <w:rFonts w:ascii="Cambria" w:hAnsi="Cambria"/>
          <w:sz w:val="16"/>
          <w:szCs w:val="18"/>
          <w:lang w:val="en-US"/>
        </w:rPr>
        <w:t>,</w:t>
      </w:r>
      <w:r w:rsidRPr="0048447D">
        <w:rPr>
          <w:rFonts w:ascii="Cambria" w:hAnsi="Cambria"/>
          <w:sz w:val="16"/>
          <w:szCs w:val="18"/>
          <w:lang w:val="en-US"/>
        </w:rPr>
        <w:t xml:space="preserve"> </w:t>
      </w:r>
      <w:r w:rsidRPr="0048447D">
        <w:rPr>
          <w:rFonts w:ascii="Cambria" w:hAnsi="Cambria" w:cs="Times New Roman"/>
          <w:i/>
          <w:sz w:val="16"/>
          <w:szCs w:val="18"/>
          <w:lang w:val="en-US"/>
        </w:rPr>
        <w:t>Kücükdeveci</w:t>
      </w:r>
      <w:r w:rsidRPr="0048447D">
        <w:rPr>
          <w:rFonts w:ascii="Cambria" w:hAnsi="Cambria" w:cs="Times New Roman"/>
          <w:sz w:val="16"/>
          <w:szCs w:val="18"/>
          <w:lang w:val="en-US"/>
        </w:rPr>
        <w:t>, ECLI:EU:C:2010:21.</w:t>
      </w:r>
    </w:p>
  </w:footnote>
  <w:footnote w:id="115">
    <w:p w:rsidR="00386DDC" w:rsidRPr="0046139B" w:rsidRDefault="00386DDC">
      <w:pPr>
        <w:pStyle w:val="Voetnoottekst"/>
        <w:rPr>
          <w:rFonts w:ascii="Cambria" w:hAnsi="Cambria"/>
          <w:sz w:val="16"/>
          <w:szCs w:val="16"/>
          <w:lang w:val="en-US"/>
        </w:rPr>
      </w:pPr>
      <w:r w:rsidRPr="0046139B">
        <w:rPr>
          <w:rStyle w:val="Voetnootmarkering"/>
          <w:rFonts w:ascii="Cambria" w:hAnsi="Cambria"/>
          <w:sz w:val="16"/>
          <w:szCs w:val="16"/>
        </w:rPr>
        <w:footnoteRef/>
      </w:r>
      <w:r w:rsidRPr="0046139B">
        <w:rPr>
          <w:rFonts w:ascii="Cambria" w:hAnsi="Cambria"/>
          <w:sz w:val="16"/>
          <w:szCs w:val="16"/>
        </w:rPr>
        <w:t xml:space="preserve"> </w:t>
      </w:r>
      <w:r w:rsidRPr="0046139B">
        <w:rPr>
          <w:rFonts w:ascii="Cambria" w:hAnsi="Cambria"/>
          <w:sz w:val="16"/>
          <w:szCs w:val="16"/>
          <w:lang w:val="en-US"/>
        </w:rPr>
        <w:t xml:space="preserve">BARNARD, </w:t>
      </w:r>
      <w:r w:rsidRPr="0046139B">
        <w:rPr>
          <w:rFonts w:ascii="Cambria" w:hAnsi="Cambria"/>
          <w:i/>
          <w:sz w:val="16"/>
          <w:szCs w:val="16"/>
          <w:lang w:val="en-US"/>
        </w:rPr>
        <w:t>supra</w:t>
      </w:r>
      <w:r w:rsidRPr="0046139B">
        <w:rPr>
          <w:rFonts w:ascii="Cambria" w:hAnsi="Cambria"/>
          <w:sz w:val="16"/>
          <w:szCs w:val="16"/>
          <w:lang w:val="en-US"/>
        </w:rPr>
        <w:t xml:space="preserve"> at </w:t>
      </w:r>
      <w:fldSimple w:instr=" NOTEREF _Ref420512738 \h  \* MERGEFORMAT ">
        <w:r w:rsidRPr="0046139B">
          <w:t>2</w:t>
        </w:r>
      </w:fldSimple>
      <w:r w:rsidRPr="0046139B">
        <w:rPr>
          <w:rFonts w:ascii="Cambria" w:hAnsi="Cambria"/>
          <w:sz w:val="16"/>
          <w:szCs w:val="16"/>
          <w:lang w:val="en-US"/>
        </w:rPr>
        <w:t xml:space="preserve">, pp. 50-51; Opinion of AG Trstenjak in Case C-271/08, </w:t>
      </w:r>
      <w:r w:rsidRPr="0046139B">
        <w:rPr>
          <w:rFonts w:ascii="Cambria" w:hAnsi="Cambria"/>
          <w:i/>
          <w:sz w:val="16"/>
          <w:szCs w:val="16"/>
          <w:lang w:val="en-US"/>
        </w:rPr>
        <w:t>European Commission v. Germany</w:t>
      </w:r>
      <w:r w:rsidRPr="0046139B">
        <w:rPr>
          <w:rFonts w:ascii="Cambria" w:hAnsi="Cambria"/>
          <w:sz w:val="16"/>
          <w:szCs w:val="16"/>
          <w:lang w:val="en-US"/>
        </w:rPr>
        <w:t>, ECLI:EU:C:2010:183.</w:t>
      </w:r>
    </w:p>
  </w:footnote>
  <w:footnote w:id="116">
    <w:p w:rsidR="00386DDC" w:rsidRPr="0046139B" w:rsidRDefault="00386DDC" w:rsidP="00A5427B">
      <w:pPr>
        <w:pStyle w:val="Voetnoottekst"/>
        <w:rPr>
          <w:rFonts w:ascii="Cambria" w:hAnsi="Cambria"/>
          <w:bCs/>
          <w:sz w:val="16"/>
          <w:szCs w:val="16"/>
          <w:lang w:val="en-US"/>
        </w:rPr>
      </w:pPr>
      <w:r w:rsidRPr="0046139B">
        <w:rPr>
          <w:rStyle w:val="Voetnootmarkering"/>
          <w:rFonts w:ascii="Cambria" w:hAnsi="Cambria"/>
          <w:sz w:val="16"/>
          <w:szCs w:val="16"/>
        </w:rPr>
        <w:footnoteRef/>
      </w:r>
      <w:r w:rsidRPr="0046139B">
        <w:rPr>
          <w:rFonts w:ascii="Cambria" w:hAnsi="Cambria"/>
          <w:sz w:val="16"/>
          <w:szCs w:val="16"/>
        </w:rPr>
        <w:t xml:space="preserve"> </w:t>
      </w:r>
      <w:r w:rsidRPr="0046139B">
        <w:rPr>
          <w:rFonts w:ascii="Cambria" w:hAnsi="Cambria"/>
          <w:bCs/>
          <w:i/>
          <w:sz w:val="16"/>
          <w:szCs w:val="16"/>
        </w:rPr>
        <w:t>Opinion</w:t>
      </w:r>
      <w:r w:rsidRPr="0046139B">
        <w:rPr>
          <w:rFonts w:ascii="Cambria" w:hAnsi="Cambria"/>
          <w:bCs/>
          <w:i/>
          <w:sz w:val="16"/>
          <w:szCs w:val="16"/>
          <w:lang w:val="en-US"/>
        </w:rPr>
        <w:t xml:space="preserve"> 2/13</w:t>
      </w:r>
      <w:r w:rsidRPr="0046139B">
        <w:rPr>
          <w:rFonts w:ascii="Cambria" w:hAnsi="Cambria"/>
          <w:bCs/>
          <w:sz w:val="16"/>
          <w:szCs w:val="16"/>
          <w:lang w:val="en-US"/>
        </w:rPr>
        <w:t xml:space="preserve">, </w:t>
      </w:r>
      <w:r w:rsidRPr="0046139B">
        <w:rPr>
          <w:rFonts w:ascii="Cambria" w:hAnsi="Cambria"/>
          <w:bCs/>
          <w:sz w:val="16"/>
          <w:szCs w:val="16"/>
        </w:rPr>
        <w:t>ECLI:EU:C:2014:2454.</w:t>
      </w:r>
    </w:p>
    <w:p w:rsidR="00386DDC" w:rsidRPr="00341652" w:rsidRDefault="00386DDC">
      <w:pPr>
        <w:pStyle w:val="Voetnoottekst"/>
        <w:rPr>
          <w:lang w:val="en-US"/>
        </w:rPr>
      </w:pPr>
      <w:bookmarkStart w:id="17" w:name="_GoBack"/>
      <w:bookmarkEnd w:id="17"/>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7AF9"/>
    <w:multiLevelType w:val="multilevel"/>
    <w:tmpl w:val="28E67E3C"/>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283B270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87D7C9C"/>
    <w:multiLevelType w:val="multilevel"/>
    <w:tmpl w:val="9F6ECE34"/>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16C49CE"/>
    <w:multiLevelType w:val="multilevel"/>
    <w:tmpl w:val="5880A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A905D4"/>
    <w:multiLevelType w:val="hybridMultilevel"/>
    <w:tmpl w:val="BE18351E"/>
    <w:lvl w:ilvl="0" w:tplc="7CB0F8A0">
      <w:start w:val="3"/>
      <w:numFmt w:val="bullet"/>
      <w:lvlText w:val="-"/>
      <w:lvlJc w:val="left"/>
      <w:pPr>
        <w:ind w:left="360" w:hanging="360"/>
      </w:pPr>
      <w:rPr>
        <w:rFonts w:ascii="Times New Roman" w:eastAsiaTheme="minorHAns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74B757F"/>
    <w:multiLevelType w:val="multilevel"/>
    <w:tmpl w:val="03F072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D9A7289"/>
    <w:multiLevelType w:val="hybridMultilevel"/>
    <w:tmpl w:val="C7AEF2C8"/>
    <w:lvl w:ilvl="0" w:tplc="99B8B1D4">
      <w:start w:val="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54C2C26"/>
    <w:multiLevelType w:val="hybridMultilevel"/>
    <w:tmpl w:val="F6104BA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F8E451A"/>
    <w:multiLevelType w:val="multilevel"/>
    <w:tmpl w:val="A478321C"/>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eastAsia="Times" w:hint="default"/>
      </w:rPr>
    </w:lvl>
    <w:lvl w:ilvl="2">
      <w:start w:val="1"/>
      <w:numFmt w:val="decimal"/>
      <w:isLgl/>
      <w:lvlText w:val="%1.%2.%3"/>
      <w:lvlJc w:val="left"/>
      <w:pPr>
        <w:ind w:left="1080" w:hanging="720"/>
      </w:pPr>
      <w:rPr>
        <w:rFonts w:eastAsia="Times" w:hint="default"/>
      </w:rPr>
    </w:lvl>
    <w:lvl w:ilvl="3">
      <w:start w:val="1"/>
      <w:numFmt w:val="decimal"/>
      <w:isLgl/>
      <w:lvlText w:val="%1.%2.%3.%4"/>
      <w:lvlJc w:val="left"/>
      <w:pPr>
        <w:ind w:left="1080" w:hanging="720"/>
      </w:pPr>
      <w:rPr>
        <w:rFonts w:eastAsia="Times" w:hint="default"/>
      </w:rPr>
    </w:lvl>
    <w:lvl w:ilvl="4">
      <w:start w:val="1"/>
      <w:numFmt w:val="decimal"/>
      <w:isLgl/>
      <w:lvlText w:val="%1.%2.%3.%4.%5"/>
      <w:lvlJc w:val="left"/>
      <w:pPr>
        <w:ind w:left="1440" w:hanging="1080"/>
      </w:pPr>
      <w:rPr>
        <w:rFonts w:eastAsia="Times" w:hint="default"/>
      </w:rPr>
    </w:lvl>
    <w:lvl w:ilvl="5">
      <w:start w:val="1"/>
      <w:numFmt w:val="decimal"/>
      <w:isLgl/>
      <w:lvlText w:val="%1.%2.%3.%4.%5.%6"/>
      <w:lvlJc w:val="left"/>
      <w:pPr>
        <w:ind w:left="1440" w:hanging="1080"/>
      </w:pPr>
      <w:rPr>
        <w:rFonts w:eastAsia="Times" w:hint="default"/>
      </w:rPr>
    </w:lvl>
    <w:lvl w:ilvl="6">
      <w:start w:val="1"/>
      <w:numFmt w:val="decimal"/>
      <w:isLgl/>
      <w:lvlText w:val="%1.%2.%3.%4.%5.%6.%7"/>
      <w:lvlJc w:val="left"/>
      <w:pPr>
        <w:ind w:left="1800" w:hanging="1440"/>
      </w:pPr>
      <w:rPr>
        <w:rFonts w:eastAsia="Times" w:hint="default"/>
      </w:rPr>
    </w:lvl>
    <w:lvl w:ilvl="7">
      <w:start w:val="1"/>
      <w:numFmt w:val="decimal"/>
      <w:isLgl/>
      <w:lvlText w:val="%1.%2.%3.%4.%5.%6.%7.%8"/>
      <w:lvlJc w:val="left"/>
      <w:pPr>
        <w:ind w:left="1800" w:hanging="1440"/>
      </w:pPr>
      <w:rPr>
        <w:rFonts w:eastAsia="Times" w:hint="default"/>
      </w:rPr>
    </w:lvl>
    <w:lvl w:ilvl="8">
      <w:start w:val="1"/>
      <w:numFmt w:val="decimal"/>
      <w:isLgl/>
      <w:lvlText w:val="%1.%2.%3.%4.%5.%6.%7.%8.%9"/>
      <w:lvlJc w:val="left"/>
      <w:pPr>
        <w:ind w:left="2160" w:hanging="1800"/>
      </w:pPr>
      <w:rPr>
        <w:rFonts w:eastAsia="Times" w:hint="default"/>
      </w:rPr>
    </w:lvl>
  </w:abstractNum>
  <w:abstractNum w:abstractNumId="10">
    <w:nsid w:val="581560E4"/>
    <w:multiLevelType w:val="hybridMultilevel"/>
    <w:tmpl w:val="D9BC8800"/>
    <w:lvl w:ilvl="0" w:tplc="7BF61778">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6A80B78"/>
    <w:multiLevelType w:val="hybridMultilevel"/>
    <w:tmpl w:val="A93A8478"/>
    <w:lvl w:ilvl="0" w:tplc="2A1A7AE8">
      <w:start w:val="1"/>
      <w:numFmt w:val="lowerRoman"/>
      <w:lvlText w:val="(%1)"/>
      <w:lvlJc w:val="left"/>
      <w:pPr>
        <w:ind w:left="108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0111CD2"/>
    <w:multiLevelType w:val="multilevel"/>
    <w:tmpl w:val="9F6ECE34"/>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8"/>
  </w:num>
  <w:num w:numId="3">
    <w:abstractNumId w:val="8"/>
  </w:num>
  <w:num w:numId="4">
    <w:abstractNumId w:val="8"/>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5"/>
  </w:num>
  <w:num w:numId="17">
    <w:abstractNumId w:val="6"/>
  </w:num>
  <w:num w:numId="18">
    <w:abstractNumId w:val="7"/>
  </w:num>
  <w:num w:numId="19">
    <w:abstractNumId w:val="10"/>
  </w:num>
  <w:num w:numId="20">
    <w:abstractNumId w:val="9"/>
  </w:num>
  <w:num w:numId="21">
    <w:abstractNumId w:val="2"/>
  </w:num>
  <w:num w:numId="22">
    <w:abstractNumId w:val="11"/>
  </w:num>
  <w:num w:numId="23">
    <w:abstractNumId w:val="12"/>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06A83"/>
    <w:rsid w:val="00000029"/>
    <w:rsid w:val="00005122"/>
    <w:rsid w:val="000051D5"/>
    <w:rsid w:val="000053C4"/>
    <w:rsid w:val="000058CA"/>
    <w:rsid w:val="00007395"/>
    <w:rsid w:val="00007A3E"/>
    <w:rsid w:val="00011CF8"/>
    <w:rsid w:val="00011D82"/>
    <w:rsid w:val="0001210F"/>
    <w:rsid w:val="00021501"/>
    <w:rsid w:val="00021769"/>
    <w:rsid w:val="00024641"/>
    <w:rsid w:val="000303FD"/>
    <w:rsid w:val="00030460"/>
    <w:rsid w:val="00033226"/>
    <w:rsid w:val="000340A6"/>
    <w:rsid w:val="0003505D"/>
    <w:rsid w:val="00036CBD"/>
    <w:rsid w:val="00037FB4"/>
    <w:rsid w:val="0004055D"/>
    <w:rsid w:val="000424FE"/>
    <w:rsid w:val="00042F4D"/>
    <w:rsid w:val="00043EE3"/>
    <w:rsid w:val="00047FA7"/>
    <w:rsid w:val="0005034C"/>
    <w:rsid w:val="00057152"/>
    <w:rsid w:val="00060C47"/>
    <w:rsid w:val="000629CB"/>
    <w:rsid w:val="00062EF5"/>
    <w:rsid w:val="00062FEC"/>
    <w:rsid w:val="00063828"/>
    <w:rsid w:val="00064155"/>
    <w:rsid w:val="00064D54"/>
    <w:rsid w:val="00064DEC"/>
    <w:rsid w:val="000657BC"/>
    <w:rsid w:val="00065F9B"/>
    <w:rsid w:val="00066EF1"/>
    <w:rsid w:val="00071043"/>
    <w:rsid w:val="000726D0"/>
    <w:rsid w:val="000739D2"/>
    <w:rsid w:val="00075664"/>
    <w:rsid w:val="000764B1"/>
    <w:rsid w:val="00080A59"/>
    <w:rsid w:val="00080C6F"/>
    <w:rsid w:val="000852DD"/>
    <w:rsid w:val="00087380"/>
    <w:rsid w:val="00087A4B"/>
    <w:rsid w:val="000936CD"/>
    <w:rsid w:val="0009495E"/>
    <w:rsid w:val="00095837"/>
    <w:rsid w:val="00096DF0"/>
    <w:rsid w:val="000971C1"/>
    <w:rsid w:val="000A2FF8"/>
    <w:rsid w:val="000A4798"/>
    <w:rsid w:val="000B1028"/>
    <w:rsid w:val="000B14B8"/>
    <w:rsid w:val="000B27CB"/>
    <w:rsid w:val="000B2D96"/>
    <w:rsid w:val="000B653B"/>
    <w:rsid w:val="000B6CC1"/>
    <w:rsid w:val="000B7021"/>
    <w:rsid w:val="000C161E"/>
    <w:rsid w:val="000C1CA3"/>
    <w:rsid w:val="000C39FA"/>
    <w:rsid w:val="000C3D9A"/>
    <w:rsid w:val="000C3FC5"/>
    <w:rsid w:val="000C5EC0"/>
    <w:rsid w:val="000C7118"/>
    <w:rsid w:val="000C7D17"/>
    <w:rsid w:val="000C7D94"/>
    <w:rsid w:val="000D0C27"/>
    <w:rsid w:val="000D1598"/>
    <w:rsid w:val="000E0BC1"/>
    <w:rsid w:val="000E170D"/>
    <w:rsid w:val="000E235C"/>
    <w:rsid w:val="000E6B56"/>
    <w:rsid w:val="000E7E02"/>
    <w:rsid w:val="000F12F6"/>
    <w:rsid w:val="000F280E"/>
    <w:rsid w:val="000F3FC2"/>
    <w:rsid w:val="000F6497"/>
    <w:rsid w:val="0010147F"/>
    <w:rsid w:val="001052DD"/>
    <w:rsid w:val="001074A6"/>
    <w:rsid w:val="00110B03"/>
    <w:rsid w:val="00110B3C"/>
    <w:rsid w:val="0011110D"/>
    <w:rsid w:val="00113225"/>
    <w:rsid w:val="001160B2"/>
    <w:rsid w:val="00121054"/>
    <w:rsid w:val="0012374E"/>
    <w:rsid w:val="00133860"/>
    <w:rsid w:val="00137493"/>
    <w:rsid w:val="00137E3C"/>
    <w:rsid w:val="001406B3"/>
    <w:rsid w:val="00141733"/>
    <w:rsid w:val="00142FC2"/>
    <w:rsid w:val="00146D7B"/>
    <w:rsid w:val="00152954"/>
    <w:rsid w:val="00152B83"/>
    <w:rsid w:val="001579A6"/>
    <w:rsid w:val="00165F5A"/>
    <w:rsid w:val="001671A3"/>
    <w:rsid w:val="00167B58"/>
    <w:rsid w:val="00167C89"/>
    <w:rsid w:val="00170179"/>
    <w:rsid w:val="00171832"/>
    <w:rsid w:val="00176D2F"/>
    <w:rsid w:val="00177033"/>
    <w:rsid w:val="0018227C"/>
    <w:rsid w:val="0018380B"/>
    <w:rsid w:val="00184596"/>
    <w:rsid w:val="001871EF"/>
    <w:rsid w:val="00190E36"/>
    <w:rsid w:val="001911A0"/>
    <w:rsid w:val="001926E5"/>
    <w:rsid w:val="0019396B"/>
    <w:rsid w:val="001940D4"/>
    <w:rsid w:val="00195BE4"/>
    <w:rsid w:val="00196B45"/>
    <w:rsid w:val="0019780A"/>
    <w:rsid w:val="001A02C7"/>
    <w:rsid w:val="001A5044"/>
    <w:rsid w:val="001A6E45"/>
    <w:rsid w:val="001A7012"/>
    <w:rsid w:val="001B1206"/>
    <w:rsid w:val="001B2B90"/>
    <w:rsid w:val="001B4D72"/>
    <w:rsid w:val="001B683F"/>
    <w:rsid w:val="001B6E65"/>
    <w:rsid w:val="001C1DD3"/>
    <w:rsid w:val="001C20E6"/>
    <w:rsid w:val="001C3BC3"/>
    <w:rsid w:val="001C670B"/>
    <w:rsid w:val="001D043E"/>
    <w:rsid w:val="001D4D0E"/>
    <w:rsid w:val="001D5ECC"/>
    <w:rsid w:val="001D78E6"/>
    <w:rsid w:val="001D7C6B"/>
    <w:rsid w:val="001E0F8E"/>
    <w:rsid w:val="001E3E67"/>
    <w:rsid w:val="001E7065"/>
    <w:rsid w:val="001E79FC"/>
    <w:rsid w:val="00200375"/>
    <w:rsid w:val="00202028"/>
    <w:rsid w:val="00202282"/>
    <w:rsid w:val="002026F3"/>
    <w:rsid w:val="00203B90"/>
    <w:rsid w:val="0020435E"/>
    <w:rsid w:val="0021333A"/>
    <w:rsid w:val="00215518"/>
    <w:rsid w:val="00217009"/>
    <w:rsid w:val="00217511"/>
    <w:rsid w:val="00217B0A"/>
    <w:rsid w:val="00217D86"/>
    <w:rsid w:val="002207F0"/>
    <w:rsid w:val="002216C7"/>
    <w:rsid w:val="00222B07"/>
    <w:rsid w:val="002269D0"/>
    <w:rsid w:val="002332AB"/>
    <w:rsid w:val="00234434"/>
    <w:rsid w:val="00234803"/>
    <w:rsid w:val="002374AC"/>
    <w:rsid w:val="00242CC5"/>
    <w:rsid w:val="00243EE8"/>
    <w:rsid w:val="00244EBC"/>
    <w:rsid w:val="00246169"/>
    <w:rsid w:val="0025075F"/>
    <w:rsid w:val="00250B44"/>
    <w:rsid w:val="00253F99"/>
    <w:rsid w:val="00254580"/>
    <w:rsid w:val="00254ED6"/>
    <w:rsid w:val="00255A59"/>
    <w:rsid w:val="00256A40"/>
    <w:rsid w:val="00257A4F"/>
    <w:rsid w:val="002601A7"/>
    <w:rsid w:val="00261587"/>
    <w:rsid w:val="00263341"/>
    <w:rsid w:val="00267BED"/>
    <w:rsid w:val="00270036"/>
    <w:rsid w:val="00270774"/>
    <w:rsid w:val="00271516"/>
    <w:rsid w:val="002728D7"/>
    <w:rsid w:val="00272E00"/>
    <w:rsid w:val="0027501C"/>
    <w:rsid w:val="002827DF"/>
    <w:rsid w:val="00284385"/>
    <w:rsid w:val="0028570C"/>
    <w:rsid w:val="00286C35"/>
    <w:rsid w:val="00291019"/>
    <w:rsid w:val="002945D8"/>
    <w:rsid w:val="002A0BAF"/>
    <w:rsid w:val="002A10E1"/>
    <w:rsid w:val="002A465E"/>
    <w:rsid w:val="002A59C3"/>
    <w:rsid w:val="002A5C92"/>
    <w:rsid w:val="002A7161"/>
    <w:rsid w:val="002A73CE"/>
    <w:rsid w:val="002B0CCB"/>
    <w:rsid w:val="002B2707"/>
    <w:rsid w:val="002B2D09"/>
    <w:rsid w:val="002B66E1"/>
    <w:rsid w:val="002B673C"/>
    <w:rsid w:val="002B7AC8"/>
    <w:rsid w:val="002C18E4"/>
    <w:rsid w:val="002C4FF9"/>
    <w:rsid w:val="002C51F5"/>
    <w:rsid w:val="002D0F1C"/>
    <w:rsid w:val="002D0F67"/>
    <w:rsid w:val="002D168E"/>
    <w:rsid w:val="002D1D1E"/>
    <w:rsid w:val="002D21E1"/>
    <w:rsid w:val="002D2DB2"/>
    <w:rsid w:val="002D39FA"/>
    <w:rsid w:val="002D4E04"/>
    <w:rsid w:val="002D745D"/>
    <w:rsid w:val="002E0A5F"/>
    <w:rsid w:val="002E2605"/>
    <w:rsid w:val="002E608D"/>
    <w:rsid w:val="002E6AD3"/>
    <w:rsid w:val="002F0089"/>
    <w:rsid w:val="002F31CD"/>
    <w:rsid w:val="002F37AB"/>
    <w:rsid w:val="002F3AEE"/>
    <w:rsid w:val="002F4489"/>
    <w:rsid w:val="002F6F8A"/>
    <w:rsid w:val="002F7EC9"/>
    <w:rsid w:val="00305544"/>
    <w:rsid w:val="00306280"/>
    <w:rsid w:val="0030731E"/>
    <w:rsid w:val="00310A56"/>
    <w:rsid w:val="00316EA9"/>
    <w:rsid w:val="00321E5F"/>
    <w:rsid w:val="00323550"/>
    <w:rsid w:val="00323FB5"/>
    <w:rsid w:val="00325725"/>
    <w:rsid w:val="003263D1"/>
    <w:rsid w:val="003278D1"/>
    <w:rsid w:val="00330E5F"/>
    <w:rsid w:val="00331C50"/>
    <w:rsid w:val="0033468A"/>
    <w:rsid w:val="00341652"/>
    <w:rsid w:val="00341E4E"/>
    <w:rsid w:val="00342744"/>
    <w:rsid w:val="00343F9D"/>
    <w:rsid w:val="003449F4"/>
    <w:rsid w:val="0034570A"/>
    <w:rsid w:val="00346C16"/>
    <w:rsid w:val="003501D2"/>
    <w:rsid w:val="00351165"/>
    <w:rsid w:val="00352DE8"/>
    <w:rsid w:val="00353E2C"/>
    <w:rsid w:val="00354C66"/>
    <w:rsid w:val="003552B0"/>
    <w:rsid w:val="00356D38"/>
    <w:rsid w:val="00360581"/>
    <w:rsid w:val="00364D7E"/>
    <w:rsid w:val="00366062"/>
    <w:rsid w:val="00366BA4"/>
    <w:rsid w:val="00372A5C"/>
    <w:rsid w:val="00374A0C"/>
    <w:rsid w:val="00376BFC"/>
    <w:rsid w:val="0037759F"/>
    <w:rsid w:val="003776EB"/>
    <w:rsid w:val="00381923"/>
    <w:rsid w:val="003834C2"/>
    <w:rsid w:val="00384F0A"/>
    <w:rsid w:val="00386DDC"/>
    <w:rsid w:val="00386F53"/>
    <w:rsid w:val="00390CDF"/>
    <w:rsid w:val="003944EA"/>
    <w:rsid w:val="00395043"/>
    <w:rsid w:val="0039583F"/>
    <w:rsid w:val="00397183"/>
    <w:rsid w:val="003A2314"/>
    <w:rsid w:val="003A31EB"/>
    <w:rsid w:val="003A6879"/>
    <w:rsid w:val="003A727C"/>
    <w:rsid w:val="003A7546"/>
    <w:rsid w:val="003A7825"/>
    <w:rsid w:val="003A7E0F"/>
    <w:rsid w:val="003B01D4"/>
    <w:rsid w:val="003B17CC"/>
    <w:rsid w:val="003B17CF"/>
    <w:rsid w:val="003B1A21"/>
    <w:rsid w:val="003B1A70"/>
    <w:rsid w:val="003B1A79"/>
    <w:rsid w:val="003B21B4"/>
    <w:rsid w:val="003B4189"/>
    <w:rsid w:val="003B5A49"/>
    <w:rsid w:val="003B7673"/>
    <w:rsid w:val="003C0064"/>
    <w:rsid w:val="003C1263"/>
    <w:rsid w:val="003C370F"/>
    <w:rsid w:val="003C39E7"/>
    <w:rsid w:val="003C3A46"/>
    <w:rsid w:val="003C52B2"/>
    <w:rsid w:val="003C59EF"/>
    <w:rsid w:val="003C6020"/>
    <w:rsid w:val="003C6961"/>
    <w:rsid w:val="003D02D7"/>
    <w:rsid w:val="003D0845"/>
    <w:rsid w:val="003D211C"/>
    <w:rsid w:val="003D3294"/>
    <w:rsid w:val="003D3685"/>
    <w:rsid w:val="003D3884"/>
    <w:rsid w:val="003D3F2E"/>
    <w:rsid w:val="003D40F7"/>
    <w:rsid w:val="003E001B"/>
    <w:rsid w:val="003E1302"/>
    <w:rsid w:val="003E3371"/>
    <w:rsid w:val="003E454D"/>
    <w:rsid w:val="003E5CC5"/>
    <w:rsid w:val="003E6DCA"/>
    <w:rsid w:val="003E7933"/>
    <w:rsid w:val="003E7B62"/>
    <w:rsid w:val="003E7ED4"/>
    <w:rsid w:val="003F16F7"/>
    <w:rsid w:val="003F1CD6"/>
    <w:rsid w:val="003F447C"/>
    <w:rsid w:val="00400762"/>
    <w:rsid w:val="004032A2"/>
    <w:rsid w:val="00405BCE"/>
    <w:rsid w:val="00410C74"/>
    <w:rsid w:val="004126B0"/>
    <w:rsid w:val="004149DA"/>
    <w:rsid w:val="00415ECF"/>
    <w:rsid w:val="00416C62"/>
    <w:rsid w:val="00420980"/>
    <w:rsid w:val="004222CE"/>
    <w:rsid w:val="00426D0F"/>
    <w:rsid w:val="004270CA"/>
    <w:rsid w:val="004271B1"/>
    <w:rsid w:val="00430275"/>
    <w:rsid w:val="004337A0"/>
    <w:rsid w:val="0043442E"/>
    <w:rsid w:val="0043712A"/>
    <w:rsid w:val="0044524E"/>
    <w:rsid w:val="004459F8"/>
    <w:rsid w:val="00445D7A"/>
    <w:rsid w:val="00446519"/>
    <w:rsid w:val="00451B98"/>
    <w:rsid w:val="00452F48"/>
    <w:rsid w:val="0045387D"/>
    <w:rsid w:val="00453F41"/>
    <w:rsid w:val="00455275"/>
    <w:rsid w:val="004558E2"/>
    <w:rsid w:val="004573CA"/>
    <w:rsid w:val="00457991"/>
    <w:rsid w:val="0046139B"/>
    <w:rsid w:val="004637E0"/>
    <w:rsid w:val="00465D3B"/>
    <w:rsid w:val="00466CDB"/>
    <w:rsid w:val="00471545"/>
    <w:rsid w:val="00476E92"/>
    <w:rsid w:val="00477886"/>
    <w:rsid w:val="00480F0A"/>
    <w:rsid w:val="00482474"/>
    <w:rsid w:val="004827E6"/>
    <w:rsid w:val="0048447D"/>
    <w:rsid w:val="00484856"/>
    <w:rsid w:val="00484BDA"/>
    <w:rsid w:val="004858D8"/>
    <w:rsid w:val="004936BD"/>
    <w:rsid w:val="004959C9"/>
    <w:rsid w:val="00496D1C"/>
    <w:rsid w:val="004A069E"/>
    <w:rsid w:val="004A0D66"/>
    <w:rsid w:val="004A1089"/>
    <w:rsid w:val="004A14B8"/>
    <w:rsid w:val="004A17C7"/>
    <w:rsid w:val="004A31E2"/>
    <w:rsid w:val="004A39DD"/>
    <w:rsid w:val="004A49C7"/>
    <w:rsid w:val="004A66A7"/>
    <w:rsid w:val="004A76B6"/>
    <w:rsid w:val="004A7950"/>
    <w:rsid w:val="004A7E2F"/>
    <w:rsid w:val="004B0AAB"/>
    <w:rsid w:val="004B5299"/>
    <w:rsid w:val="004B57C9"/>
    <w:rsid w:val="004B7173"/>
    <w:rsid w:val="004B77A2"/>
    <w:rsid w:val="004B7BA7"/>
    <w:rsid w:val="004C2CB0"/>
    <w:rsid w:val="004C32ED"/>
    <w:rsid w:val="004C3726"/>
    <w:rsid w:val="004C392B"/>
    <w:rsid w:val="004C578D"/>
    <w:rsid w:val="004C68C9"/>
    <w:rsid w:val="004C740B"/>
    <w:rsid w:val="004D0FD3"/>
    <w:rsid w:val="004D1C6F"/>
    <w:rsid w:val="004D614E"/>
    <w:rsid w:val="004D77F0"/>
    <w:rsid w:val="004E0690"/>
    <w:rsid w:val="004E41EE"/>
    <w:rsid w:val="004E6604"/>
    <w:rsid w:val="004E701C"/>
    <w:rsid w:val="004E724A"/>
    <w:rsid w:val="004F08B9"/>
    <w:rsid w:val="004F100D"/>
    <w:rsid w:val="004F4A90"/>
    <w:rsid w:val="004F6BD0"/>
    <w:rsid w:val="00506FC8"/>
    <w:rsid w:val="00514FDC"/>
    <w:rsid w:val="005174B5"/>
    <w:rsid w:val="0051766F"/>
    <w:rsid w:val="00530AF8"/>
    <w:rsid w:val="00530B9B"/>
    <w:rsid w:val="00530C83"/>
    <w:rsid w:val="0053134B"/>
    <w:rsid w:val="005320AE"/>
    <w:rsid w:val="0053630B"/>
    <w:rsid w:val="00536BB4"/>
    <w:rsid w:val="00542755"/>
    <w:rsid w:val="005438D5"/>
    <w:rsid w:val="0054515E"/>
    <w:rsid w:val="00551B8C"/>
    <w:rsid w:val="00551FD3"/>
    <w:rsid w:val="005523D8"/>
    <w:rsid w:val="005538B8"/>
    <w:rsid w:val="00562FF5"/>
    <w:rsid w:val="005632B3"/>
    <w:rsid w:val="00564B32"/>
    <w:rsid w:val="005666E1"/>
    <w:rsid w:val="00567A7C"/>
    <w:rsid w:val="00567ECF"/>
    <w:rsid w:val="00567FC4"/>
    <w:rsid w:val="00571755"/>
    <w:rsid w:val="0057476A"/>
    <w:rsid w:val="005769EE"/>
    <w:rsid w:val="00580079"/>
    <w:rsid w:val="00580476"/>
    <w:rsid w:val="0058175B"/>
    <w:rsid w:val="00583799"/>
    <w:rsid w:val="00590CB8"/>
    <w:rsid w:val="005915AE"/>
    <w:rsid w:val="0059263E"/>
    <w:rsid w:val="00596019"/>
    <w:rsid w:val="005968A4"/>
    <w:rsid w:val="00596EDA"/>
    <w:rsid w:val="00597504"/>
    <w:rsid w:val="005A1263"/>
    <w:rsid w:val="005A2A35"/>
    <w:rsid w:val="005A355E"/>
    <w:rsid w:val="005A460B"/>
    <w:rsid w:val="005A4631"/>
    <w:rsid w:val="005A530C"/>
    <w:rsid w:val="005A57F0"/>
    <w:rsid w:val="005A5CC3"/>
    <w:rsid w:val="005A5CD8"/>
    <w:rsid w:val="005A5FCB"/>
    <w:rsid w:val="005A64D4"/>
    <w:rsid w:val="005B1324"/>
    <w:rsid w:val="005B14A5"/>
    <w:rsid w:val="005B1D63"/>
    <w:rsid w:val="005B30AF"/>
    <w:rsid w:val="005B3C96"/>
    <w:rsid w:val="005B4A8F"/>
    <w:rsid w:val="005B690F"/>
    <w:rsid w:val="005B7506"/>
    <w:rsid w:val="005C21E6"/>
    <w:rsid w:val="005C406D"/>
    <w:rsid w:val="005C45BC"/>
    <w:rsid w:val="005C4CCA"/>
    <w:rsid w:val="005C59FE"/>
    <w:rsid w:val="005D0565"/>
    <w:rsid w:val="005D3C40"/>
    <w:rsid w:val="005D4713"/>
    <w:rsid w:val="005D7296"/>
    <w:rsid w:val="005D74FC"/>
    <w:rsid w:val="005E2B51"/>
    <w:rsid w:val="005E481A"/>
    <w:rsid w:val="005E614E"/>
    <w:rsid w:val="005E6A94"/>
    <w:rsid w:val="005F4B07"/>
    <w:rsid w:val="005F579B"/>
    <w:rsid w:val="005F607E"/>
    <w:rsid w:val="00600693"/>
    <w:rsid w:val="00600F4B"/>
    <w:rsid w:val="006010EC"/>
    <w:rsid w:val="00604CEB"/>
    <w:rsid w:val="00612DC1"/>
    <w:rsid w:val="00613DB8"/>
    <w:rsid w:val="006177CC"/>
    <w:rsid w:val="00623C98"/>
    <w:rsid w:val="00624ECA"/>
    <w:rsid w:val="00627DE2"/>
    <w:rsid w:val="006313F1"/>
    <w:rsid w:val="00634462"/>
    <w:rsid w:val="0063454D"/>
    <w:rsid w:val="006348F2"/>
    <w:rsid w:val="006361C3"/>
    <w:rsid w:val="00636E1F"/>
    <w:rsid w:val="00637077"/>
    <w:rsid w:val="00637893"/>
    <w:rsid w:val="00640493"/>
    <w:rsid w:val="00641846"/>
    <w:rsid w:val="00641B96"/>
    <w:rsid w:val="006427EB"/>
    <w:rsid w:val="0064434A"/>
    <w:rsid w:val="00644FDF"/>
    <w:rsid w:val="0064705A"/>
    <w:rsid w:val="0065237D"/>
    <w:rsid w:val="006528F4"/>
    <w:rsid w:val="006553AD"/>
    <w:rsid w:val="0065669A"/>
    <w:rsid w:val="00657C55"/>
    <w:rsid w:val="00660E05"/>
    <w:rsid w:val="0066245B"/>
    <w:rsid w:val="006634A0"/>
    <w:rsid w:val="00667DAE"/>
    <w:rsid w:val="00672797"/>
    <w:rsid w:val="00672A99"/>
    <w:rsid w:val="00673F4A"/>
    <w:rsid w:val="0067419E"/>
    <w:rsid w:val="00681762"/>
    <w:rsid w:val="00682C10"/>
    <w:rsid w:val="0068342B"/>
    <w:rsid w:val="00685533"/>
    <w:rsid w:val="00693231"/>
    <w:rsid w:val="006955D1"/>
    <w:rsid w:val="00696219"/>
    <w:rsid w:val="006A1712"/>
    <w:rsid w:val="006A3175"/>
    <w:rsid w:val="006B0B69"/>
    <w:rsid w:val="006B1DDB"/>
    <w:rsid w:val="006B23DD"/>
    <w:rsid w:val="006B4D8B"/>
    <w:rsid w:val="006B6270"/>
    <w:rsid w:val="006B69D7"/>
    <w:rsid w:val="006B6B44"/>
    <w:rsid w:val="006C37D2"/>
    <w:rsid w:val="006C41E0"/>
    <w:rsid w:val="006C481F"/>
    <w:rsid w:val="006C4C6B"/>
    <w:rsid w:val="006C6257"/>
    <w:rsid w:val="006C6ACD"/>
    <w:rsid w:val="006D2F42"/>
    <w:rsid w:val="006D4EF1"/>
    <w:rsid w:val="006D5C6F"/>
    <w:rsid w:val="006D62B1"/>
    <w:rsid w:val="006D6A8F"/>
    <w:rsid w:val="006D6F01"/>
    <w:rsid w:val="006D7183"/>
    <w:rsid w:val="006D71BA"/>
    <w:rsid w:val="006E4A80"/>
    <w:rsid w:val="006E67F5"/>
    <w:rsid w:val="006E6C11"/>
    <w:rsid w:val="006E6C91"/>
    <w:rsid w:val="006F0B4A"/>
    <w:rsid w:val="006F2914"/>
    <w:rsid w:val="006F29E6"/>
    <w:rsid w:val="006F7760"/>
    <w:rsid w:val="006F777D"/>
    <w:rsid w:val="007019C7"/>
    <w:rsid w:val="00701FAD"/>
    <w:rsid w:val="00702B87"/>
    <w:rsid w:val="00703655"/>
    <w:rsid w:val="00704EC3"/>
    <w:rsid w:val="00707670"/>
    <w:rsid w:val="0071041B"/>
    <w:rsid w:val="0071583B"/>
    <w:rsid w:val="00717055"/>
    <w:rsid w:val="0071791C"/>
    <w:rsid w:val="0072040E"/>
    <w:rsid w:val="00721042"/>
    <w:rsid w:val="00723E3B"/>
    <w:rsid w:val="00725606"/>
    <w:rsid w:val="00731010"/>
    <w:rsid w:val="007313C7"/>
    <w:rsid w:val="0073181C"/>
    <w:rsid w:val="00740EB0"/>
    <w:rsid w:val="0074148D"/>
    <w:rsid w:val="00741D4F"/>
    <w:rsid w:val="00741F4B"/>
    <w:rsid w:val="007433C2"/>
    <w:rsid w:val="00743842"/>
    <w:rsid w:val="00744540"/>
    <w:rsid w:val="007453F0"/>
    <w:rsid w:val="00746483"/>
    <w:rsid w:val="00746964"/>
    <w:rsid w:val="00757B58"/>
    <w:rsid w:val="0076161C"/>
    <w:rsid w:val="00763093"/>
    <w:rsid w:val="00763864"/>
    <w:rsid w:val="0076750C"/>
    <w:rsid w:val="007676C6"/>
    <w:rsid w:val="00767BE3"/>
    <w:rsid w:val="00772756"/>
    <w:rsid w:val="00774192"/>
    <w:rsid w:val="007747F1"/>
    <w:rsid w:val="007756D3"/>
    <w:rsid w:val="00776348"/>
    <w:rsid w:val="00776B23"/>
    <w:rsid w:val="0077799C"/>
    <w:rsid w:val="00780F8A"/>
    <w:rsid w:val="00782EF4"/>
    <w:rsid w:val="00784A2F"/>
    <w:rsid w:val="0078631B"/>
    <w:rsid w:val="007878A1"/>
    <w:rsid w:val="00787AD0"/>
    <w:rsid w:val="00791091"/>
    <w:rsid w:val="00791207"/>
    <w:rsid w:val="00791EF5"/>
    <w:rsid w:val="0079452E"/>
    <w:rsid w:val="00794E77"/>
    <w:rsid w:val="00796BE5"/>
    <w:rsid w:val="007A0352"/>
    <w:rsid w:val="007A055D"/>
    <w:rsid w:val="007A0780"/>
    <w:rsid w:val="007A1829"/>
    <w:rsid w:val="007A2CA5"/>
    <w:rsid w:val="007A7A75"/>
    <w:rsid w:val="007B022E"/>
    <w:rsid w:val="007B3F43"/>
    <w:rsid w:val="007B7ABB"/>
    <w:rsid w:val="007C26E1"/>
    <w:rsid w:val="007C474D"/>
    <w:rsid w:val="007C508E"/>
    <w:rsid w:val="007C5897"/>
    <w:rsid w:val="007C5BC5"/>
    <w:rsid w:val="007C6767"/>
    <w:rsid w:val="007D147C"/>
    <w:rsid w:val="007D186A"/>
    <w:rsid w:val="007D1B72"/>
    <w:rsid w:val="007D324B"/>
    <w:rsid w:val="007D3594"/>
    <w:rsid w:val="007D4DE0"/>
    <w:rsid w:val="007D5735"/>
    <w:rsid w:val="007D66D6"/>
    <w:rsid w:val="007E09BA"/>
    <w:rsid w:val="007E0A0F"/>
    <w:rsid w:val="007E0F65"/>
    <w:rsid w:val="007E241D"/>
    <w:rsid w:val="007E4479"/>
    <w:rsid w:val="007E70CE"/>
    <w:rsid w:val="007E72B4"/>
    <w:rsid w:val="007F1B86"/>
    <w:rsid w:val="007F7010"/>
    <w:rsid w:val="007F76C1"/>
    <w:rsid w:val="00800D52"/>
    <w:rsid w:val="008030ED"/>
    <w:rsid w:val="00812347"/>
    <w:rsid w:val="00812C72"/>
    <w:rsid w:val="00817732"/>
    <w:rsid w:val="0081792E"/>
    <w:rsid w:val="0082006A"/>
    <w:rsid w:val="00820D86"/>
    <w:rsid w:val="0082118A"/>
    <w:rsid w:val="00822A8C"/>
    <w:rsid w:val="0082506D"/>
    <w:rsid w:val="00830DB4"/>
    <w:rsid w:val="00831293"/>
    <w:rsid w:val="008324F0"/>
    <w:rsid w:val="00833638"/>
    <w:rsid w:val="00835BC8"/>
    <w:rsid w:val="00836741"/>
    <w:rsid w:val="00837588"/>
    <w:rsid w:val="008408F6"/>
    <w:rsid w:val="00841354"/>
    <w:rsid w:val="00843982"/>
    <w:rsid w:val="00845290"/>
    <w:rsid w:val="00847128"/>
    <w:rsid w:val="008502DD"/>
    <w:rsid w:val="008526BD"/>
    <w:rsid w:val="008544D3"/>
    <w:rsid w:val="0086042D"/>
    <w:rsid w:val="00860B58"/>
    <w:rsid w:val="00864C0E"/>
    <w:rsid w:val="008654D4"/>
    <w:rsid w:val="00867BEA"/>
    <w:rsid w:val="00871988"/>
    <w:rsid w:val="00871C22"/>
    <w:rsid w:val="00871EAD"/>
    <w:rsid w:val="008723F3"/>
    <w:rsid w:val="00873F43"/>
    <w:rsid w:val="008759F1"/>
    <w:rsid w:val="00875BAE"/>
    <w:rsid w:val="00875E1F"/>
    <w:rsid w:val="00877C3D"/>
    <w:rsid w:val="00881835"/>
    <w:rsid w:val="0088282C"/>
    <w:rsid w:val="00883A97"/>
    <w:rsid w:val="00887771"/>
    <w:rsid w:val="008900FA"/>
    <w:rsid w:val="00890DEB"/>
    <w:rsid w:val="00891BC4"/>
    <w:rsid w:val="00891D99"/>
    <w:rsid w:val="008921EE"/>
    <w:rsid w:val="008948FA"/>
    <w:rsid w:val="00895C5C"/>
    <w:rsid w:val="00895EB1"/>
    <w:rsid w:val="00896567"/>
    <w:rsid w:val="00896B15"/>
    <w:rsid w:val="008A00C9"/>
    <w:rsid w:val="008A1819"/>
    <w:rsid w:val="008A29EF"/>
    <w:rsid w:val="008A3AF1"/>
    <w:rsid w:val="008A525F"/>
    <w:rsid w:val="008A6A5A"/>
    <w:rsid w:val="008A7744"/>
    <w:rsid w:val="008B0148"/>
    <w:rsid w:val="008B743A"/>
    <w:rsid w:val="008C01DA"/>
    <w:rsid w:val="008C3E63"/>
    <w:rsid w:val="008C40EA"/>
    <w:rsid w:val="008C5C0E"/>
    <w:rsid w:val="008C6086"/>
    <w:rsid w:val="008C7F43"/>
    <w:rsid w:val="008D0CAC"/>
    <w:rsid w:val="008D0D70"/>
    <w:rsid w:val="008D16E4"/>
    <w:rsid w:val="008D2114"/>
    <w:rsid w:val="008D3296"/>
    <w:rsid w:val="008D6FF6"/>
    <w:rsid w:val="008E0663"/>
    <w:rsid w:val="008E1093"/>
    <w:rsid w:val="008E35FE"/>
    <w:rsid w:val="008E4329"/>
    <w:rsid w:val="008E5F02"/>
    <w:rsid w:val="008E60BB"/>
    <w:rsid w:val="008E6533"/>
    <w:rsid w:val="008F0B36"/>
    <w:rsid w:val="008F0CE7"/>
    <w:rsid w:val="008F673B"/>
    <w:rsid w:val="008F6DC6"/>
    <w:rsid w:val="00900F02"/>
    <w:rsid w:val="009059F7"/>
    <w:rsid w:val="009065D3"/>
    <w:rsid w:val="00907EA1"/>
    <w:rsid w:val="00910328"/>
    <w:rsid w:val="0091102E"/>
    <w:rsid w:val="0091263B"/>
    <w:rsid w:val="00914219"/>
    <w:rsid w:val="00914CB4"/>
    <w:rsid w:val="0091692B"/>
    <w:rsid w:val="00920517"/>
    <w:rsid w:val="00922729"/>
    <w:rsid w:val="009244A3"/>
    <w:rsid w:val="009246E7"/>
    <w:rsid w:val="00926BBE"/>
    <w:rsid w:val="00926C75"/>
    <w:rsid w:val="009301E1"/>
    <w:rsid w:val="00930C68"/>
    <w:rsid w:val="009316E3"/>
    <w:rsid w:val="00935223"/>
    <w:rsid w:val="009362C3"/>
    <w:rsid w:val="00937A8D"/>
    <w:rsid w:val="00940802"/>
    <w:rsid w:val="0094431D"/>
    <w:rsid w:val="0094462C"/>
    <w:rsid w:val="00944F3B"/>
    <w:rsid w:val="00945631"/>
    <w:rsid w:val="0094697A"/>
    <w:rsid w:val="00947A28"/>
    <w:rsid w:val="00950012"/>
    <w:rsid w:val="00950990"/>
    <w:rsid w:val="009520E5"/>
    <w:rsid w:val="00953CA2"/>
    <w:rsid w:val="0095472B"/>
    <w:rsid w:val="0096583C"/>
    <w:rsid w:val="0096776E"/>
    <w:rsid w:val="00971243"/>
    <w:rsid w:val="00981192"/>
    <w:rsid w:val="00982862"/>
    <w:rsid w:val="00982C02"/>
    <w:rsid w:val="009845FB"/>
    <w:rsid w:val="00985FDA"/>
    <w:rsid w:val="0098774D"/>
    <w:rsid w:val="00987DA2"/>
    <w:rsid w:val="00991B87"/>
    <w:rsid w:val="0099593A"/>
    <w:rsid w:val="009A0070"/>
    <w:rsid w:val="009A15D2"/>
    <w:rsid w:val="009A1FF0"/>
    <w:rsid w:val="009A494B"/>
    <w:rsid w:val="009A5BBD"/>
    <w:rsid w:val="009A619A"/>
    <w:rsid w:val="009B0063"/>
    <w:rsid w:val="009B0E2C"/>
    <w:rsid w:val="009B16BB"/>
    <w:rsid w:val="009B21A9"/>
    <w:rsid w:val="009B2A13"/>
    <w:rsid w:val="009B4312"/>
    <w:rsid w:val="009B7658"/>
    <w:rsid w:val="009B77ED"/>
    <w:rsid w:val="009C004B"/>
    <w:rsid w:val="009C5C9F"/>
    <w:rsid w:val="009D0D99"/>
    <w:rsid w:val="009D2456"/>
    <w:rsid w:val="009D29F4"/>
    <w:rsid w:val="009D4744"/>
    <w:rsid w:val="009D55BF"/>
    <w:rsid w:val="009D688B"/>
    <w:rsid w:val="009E1788"/>
    <w:rsid w:val="009E1B07"/>
    <w:rsid w:val="009E1CB6"/>
    <w:rsid w:val="009E2106"/>
    <w:rsid w:val="009E2310"/>
    <w:rsid w:val="009E2A12"/>
    <w:rsid w:val="009E3942"/>
    <w:rsid w:val="009E6522"/>
    <w:rsid w:val="009E7924"/>
    <w:rsid w:val="009F23FF"/>
    <w:rsid w:val="009F7394"/>
    <w:rsid w:val="009F7BFC"/>
    <w:rsid w:val="00A000AD"/>
    <w:rsid w:val="00A01528"/>
    <w:rsid w:val="00A02290"/>
    <w:rsid w:val="00A02752"/>
    <w:rsid w:val="00A05077"/>
    <w:rsid w:val="00A05449"/>
    <w:rsid w:val="00A06A6A"/>
    <w:rsid w:val="00A154AA"/>
    <w:rsid w:val="00A16490"/>
    <w:rsid w:val="00A16C35"/>
    <w:rsid w:val="00A2069F"/>
    <w:rsid w:val="00A20E13"/>
    <w:rsid w:val="00A21A18"/>
    <w:rsid w:val="00A21AE0"/>
    <w:rsid w:val="00A21C91"/>
    <w:rsid w:val="00A23B35"/>
    <w:rsid w:val="00A244CB"/>
    <w:rsid w:val="00A2591C"/>
    <w:rsid w:val="00A3034B"/>
    <w:rsid w:val="00A332AE"/>
    <w:rsid w:val="00A33326"/>
    <w:rsid w:val="00A33ED8"/>
    <w:rsid w:val="00A40EA8"/>
    <w:rsid w:val="00A4186E"/>
    <w:rsid w:val="00A42020"/>
    <w:rsid w:val="00A441D0"/>
    <w:rsid w:val="00A44286"/>
    <w:rsid w:val="00A457EF"/>
    <w:rsid w:val="00A4740A"/>
    <w:rsid w:val="00A47CCB"/>
    <w:rsid w:val="00A52FB2"/>
    <w:rsid w:val="00A53C08"/>
    <w:rsid w:val="00A5427B"/>
    <w:rsid w:val="00A5683C"/>
    <w:rsid w:val="00A5687C"/>
    <w:rsid w:val="00A56942"/>
    <w:rsid w:val="00A63775"/>
    <w:rsid w:val="00A661F4"/>
    <w:rsid w:val="00A66325"/>
    <w:rsid w:val="00A67745"/>
    <w:rsid w:val="00A70697"/>
    <w:rsid w:val="00A71655"/>
    <w:rsid w:val="00A73CF5"/>
    <w:rsid w:val="00A742D0"/>
    <w:rsid w:val="00A7516D"/>
    <w:rsid w:val="00A76BDF"/>
    <w:rsid w:val="00A8000F"/>
    <w:rsid w:val="00A81D14"/>
    <w:rsid w:val="00A82025"/>
    <w:rsid w:val="00A87CB0"/>
    <w:rsid w:val="00A9056A"/>
    <w:rsid w:val="00A910C0"/>
    <w:rsid w:val="00A92684"/>
    <w:rsid w:val="00A93D3D"/>
    <w:rsid w:val="00A94AF4"/>
    <w:rsid w:val="00A96587"/>
    <w:rsid w:val="00A966CF"/>
    <w:rsid w:val="00A966D8"/>
    <w:rsid w:val="00AA1FA3"/>
    <w:rsid w:val="00AA1FF7"/>
    <w:rsid w:val="00AA2BEC"/>
    <w:rsid w:val="00AA3D68"/>
    <w:rsid w:val="00AA3E28"/>
    <w:rsid w:val="00AA55A7"/>
    <w:rsid w:val="00AB0083"/>
    <w:rsid w:val="00AB0A91"/>
    <w:rsid w:val="00AB3DC6"/>
    <w:rsid w:val="00AB62F7"/>
    <w:rsid w:val="00AC2AB1"/>
    <w:rsid w:val="00AC3C0C"/>
    <w:rsid w:val="00AC4CE6"/>
    <w:rsid w:val="00AC519C"/>
    <w:rsid w:val="00AC6C9D"/>
    <w:rsid w:val="00AD3F83"/>
    <w:rsid w:val="00AD4F1F"/>
    <w:rsid w:val="00AD5A51"/>
    <w:rsid w:val="00AD625A"/>
    <w:rsid w:val="00AE25D2"/>
    <w:rsid w:val="00AE25FB"/>
    <w:rsid w:val="00AE2A90"/>
    <w:rsid w:val="00AF1CE9"/>
    <w:rsid w:val="00AF270E"/>
    <w:rsid w:val="00AF3E5A"/>
    <w:rsid w:val="00AF3EFE"/>
    <w:rsid w:val="00AF5AD3"/>
    <w:rsid w:val="00AF648E"/>
    <w:rsid w:val="00AF6C81"/>
    <w:rsid w:val="00AF7242"/>
    <w:rsid w:val="00B00925"/>
    <w:rsid w:val="00B01A08"/>
    <w:rsid w:val="00B0265D"/>
    <w:rsid w:val="00B0294F"/>
    <w:rsid w:val="00B12A84"/>
    <w:rsid w:val="00B17AAD"/>
    <w:rsid w:val="00B17CF6"/>
    <w:rsid w:val="00B200A9"/>
    <w:rsid w:val="00B2236A"/>
    <w:rsid w:val="00B22735"/>
    <w:rsid w:val="00B25267"/>
    <w:rsid w:val="00B25E82"/>
    <w:rsid w:val="00B27F8F"/>
    <w:rsid w:val="00B30ED7"/>
    <w:rsid w:val="00B311FB"/>
    <w:rsid w:val="00B3139C"/>
    <w:rsid w:val="00B329CA"/>
    <w:rsid w:val="00B32E59"/>
    <w:rsid w:val="00B333C0"/>
    <w:rsid w:val="00B34A94"/>
    <w:rsid w:val="00B359E3"/>
    <w:rsid w:val="00B367A4"/>
    <w:rsid w:val="00B37487"/>
    <w:rsid w:val="00B37737"/>
    <w:rsid w:val="00B403C2"/>
    <w:rsid w:val="00B40EAB"/>
    <w:rsid w:val="00B42447"/>
    <w:rsid w:val="00B43DD1"/>
    <w:rsid w:val="00B450AD"/>
    <w:rsid w:val="00B5309A"/>
    <w:rsid w:val="00B54A64"/>
    <w:rsid w:val="00B56891"/>
    <w:rsid w:val="00B5761E"/>
    <w:rsid w:val="00B60022"/>
    <w:rsid w:val="00B6114F"/>
    <w:rsid w:val="00B611CF"/>
    <w:rsid w:val="00B614C7"/>
    <w:rsid w:val="00B635BF"/>
    <w:rsid w:val="00B63A5F"/>
    <w:rsid w:val="00B64CF2"/>
    <w:rsid w:val="00B669BC"/>
    <w:rsid w:val="00B70C79"/>
    <w:rsid w:val="00B72E81"/>
    <w:rsid w:val="00B7550E"/>
    <w:rsid w:val="00B7563B"/>
    <w:rsid w:val="00B75DC4"/>
    <w:rsid w:val="00B77D60"/>
    <w:rsid w:val="00B80DB4"/>
    <w:rsid w:val="00B81F12"/>
    <w:rsid w:val="00B82EE6"/>
    <w:rsid w:val="00B90004"/>
    <w:rsid w:val="00B93230"/>
    <w:rsid w:val="00B94818"/>
    <w:rsid w:val="00B94EC4"/>
    <w:rsid w:val="00B9565E"/>
    <w:rsid w:val="00B97F6E"/>
    <w:rsid w:val="00BA0CF3"/>
    <w:rsid w:val="00BA1B61"/>
    <w:rsid w:val="00BA7671"/>
    <w:rsid w:val="00BB0AE9"/>
    <w:rsid w:val="00BB1525"/>
    <w:rsid w:val="00BB2FAB"/>
    <w:rsid w:val="00BB619B"/>
    <w:rsid w:val="00BB66CA"/>
    <w:rsid w:val="00BB6AE7"/>
    <w:rsid w:val="00BC0CCC"/>
    <w:rsid w:val="00BC2953"/>
    <w:rsid w:val="00BC2CC3"/>
    <w:rsid w:val="00BC3CD3"/>
    <w:rsid w:val="00BC499C"/>
    <w:rsid w:val="00BC4C6B"/>
    <w:rsid w:val="00BC572F"/>
    <w:rsid w:val="00BC626C"/>
    <w:rsid w:val="00BC75C7"/>
    <w:rsid w:val="00BD1056"/>
    <w:rsid w:val="00BD3A90"/>
    <w:rsid w:val="00BD3E2D"/>
    <w:rsid w:val="00BD4939"/>
    <w:rsid w:val="00BD63F3"/>
    <w:rsid w:val="00BE140C"/>
    <w:rsid w:val="00BE4F9D"/>
    <w:rsid w:val="00BE74A9"/>
    <w:rsid w:val="00BF36E3"/>
    <w:rsid w:val="00BF3B53"/>
    <w:rsid w:val="00BF3F90"/>
    <w:rsid w:val="00BF6661"/>
    <w:rsid w:val="00BF73EA"/>
    <w:rsid w:val="00BF7F47"/>
    <w:rsid w:val="00C00295"/>
    <w:rsid w:val="00C044F5"/>
    <w:rsid w:val="00C05041"/>
    <w:rsid w:val="00C058E7"/>
    <w:rsid w:val="00C07934"/>
    <w:rsid w:val="00C104E3"/>
    <w:rsid w:val="00C11511"/>
    <w:rsid w:val="00C11928"/>
    <w:rsid w:val="00C1396D"/>
    <w:rsid w:val="00C16A18"/>
    <w:rsid w:val="00C175CE"/>
    <w:rsid w:val="00C234F9"/>
    <w:rsid w:val="00C24760"/>
    <w:rsid w:val="00C26E1C"/>
    <w:rsid w:val="00C272EA"/>
    <w:rsid w:val="00C27E21"/>
    <w:rsid w:val="00C301AE"/>
    <w:rsid w:val="00C30851"/>
    <w:rsid w:val="00C318E0"/>
    <w:rsid w:val="00C32372"/>
    <w:rsid w:val="00C33774"/>
    <w:rsid w:val="00C34586"/>
    <w:rsid w:val="00C36CFE"/>
    <w:rsid w:val="00C4172F"/>
    <w:rsid w:val="00C41E92"/>
    <w:rsid w:val="00C41FA6"/>
    <w:rsid w:val="00C4214A"/>
    <w:rsid w:val="00C42E14"/>
    <w:rsid w:val="00C472D5"/>
    <w:rsid w:val="00C47B24"/>
    <w:rsid w:val="00C53DFD"/>
    <w:rsid w:val="00C53F54"/>
    <w:rsid w:val="00C55D37"/>
    <w:rsid w:val="00C6082F"/>
    <w:rsid w:val="00C66CC2"/>
    <w:rsid w:val="00C71BFF"/>
    <w:rsid w:val="00C7453E"/>
    <w:rsid w:val="00C74807"/>
    <w:rsid w:val="00C855AD"/>
    <w:rsid w:val="00C903F6"/>
    <w:rsid w:val="00CA1C8E"/>
    <w:rsid w:val="00CA21BD"/>
    <w:rsid w:val="00CA2F39"/>
    <w:rsid w:val="00CA3A76"/>
    <w:rsid w:val="00CA4A4E"/>
    <w:rsid w:val="00CB3D31"/>
    <w:rsid w:val="00CB5A36"/>
    <w:rsid w:val="00CB7B15"/>
    <w:rsid w:val="00CB7FA6"/>
    <w:rsid w:val="00CC004E"/>
    <w:rsid w:val="00CC0239"/>
    <w:rsid w:val="00CC598B"/>
    <w:rsid w:val="00CC69C7"/>
    <w:rsid w:val="00CD1AEC"/>
    <w:rsid w:val="00CD41D2"/>
    <w:rsid w:val="00CD5DA6"/>
    <w:rsid w:val="00CE3084"/>
    <w:rsid w:val="00CE3F31"/>
    <w:rsid w:val="00CF25E4"/>
    <w:rsid w:val="00CF3BB8"/>
    <w:rsid w:val="00CF41C0"/>
    <w:rsid w:val="00D01F6A"/>
    <w:rsid w:val="00D029BA"/>
    <w:rsid w:val="00D02FBB"/>
    <w:rsid w:val="00D054A9"/>
    <w:rsid w:val="00D0687C"/>
    <w:rsid w:val="00D0788D"/>
    <w:rsid w:val="00D117D1"/>
    <w:rsid w:val="00D12450"/>
    <w:rsid w:val="00D12AD1"/>
    <w:rsid w:val="00D16C50"/>
    <w:rsid w:val="00D17C7B"/>
    <w:rsid w:val="00D2137F"/>
    <w:rsid w:val="00D22CE3"/>
    <w:rsid w:val="00D2483B"/>
    <w:rsid w:val="00D254E3"/>
    <w:rsid w:val="00D25F15"/>
    <w:rsid w:val="00D300B7"/>
    <w:rsid w:val="00D34F03"/>
    <w:rsid w:val="00D37787"/>
    <w:rsid w:val="00D378E8"/>
    <w:rsid w:val="00D44237"/>
    <w:rsid w:val="00D443B5"/>
    <w:rsid w:val="00D44701"/>
    <w:rsid w:val="00D45A79"/>
    <w:rsid w:val="00D45B72"/>
    <w:rsid w:val="00D466CD"/>
    <w:rsid w:val="00D5210A"/>
    <w:rsid w:val="00D61CDB"/>
    <w:rsid w:val="00D67A77"/>
    <w:rsid w:val="00D7196E"/>
    <w:rsid w:val="00D71F3B"/>
    <w:rsid w:val="00D71FF8"/>
    <w:rsid w:val="00D733D6"/>
    <w:rsid w:val="00D75AF5"/>
    <w:rsid w:val="00D768C2"/>
    <w:rsid w:val="00D77D7D"/>
    <w:rsid w:val="00D910B3"/>
    <w:rsid w:val="00D9144B"/>
    <w:rsid w:val="00D9328B"/>
    <w:rsid w:val="00D937BE"/>
    <w:rsid w:val="00D94EA8"/>
    <w:rsid w:val="00D962DB"/>
    <w:rsid w:val="00D96440"/>
    <w:rsid w:val="00D966A6"/>
    <w:rsid w:val="00DA050D"/>
    <w:rsid w:val="00DA0693"/>
    <w:rsid w:val="00DA1586"/>
    <w:rsid w:val="00DA1596"/>
    <w:rsid w:val="00DA1B5C"/>
    <w:rsid w:val="00DA3900"/>
    <w:rsid w:val="00DA4036"/>
    <w:rsid w:val="00DA422D"/>
    <w:rsid w:val="00DA53E7"/>
    <w:rsid w:val="00DA7172"/>
    <w:rsid w:val="00DB1D85"/>
    <w:rsid w:val="00DB294C"/>
    <w:rsid w:val="00DB2F8C"/>
    <w:rsid w:val="00DB3299"/>
    <w:rsid w:val="00DB40ED"/>
    <w:rsid w:val="00DB4E71"/>
    <w:rsid w:val="00DB5C58"/>
    <w:rsid w:val="00DB73D5"/>
    <w:rsid w:val="00DB7C24"/>
    <w:rsid w:val="00DC2B0A"/>
    <w:rsid w:val="00DC4275"/>
    <w:rsid w:val="00DC6E0E"/>
    <w:rsid w:val="00DC7500"/>
    <w:rsid w:val="00DD1FA9"/>
    <w:rsid w:val="00DD383F"/>
    <w:rsid w:val="00DD53B7"/>
    <w:rsid w:val="00DD76D7"/>
    <w:rsid w:val="00DE16A7"/>
    <w:rsid w:val="00DE182F"/>
    <w:rsid w:val="00DE2A38"/>
    <w:rsid w:val="00DE5267"/>
    <w:rsid w:val="00DE5284"/>
    <w:rsid w:val="00DE68DA"/>
    <w:rsid w:val="00DE7DF7"/>
    <w:rsid w:val="00DF1174"/>
    <w:rsid w:val="00DF1345"/>
    <w:rsid w:val="00DF1693"/>
    <w:rsid w:val="00DF3AD8"/>
    <w:rsid w:val="00DF3E8B"/>
    <w:rsid w:val="00DF7EC6"/>
    <w:rsid w:val="00E005A7"/>
    <w:rsid w:val="00E00F5E"/>
    <w:rsid w:val="00E04BFD"/>
    <w:rsid w:val="00E05BA9"/>
    <w:rsid w:val="00E05D7B"/>
    <w:rsid w:val="00E06A83"/>
    <w:rsid w:val="00E1162B"/>
    <w:rsid w:val="00E11AF5"/>
    <w:rsid w:val="00E13078"/>
    <w:rsid w:val="00E1452D"/>
    <w:rsid w:val="00E17535"/>
    <w:rsid w:val="00E21A98"/>
    <w:rsid w:val="00E21EBA"/>
    <w:rsid w:val="00E23A48"/>
    <w:rsid w:val="00E23AB5"/>
    <w:rsid w:val="00E23DEF"/>
    <w:rsid w:val="00E31D06"/>
    <w:rsid w:val="00E31FBB"/>
    <w:rsid w:val="00E3755E"/>
    <w:rsid w:val="00E43A04"/>
    <w:rsid w:val="00E45E0F"/>
    <w:rsid w:val="00E45E62"/>
    <w:rsid w:val="00E462FB"/>
    <w:rsid w:val="00E46360"/>
    <w:rsid w:val="00E50361"/>
    <w:rsid w:val="00E5090B"/>
    <w:rsid w:val="00E517A3"/>
    <w:rsid w:val="00E54670"/>
    <w:rsid w:val="00E54A2E"/>
    <w:rsid w:val="00E54AA4"/>
    <w:rsid w:val="00E54C7B"/>
    <w:rsid w:val="00E54D2E"/>
    <w:rsid w:val="00E57D05"/>
    <w:rsid w:val="00E60693"/>
    <w:rsid w:val="00E608DF"/>
    <w:rsid w:val="00E64C4A"/>
    <w:rsid w:val="00E65E74"/>
    <w:rsid w:val="00E70415"/>
    <w:rsid w:val="00E70B19"/>
    <w:rsid w:val="00E72325"/>
    <w:rsid w:val="00E72D0B"/>
    <w:rsid w:val="00E75692"/>
    <w:rsid w:val="00E762CE"/>
    <w:rsid w:val="00E77201"/>
    <w:rsid w:val="00E814EC"/>
    <w:rsid w:val="00E816C8"/>
    <w:rsid w:val="00E8186D"/>
    <w:rsid w:val="00E81F9E"/>
    <w:rsid w:val="00E83BA9"/>
    <w:rsid w:val="00E850FE"/>
    <w:rsid w:val="00E85A96"/>
    <w:rsid w:val="00E85E31"/>
    <w:rsid w:val="00E876A0"/>
    <w:rsid w:val="00E87C07"/>
    <w:rsid w:val="00E87C4F"/>
    <w:rsid w:val="00E914E4"/>
    <w:rsid w:val="00E92B92"/>
    <w:rsid w:val="00E93C4D"/>
    <w:rsid w:val="00E94165"/>
    <w:rsid w:val="00EA1342"/>
    <w:rsid w:val="00EA3AB5"/>
    <w:rsid w:val="00EA4169"/>
    <w:rsid w:val="00EA556F"/>
    <w:rsid w:val="00EB1AB3"/>
    <w:rsid w:val="00EB1F98"/>
    <w:rsid w:val="00EB2747"/>
    <w:rsid w:val="00EB4194"/>
    <w:rsid w:val="00EB694A"/>
    <w:rsid w:val="00EC1753"/>
    <w:rsid w:val="00EC2922"/>
    <w:rsid w:val="00EC3C7D"/>
    <w:rsid w:val="00EC63AE"/>
    <w:rsid w:val="00EC6B59"/>
    <w:rsid w:val="00ED0C50"/>
    <w:rsid w:val="00ED2BBB"/>
    <w:rsid w:val="00ED7F29"/>
    <w:rsid w:val="00EE07D7"/>
    <w:rsid w:val="00EE117D"/>
    <w:rsid w:val="00EE14DE"/>
    <w:rsid w:val="00EE262C"/>
    <w:rsid w:val="00EE6A45"/>
    <w:rsid w:val="00EF1F76"/>
    <w:rsid w:val="00EF2556"/>
    <w:rsid w:val="00EF5322"/>
    <w:rsid w:val="00EF60D2"/>
    <w:rsid w:val="00EF6B18"/>
    <w:rsid w:val="00EF7242"/>
    <w:rsid w:val="00F010B6"/>
    <w:rsid w:val="00F01C38"/>
    <w:rsid w:val="00F0353E"/>
    <w:rsid w:val="00F04F8A"/>
    <w:rsid w:val="00F056A2"/>
    <w:rsid w:val="00F07C7D"/>
    <w:rsid w:val="00F10960"/>
    <w:rsid w:val="00F12262"/>
    <w:rsid w:val="00F130A2"/>
    <w:rsid w:val="00F134F1"/>
    <w:rsid w:val="00F141CB"/>
    <w:rsid w:val="00F14F44"/>
    <w:rsid w:val="00F207F7"/>
    <w:rsid w:val="00F209CE"/>
    <w:rsid w:val="00F226C1"/>
    <w:rsid w:val="00F23361"/>
    <w:rsid w:val="00F23B7B"/>
    <w:rsid w:val="00F24C53"/>
    <w:rsid w:val="00F26D88"/>
    <w:rsid w:val="00F30132"/>
    <w:rsid w:val="00F30A66"/>
    <w:rsid w:val="00F31473"/>
    <w:rsid w:val="00F3298B"/>
    <w:rsid w:val="00F34092"/>
    <w:rsid w:val="00F360F3"/>
    <w:rsid w:val="00F40C24"/>
    <w:rsid w:val="00F41C81"/>
    <w:rsid w:val="00F42DBA"/>
    <w:rsid w:val="00F45505"/>
    <w:rsid w:val="00F467E2"/>
    <w:rsid w:val="00F51486"/>
    <w:rsid w:val="00F5301E"/>
    <w:rsid w:val="00F53216"/>
    <w:rsid w:val="00F6333E"/>
    <w:rsid w:val="00F6490B"/>
    <w:rsid w:val="00F7108E"/>
    <w:rsid w:val="00F72A69"/>
    <w:rsid w:val="00F74A44"/>
    <w:rsid w:val="00F75136"/>
    <w:rsid w:val="00F751E9"/>
    <w:rsid w:val="00F77D3E"/>
    <w:rsid w:val="00F92013"/>
    <w:rsid w:val="00F9373A"/>
    <w:rsid w:val="00F94859"/>
    <w:rsid w:val="00F94DCE"/>
    <w:rsid w:val="00F9607B"/>
    <w:rsid w:val="00F966BA"/>
    <w:rsid w:val="00F96CA8"/>
    <w:rsid w:val="00F97B94"/>
    <w:rsid w:val="00F97CF3"/>
    <w:rsid w:val="00FA0479"/>
    <w:rsid w:val="00FA08A1"/>
    <w:rsid w:val="00FA2D5E"/>
    <w:rsid w:val="00FA2D84"/>
    <w:rsid w:val="00FA316F"/>
    <w:rsid w:val="00FA39FD"/>
    <w:rsid w:val="00FA51D1"/>
    <w:rsid w:val="00FA707B"/>
    <w:rsid w:val="00FA74B2"/>
    <w:rsid w:val="00FB00EA"/>
    <w:rsid w:val="00FB5799"/>
    <w:rsid w:val="00FB5E83"/>
    <w:rsid w:val="00FB613C"/>
    <w:rsid w:val="00FC11EF"/>
    <w:rsid w:val="00FC3456"/>
    <w:rsid w:val="00FC5F2F"/>
    <w:rsid w:val="00FC7039"/>
    <w:rsid w:val="00FD4DCA"/>
    <w:rsid w:val="00FD4F6C"/>
    <w:rsid w:val="00FD51B5"/>
    <w:rsid w:val="00FD60CC"/>
    <w:rsid w:val="00FE075C"/>
    <w:rsid w:val="00FE278D"/>
    <w:rsid w:val="00FE3241"/>
    <w:rsid w:val="00FE3DAD"/>
    <w:rsid w:val="00FE44ED"/>
    <w:rsid w:val="00FE5572"/>
    <w:rsid w:val="00FF0860"/>
    <w:rsid w:val="00FF36A3"/>
    <w:rsid w:val="00FF38E8"/>
    <w:rsid w:val="00FF39DB"/>
    <w:rsid w:val="00FF6FDC"/>
    <w:rsid w:val="00FF70AC"/>
    <w:rsid w:val="00FF72EE"/>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B80DB4"/>
    <w:rPr>
      <w:lang w:val="en-GB"/>
    </w:rPr>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eastAsia="nl-NL"/>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eastAsia="nl-NL"/>
    </w:rPr>
  </w:style>
  <w:style w:type="paragraph" w:styleId="Kop3">
    <w:name w:val="heading 3"/>
    <w:basedOn w:val="Standaard"/>
    <w:next w:val="Standaard"/>
    <w:link w:val="Kop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jstalinea">
    <w:name w:val="List Paragraph"/>
    <w:basedOn w:val="Standaard"/>
    <w:uiPriority w:val="99"/>
    <w:qFormat/>
    <w:rsid w:val="00B80DB4"/>
    <w:pPr>
      <w:tabs>
        <w:tab w:val="left" w:pos="680"/>
        <w:tab w:val="left" w:pos="7371"/>
      </w:tabs>
      <w:spacing w:after="0" w:line="260" w:lineRule="exact"/>
      <w:ind w:left="720"/>
      <w:contextualSpacing/>
    </w:pPr>
    <w:rPr>
      <w:rFonts w:eastAsia="Times" w:cs="Times New Roman"/>
      <w:szCs w:val="20"/>
    </w:rPr>
  </w:style>
  <w:style w:type="paragraph" w:styleId="Subtitel">
    <w:name w:val="Subtitle"/>
    <w:basedOn w:val="Standaard"/>
    <w:next w:val="Standaard"/>
    <w:link w:val="Subtitel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rPr>
  </w:style>
  <w:style w:type="character" w:customStyle="1" w:styleId="SubtitelChar">
    <w:name w:val="Subtitel Char"/>
    <w:basedOn w:val="Standaardalinea-lettertype"/>
    <w:link w:val="Sub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 w:type="paragraph" w:styleId="Ballontekst">
    <w:name w:val="Balloon Text"/>
    <w:basedOn w:val="Standaard"/>
    <w:link w:val="BallontekstChar"/>
    <w:uiPriority w:val="99"/>
    <w:semiHidden/>
    <w:unhideWhenUsed/>
    <w:rsid w:val="00667D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7DAE"/>
    <w:rPr>
      <w:rFonts w:ascii="Tahoma" w:hAnsi="Tahoma" w:cs="Tahoma"/>
      <w:sz w:val="16"/>
      <w:szCs w:val="16"/>
      <w:lang w:val="en-GB"/>
    </w:rPr>
  </w:style>
  <w:style w:type="paragraph" w:styleId="Voetnoottekst">
    <w:name w:val="footnote text"/>
    <w:aliases w:val="Footnote Text Char1,Footnote Text Char1 Char,Footnote Text Char Char Char,Voetnootverwijzing_par,Podrozdział,Footnote Text Char Char Char Char,Footnote Text Char Char,Footnote Text Char Char Char Char Char,Footnote Text Char Char1"/>
    <w:basedOn w:val="Standaard"/>
    <w:link w:val="VoetnoottekstChar"/>
    <w:uiPriority w:val="99"/>
    <w:unhideWhenUsed/>
    <w:rsid w:val="00E94165"/>
    <w:pPr>
      <w:spacing w:after="0" w:line="240" w:lineRule="auto"/>
    </w:pPr>
    <w:rPr>
      <w:sz w:val="20"/>
      <w:szCs w:val="20"/>
    </w:rPr>
  </w:style>
  <w:style w:type="character" w:customStyle="1" w:styleId="VoetnoottekstChar">
    <w:name w:val="Voetnoottekst Char"/>
    <w:aliases w:val="Footnote Text Char1 Char1,Footnote Text Char1 Char Char,Footnote Text Char Char Char Char1,Voetnootverwijzing_par Char,Podrozdział Char,Footnote Text Char Char Char Char Char1,Footnote Text Char Char Char1"/>
    <w:basedOn w:val="Standaardalinea-lettertype"/>
    <w:link w:val="Voetnoottekst"/>
    <w:uiPriority w:val="99"/>
    <w:rsid w:val="00E94165"/>
    <w:rPr>
      <w:sz w:val="20"/>
      <w:szCs w:val="20"/>
      <w:lang w:val="en-GB"/>
    </w:rPr>
  </w:style>
  <w:style w:type="character" w:styleId="Voetnootmarkering">
    <w:name w:val="footnote reference"/>
    <w:aliases w:val="Footnote Reference in text,de nota al pie"/>
    <w:basedOn w:val="Standaardalinea-lettertype"/>
    <w:uiPriority w:val="99"/>
    <w:unhideWhenUsed/>
    <w:rsid w:val="00E94165"/>
    <w:rPr>
      <w:vertAlign w:val="superscript"/>
    </w:rPr>
  </w:style>
  <w:style w:type="character" w:styleId="Verwijzingopmerking">
    <w:name w:val="annotation reference"/>
    <w:basedOn w:val="Standaardalinea-lettertype"/>
    <w:uiPriority w:val="99"/>
    <w:semiHidden/>
    <w:rsid w:val="00234803"/>
    <w:rPr>
      <w:sz w:val="16"/>
      <w:szCs w:val="16"/>
    </w:rPr>
  </w:style>
  <w:style w:type="paragraph" w:styleId="Tekstopmerking">
    <w:name w:val="annotation text"/>
    <w:basedOn w:val="Standaard"/>
    <w:link w:val="TekstopmerkingChar"/>
    <w:uiPriority w:val="99"/>
    <w:semiHidden/>
    <w:rsid w:val="00234803"/>
    <w:pPr>
      <w:spacing w:after="0" w:line="240" w:lineRule="auto"/>
    </w:pPr>
    <w:rPr>
      <w:rFonts w:ascii="Garamond" w:eastAsia="Times New Roman" w:hAnsi="Garamond" w:cs="Garamond"/>
      <w:sz w:val="20"/>
      <w:szCs w:val="20"/>
      <w:lang w:eastAsia="nl-NL"/>
    </w:rPr>
  </w:style>
  <w:style w:type="character" w:customStyle="1" w:styleId="TekstopmerkingChar">
    <w:name w:val="Tekst opmerking Char"/>
    <w:basedOn w:val="Standaardalinea-lettertype"/>
    <w:link w:val="Tekstopmerking"/>
    <w:uiPriority w:val="99"/>
    <w:semiHidden/>
    <w:rsid w:val="00234803"/>
    <w:rPr>
      <w:rFonts w:ascii="Garamond" w:eastAsia="Times New Roman" w:hAnsi="Garamond" w:cs="Garamond"/>
      <w:sz w:val="20"/>
      <w:szCs w:val="20"/>
      <w:lang w:val="en-GB" w:eastAsia="nl-NL"/>
    </w:rPr>
  </w:style>
  <w:style w:type="paragraph" w:styleId="Koptekst">
    <w:name w:val="header"/>
    <w:basedOn w:val="Standaard"/>
    <w:link w:val="KoptekstChar"/>
    <w:uiPriority w:val="99"/>
    <w:unhideWhenUsed/>
    <w:rsid w:val="005A5C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5CD8"/>
    <w:rPr>
      <w:lang w:val="en-GB"/>
    </w:rPr>
  </w:style>
  <w:style w:type="paragraph" w:styleId="Voettekst">
    <w:name w:val="footer"/>
    <w:basedOn w:val="Standaard"/>
    <w:link w:val="VoettekstChar"/>
    <w:uiPriority w:val="99"/>
    <w:unhideWhenUsed/>
    <w:rsid w:val="005A5C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5CD8"/>
    <w:rPr>
      <w:lang w:val="en-GB"/>
    </w:rPr>
  </w:style>
  <w:style w:type="character" w:styleId="Hyperlink">
    <w:name w:val="Hyperlink"/>
    <w:basedOn w:val="Standaardalinea-lettertype"/>
    <w:uiPriority w:val="99"/>
    <w:unhideWhenUsed/>
    <w:rsid w:val="005A2A35"/>
    <w:rPr>
      <w:color w:val="0000FF" w:themeColor="hyperlink"/>
      <w:u w:val="single"/>
    </w:rPr>
  </w:style>
  <w:style w:type="paragraph" w:styleId="Normaalweb">
    <w:name w:val="Normal (Web)"/>
    <w:basedOn w:val="Standaard"/>
    <w:uiPriority w:val="99"/>
    <w:unhideWhenUsed/>
    <w:rsid w:val="0096583C"/>
    <w:pPr>
      <w:spacing w:before="100" w:beforeAutospacing="1" w:after="100" w:afterAutospacing="1" w:line="240" w:lineRule="auto"/>
    </w:pPr>
    <w:rPr>
      <w:rFonts w:eastAsia="Times New Roman" w:cs="Times New Roman"/>
      <w:szCs w:val="24"/>
      <w:lang w:val="nl-NL" w:eastAsia="nl-NL"/>
    </w:rPr>
  </w:style>
  <w:style w:type="character" w:styleId="Nadruk">
    <w:name w:val="Emphasis"/>
    <w:basedOn w:val="Standaardalinea-lettertype"/>
    <w:uiPriority w:val="20"/>
    <w:qFormat/>
    <w:rsid w:val="00DB2F8C"/>
    <w:rPr>
      <w:i/>
      <w:iCs/>
    </w:rPr>
  </w:style>
  <w:style w:type="paragraph" w:styleId="Geenafstand">
    <w:name w:val="No Spacing"/>
    <w:uiPriority w:val="1"/>
    <w:qFormat/>
    <w:rsid w:val="00871EAD"/>
    <w:pPr>
      <w:spacing w:after="0" w:line="240" w:lineRule="auto"/>
    </w:pPr>
    <w:rPr>
      <w:rFonts w:asciiTheme="minorHAnsi" w:eastAsiaTheme="minorEastAsia" w:hAnsiTheme="minorHAnsi"/>
      <w:szCs w:val="24"/>
      <w:lang w:val="en-GB" w:eastAsia="nl-NL"/>
    </w:rPr>
  </w:style>
  <w:style w:type="character" w:customStyle="1" w:styleId="VoetnoottekstTeken">
    <w:name w:val="Voetnoottekst Teken"/>
    <w:aliases w:val="Footnote Text Char1 Teken,Footnote Text Char1 Char Teken,Footnote Text Char Char Char Teken,Voetnootverwijzing_par Teken,Podrozdział Teken,Footnote Text Char Char Char Char Teken,Footnote Text Char Char Teken,Voetnoottekst Teken1"/>
    <w:basedOn w:val="Standaardalinea-lettertype"/>
    <w:rsid w:val="001A7012"/>
    <w:rPr>
      <w:sz w:val="20"/>
      <w:szCs w:val="20"/>
      <w:lang w:val="en-GB"/>
    </w:rPr>
  </w:style>
  <w:style w:type="character" w:customStyle="1" w:styleId="Voetnootverwijzing">
    <w:name w:val="Voetnootverwijzing"/>
    <w:rsid w:val="00CA2F39"/>
    <w:rPr>
      <w:vertAlign w:val="superscript"/>
    </w:rPr>
  </w:style>
  <w:style w:type="paragraph" w:customStyle="1" w:styleId="center">
    <w:name w:val="center"/>
    <w:basedOn w:val="Standaard"/>
    <w:uiPriority w:val="99"/>
    <w:rsid w:val="00883A97"/>
    <w:pPr>
      <w:spacing w:before="100" w:beforeAutospacing="1" w:after="100" w:afterAutospacing="1" w:line="240" w:lineRule="auto"/>
    </w:pPr>
    <w:rPr>
      <w:rFonts w:ascii="Garamond" w:eastAsia="Times New Roman" w:hAnsi="Garamond" w:cs="Garamond"/>
      <w:szCs w:val="24"/>
      <w:lang w:val="nl-NL" w:eastAsia="nl-NL"/>
    </w:rPr>
  </w:style>
  <w:style w:type="paragraph" w:styleId="Revisie">
    <w:name w:val="Revision"/>
    <w:hidden/>
    <w:uiPriority w:val="99"/>
    <w:semiHidden/>
    <w:rsid w:val="001E3E67"/>
    <w:pPr>
      <w:spacing w:after="0" w:line="240" w:lineRule="auto"/>
    </w:pPr>
    <w:rPr>
      <w:lang w:val="en-GB"/>
    </w:rPr>
  </w:style>
  <w:style w:type="character" w:customStyle="1" w:styleId="apple-converted-space">
    <w:name w:val="apple-converted-space"/>
    <w:basedOn w:val="Standaardalinea-lettertype"/>
    <w:rsid w:val="00BA1B61"/>
  </w:style>
  <w:style w:type="paragraph" w:styleId="Onderwerpvanopmerking">
    <w:name w:val="annotation subject"/>
    <w:basedOn w:val="Tekstopmerking"/>
    <w:next w:val="Tekstopmerking"/>
    <w:link w:val="OnderwerpvanopmerkingChar"/>
    <w:uiPriority w:val="99"/>
    <w:semiHidden/>
    <w:unhideWhenUsed/>
    <w:rsid w:val="006C6257"/>
    <w:pPr>
      <w:spacing w:after="200"/>
    </w:pPr>
    <w:rPr>
      <w:rFonts w:ascii="Times New Roman" w:eastAsiaTheme="minorHAnsi" w:hAnsi="Times New Roman" w:cstheme="minorBidi"/>
      <w:b/>
      <w:bCs/>
      <w:lang w:eastAsia="en-US"/>
    </w:rPr>
  </w:style>
  <w:style w:type="character" w:customStyle="1" w:styleId="OnderwerpvanopmerkingChar">
    <w:name w:val="Onderwerp van opmerking Char"/>
    <w:basedOn w:val="TekstopmerkingChar"/>
    <w:link w:val="Onderwerpvanopmerking"/>
    <w:uiPriority w:val="99"/>
    <w:semiHidden/>
    <w:rsid w:val="006C6257"/>
    <w:rPr>
      <w:rFonts w:ascii="Garamond" w:eastAsia="Times New Roman" w:hAnsi="Garamond" w:cs="Garamond"/>
      <w:b/>
      <w:bCs/>
      <w:sz w:val="20"/>
      <w:szCs w:val="20"/>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DB4"/>
    <w:rPr>
      <w:lang w:val="en-GB"/>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99"/>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styleId="BalloonText">
    <w:name w:val="Balloon Text"/>
    <w:basedOn w:val="Normal"/>
    <w:link w:val="BalloonTextChar"/>
    <w:uiPriority w:val="99"/>
    <w:semiHidden/>
    <w:unhideWhenUsed/>
    <w:rsid w:val="0066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DAE"/>
    <w:rPr>
      <w:rFonts w:ascii="Tahoma" w:hAnsi="Tahoma" w:cs="Tahoma"/>
      <w:sz w:val="16"/>
      <w:szCs w:val="16"/>
      <w:lang w:val="en-GB"/>
    </w:rPr>
  </w:style>
  <w:style w:type="paragraph" w:styleId="FootnoteText">
    <w:name w:val="footnote text"/>
    <w:aliases w:val="Footnote Text Char1,Footnote Text Char1 Char,Footnote Text Char Char Char,Voetnootverwijzing_par,Podrozdział,Footnote Text Char Char Char Char,Footnote Text Char Char,Footnote Text Char Char Char Char Char,Footnote Text Char Char1"/>
    <w:basedOn w:val="Normal"/>
    <w:link w:val="FootnoteTextChar"/>
    <w:uiPriority w:val="99"/>
    <w:unhideWhenUsed/>
    <w:rsid w:val="00E94165"/>
    <w:pPr>
      <w:spacing w:after="0" w:line="240" w:lineRule="auto"/>
    </w:pPr>
    <w:rPr>
      <w:sz w:val="20"/>
      <w:szCs w:val="20"/>
    </w:rPr>
  </w:style>
  <w:style w:type="character" w:customStyle="1" w:styleId="FootnoteTextChar">
    <w:name w:val="Footnote Text Char"/>
    <w:aliases w:val="Footnote Text Char1 Char1,Footnote Text Char1 Char Char,Footnote Text Char Char Char Char1,Voetnootverwijzing_par Char,Podrozdział Char,Footnote Text Char Char Char Char Char1,Footnote Text Char Char Char1"/>
    <w:basedOn w:val="DefaultParagraphFont"/>
    <w:link w:val="FootnoteText"/>
    <w:uiPriority w:val="99"/>
    <w:rsid w:val="00E94165"/>
    <w:rPr>
      <w:sz w:val="20"/>
      <w:szCs w:val="20"/>
      <w:lang w:val="en-GB"/>
    </w:rPr>
  </w:style>
  <w:style w:type="character" w:styleId="FootnoteReference">
    <w:name w:val="footnote reference"/>
    <w:aliases w:val="Footnote Reference in text,de nota al pie"/>
    <w:basedOn w:val="DefaultParagraphFont"/>
    <w:uiPriority w:val="99"/>
    <w:unhideWhenUsed/>
    <w:rsid w:val="00E94165"/>
    <w:rPr>
      <w:vertAlign w:val="superscript"/>
    </w:rPr>
  </w:style>
  <w:style w:type="character" w:styleId="CommentReference">
    <w:name w:val="annotation reference"/>
    <w:basedOn w:val="DefaultParagraphFont"/>
    <w:uiPriority w:val="99"/>
    <w:semiHidden/>
    <w:rsid w:val="00234803"/>
    <w:rPr>
      <w:sz w:val="16"/>
      <w:szCs w:val="16"/>
    </w:rPr>
  </w:style>
  <w:style w:type="paragraph" w:styleId="CommentText">
    <w:name w:val="annotation text"/>
    <w:basedOn w:val="Normal"/>
    <w:link w:val="CommentTextChar"/>
    <w:uiPriority w:val="99"/>
    <w:semiHidden/>
    <w:rsid w:val="00234803"/>
    <w:pPr>
      <w:spacing w:after="0" w:line="240" w:lineRule="auto"/>
    </w:pPr>
    <w:rPr>
      <w:rFonts w:ascii="Garamond" w:eastAsia="Times New Roman" w:hAnsi="Garamond" w:cs="Garamond"/>
      <w:sz w:val="20"/>
      <w:szCs w:val="20"/>
      <w:lang w:eastAsia="nl-NL"/>
    </w:rPr>
  </w:style>
  <w:style w:type="character" w:customStyle="1" w:styleId="CommentTextChar">
    <w:name w:val="Comment Text Char"/>
    <w:basedOn w:val="DefaultParagraphFont"/>
    <w:link w:val="CommentText"/>
    <w:uiPriority w:val="99"/>
    <w:semiHidden/>
    <w:rsid w:val="00234803"/>
    <w:rPr>
      <w:rFonts w:ascii="Garamond" w:eastAsia="Times New Roman" w:hAnsi="Garamond" w:cs="Garamond"/>
      <w:sz w:val="20"/>
      <w:szCs w:val="20"/>
      <w:lang w:val="en-GB" w:eastAsia="nl-NL"/>
    </w:rPr>
  </w:style>
  <w:style w:type="paragraph" w:styleId="Header">
    <w:name w:val="header"/>
    <w:basedOn w:val="Normal"/>
    <w:link w:val="HeaderChar"/>
    <w:uiPriority w:val="99"/>
    <w:unhideWhenUsed/>
    <w:rsid w:val="005A5C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5CD8"/>
    <w:rPr>
      <w:lang w:val="en-GB"/>
    </w:rPr>
  </w:style>
  <w:style w:type="paragraph" w:styleId="Footer">
    <w:name w:val="footer"/>
    <w:basedOn w:val="Normal"/>
    <w:link w:val="FooterChar"/>
    <w:uiPriority w:val="99"/>
    <w:unhideWhenUsed/>
    <w:rsid w:val="005A5C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5CD8"/>
    <w:rPr>
      <w:lang w:val="en-GB"/>
    </w:rPr>
  </w:style>
  <w:style w:type="character" w:styleId="Hyperlink">
    <w:name w:val="Hyperlink"/>
    <w:basedOn w:val="DefaultParagraphFont"/>
    <w:uiPriority w:val="99"/>
    <w:unhideWhenUsed/>
    <w:rsid w:val="005A2A35"/>
    <w:rPr>
      <w:color w:val="0000FF" w:themeColor="hyperlink"/>
      <w:u w:val="single"/>
    </w:rPr>
  </w:style>
  <w:style w:type="paragraph" w:styleId="NormalWeb">
    <w:name w:val="Normal (Web)"/>
    <w:basedOn w:val="Normal"/>
    <w:uiPriority w:val="99"/>
    <w:unhideWhenUsed/>
    <w:rsid w:val="0096583C"/>
    <w:pPr>
      <w:spacing w:before="100" w:beforeAutospacing="1" w:after="100" w:afterAutospacing="1" w:line="240" w:lineRule="auto"/>
    </w:pPr>
    <w:rPr>
      <w:rFonts w:eastAsia="Times New Roman" w:cs="Times New Roman"/>
      <w:szCs w:val="24"/>
      <w:lang w:val="nl-NL" w:eastAsia="nl-NL"/>
    </w:rPr>
  </w:style>
  <w:style w:type="character" w:styleId="Emphasis">
    <w:name w:val="Emphasis"/>
    <w:basedOn w:val="DefaultParagraphFont"/>
    <w:uiPriority w:val="20"/>
    <w:qFormat/>
    <w:rsid w:val="00DB2F8C"/>
    <w:rPr>
      <w:i/>
      <w:iCs/>
    </w:rPr>
  </w:style>
  <w:style w:type="paragraph" w:styleId="NoSpacing">
    <w:name w:val="No Spacing"/>
    <w:uiPriority w:val="1"/>
    <w:qFormat/>
    <w:rsid w:val="00871EAD"/>
    <w:pPr>
      <w:spacing w:after="0" w:line="240" w:lineRule="auto"/>
    </w:pPr>
    <w:rPr>
      <w:rFonts w:asciiTheme="minorHAnsi" w:eastAsiaTheme="minorEastAsia" w:hAnsiTheme="minorHAnsi"/>
      <w:szCs w:val="24"/>
      <w:lang w:val="en-GB" w:eastAsia="nl-NL"/>
    </w:rPr>
  </w:style>
  <w:style w:type="character" w:customStyle="1" w:styleId="VoetnoottekstTeken">
    <w:name w:val="Voetnoottekst Teken"/>
    <w:aliases w:val="Footnote Text Char1 Teken,Footnote Text Char1 Char Teken,Footnote Text Char Char Char Teken,Voetnootverwijzing_par Teken,Podrozdział Teken,Footnote Text Char Char Char Char Teken,Footnote Text Char Char Teken,Voetnoottekst Teken1"/>
    <w:basedOn w:val="DefaultParagraphFont"/>
    <w:rsid w:val="001A7012"/>
    <w:rPr>
      <w:sz w:val="20"/>
      <w:szCs w:val="20"/>
      <w:lang w:val="en-GB"/>
    </w:rPr>
  </w:style>
  <w:style w:type="character" w:customStyle="1" w:styleId="Voetnootverwijzing">
    <w:name w:val="Voetnootverwijzing"/>
    <w:rsid w:val="00CA2F39"/>
    <w:rPr>
      <w:vertAlign w:val="superscript"/>
    </w:rPr>
  </w:style>
  <w:style w:type="paragraph" w:customStyle="1" w:styleId="center">
    <w:name w:val="center"/>
    <w:basedOn w:val="Normal"/>
    <w:uiPriority w:val="99"/>
    <w:rsid w:val="00883A97"/>
    <w:pPr>
      <w:spacing w:before="100" w:beforeAutospacing="1" w:after="100" w:afterAutospacing="1" w:line="240" w:lineRule="auto"/>
    </w:pPr>
    <w:rPr>
      <w:rFonts w:ascii="Garamond" w:eastAsia="Times New Roman" w:hAnsi="Garamond" w:cs="Garamond"/>
      <w:szCs w:val="24"/>
      <w:lang w:val="nl-NL" w:eastAsia="nl-NL"/>
    </w:rPr>
  </w:style>
  <w:style w:type="paragraph" w:styleId="Revision">
    <w:name w:val="Revision"/>
    <w:hidden/>
    <w:uiPriority w:val="99"/>
    <w:semiHidden/>
    <w:rsid w:val="001E3E67"/>
    <w:pPr>
      <w:spacing w:after="0" w:line="240" w:lineRule="auto"/>
    </w:pPr>
    <w:rPr>
      <w:lang w:val="en-GB"/>
    </w:rPr>
  </w:style>
  <w:style w:type="character" w:customStyle="1" w:styleId="apple-converted-space">
    <w:name w:val="apple-converted-space"/>
    <w:basedOn w:val="DefaultParagraphFont"/>
    <w:rsid w:val="00BA1B61"/>
  </w:style>
  <w:style w:type="paragraph" w:styleId="CommentSubject">
    <w:name w:val="annotation subject"/>
    <w:basedOn w:val="CommentText"/>
    <w:next w:val="CommentText"/>
    <w:link w:val="CommentSubjectChar"/>
    <w:uiPriority w:val="99"/>
    <w:semiHidden/>
    <w:unhideWhenUsed/>
    <w:rsid w:val="006C6257"/>
    <w:pPr>
      <w:spacing w:after="200"/>
    </w:pPr>
    <w:rPr>
      <w:rFonts w:ascii="Times New Roman" w:eastAsiaTheme="minorHAnsi" w:hAnsi="Times New Roman" w:cstheme="minorBidi"/>
      <w:b/>
      <w:bCs/>
      <w:lang w:eastAsia="en-US"/>
    </w:rPr>
  </w:style>
  <w:style w:type="character" w:customStyle="1" w:styleId="CommentSubjectChar">
    <w:name w:val="Comment Subject Char"/>
    <w:basedOn w:val="CommentTextChar"/>
    <w:link w:val="CommentSubject"/>
    <w:uiPriority w:val="99"/>
    <w:semiHidden/>
    <w:rsid w:val="006C6257"/>
    <w:rPr>
      <w:rFonts w:ascii="Garamond" w:eastAsia="Times New Roman" w:hAnsi="Garamond" w:cs="Garamond"/>
      <w:b/>
      <w:bCs/>
      <w:sz w:val="20"/>
      <w:szCs w:val="20"/>
      <w:lang w:val="en-GB" w:eastAsia="nl-NL"/>
    </w:rPr>
  </w:style>
</w:styles>
</file>

<file path=word/webSettings.xml><?xml version="1.0" encoding="utf-8"?>
<w:webSettings xmlns:r="http://schemas.openxmlformats.org/officeDocument/2006/relationships" xmlns:w="http://schemas.openxmlformats.org/wordprocessingml/2006/main">
  <w:divs>
    <w:div w:id="43259714">
      <w:bodyDiv w:val="1"/>
      <w:marLeft w:val="0"/>
      <w:marRight w:val="0"/>
      <w:marTop w:val="0"/>
      <w:marBottom w:val="0"/>
      <w:divBdr>
        <w:top w:val="none" w:sz="0" w:space="0" w:color="auto"/>
        <w:left w:val="none" w:sz="0" w:space="0" w:color="auto"/>
        <w:bottom w:val="none" w:sz="0" w:space="0" w:color="auto"/>
        <w:right w:val="none" w:sz="0" w:space="0" w:color="auto"/>
      </w:divBdr>
    </w:div>
    <w:div w:id="152792881">
      <w:bodyDiv w:val="1"/>
      <w:marLeft w:val="0"/>
      <w:marRight w:val="0"/>
      <w:marTop w:val="0"/>
      <w:marBottom w:val="0"/>
      <w:divBdr>
        <w:top w:val="none" w:sz="0" w:space="0" w:color="auto"/>
        <w:left w:val="none" w:sz="0" w:space="0" w:color="auto"/>
        <w:bottom w:val="none" w:sz="0" w:space="0" w:color="auto"/>
        <w:right w:val="none" w:sz="0" w:space="0" w:color="auto"/>
      </w:divBdr>
      <w:divsChild>
        <w:div w:id="1239053518">
          <w:marLeft w:val="0"/>
          <w:marRight w:val="0"/>
          <w:marTop w:val="0"/>
          <w:marBottom w:val="0"/>
          <w:divBdr>
            <w:top w:val="none" w:sz="0" w:space="0" w:color="auto"/>
            <w:left w:val="none" w:sz="0" w:space="0" w:color="auto"/>
            <w:bottom w:val="none" w:sz="0" w:space="0" w:color="auto"/>
            <w:right w:val="none" w:sz="0" w:space="0" w:color="auto"/>
          </w:divBdr>
        </w:div>
        <w:div w:id="744686564">
          <w:marLeft w:val="0"/>
          <w:marRight w:val="0"/>
          <w:marTop w:val="0"/>
          <w:marBottom w:val="0"/>
          <w:divBdr>
            <w:top w:val="none" w:sz="0" w:space="0" w:color="auto"/>
            <w:left w:val="none" w:sz="0" w:space="0" w:color="auto"/>
            <w:bottom w:val="none" w:sz="0" w:space="0" w:color="auto"/>
            <w:right w:val="none" w:sz="0" w:space="0" w:color="auto"/>
          </w:divBdr>
        </w:div>
        <w:div w:id="1438595176">
          <w:marLeft w:val="0"/>
          <w:marRight w:val="0"/>
          <w:marTop w:val="0"/>
          <w:marBottom w:val="0"/>
          <w:divBdr>
            <w:top w:val="none" w:sz="0" w:space="0" w:color="auto"/>
            <w:left w:val="none" w:sz="0" w:space="0" w:color="auto"/>
            <w:bottom w:val="none" w:sz="0" w:space="0" w:color="auto"/>
            <w:right w:val="none" w:sz="0" w:space="0" w:color="auto"/>
          </w:divBdr>
        </w:div>
        <w:div w:id="52898879">
          <w:marLeft w:val="0"/>
          <w:marRight w:val="0"/>
          <w:marTop w:val="0"/>
          <w:marBottom w:val="0"/>
          <w:divBdr>
            <w:top w:val="none" w:sz="0" w:space="0" w:color="auto"/>
            <w:left w:val="none" w:sz="0" w:space="0" w:color="auto"/>
            <w:bottom w:val="none" w:sz="0" w:space="0" w:color="auto"/>
            <w:right w:val="none" w:sz="0" w:space="0" w:color="auto"/>
          </w:divBdr>
        </w:div>
        <w:div w:id="328872083">
          <w:marLeft w:val="0"/>
          <w:marRight w:val="0"/>
          <w:marTop w:val="0"/>
          <w:marBottom w:val="0"/>
          <w:divBdr>
            <w:top w:val="none" w:sz="0" w:space="0" w:color="auto"/>
            <w:left w:val="none" w:sz="0" w:space="0" w:color="auto"/>
            <w:bottom w:val="none" w:sz="0" w:space="0" w:color="auto"/>
            <w:right w:val="none" w:sz="0" w:space="0" w:color="auto"/>
          </w:divBdr>
        </w:div>
        <w:div w:id="348146103">
          <w:marLeft w:val="0"/>
          <w:marRight w:val="0"/>
          <w:marTop w:val="0"/>
          <w:marBottom w:val="0"/>
          <w:divBdr>
            <w:top w:val="none" w:sz="0" w:space="0" w:color="auto"/>
            <w:left w:val="none" w:sz="0" w:space="0" w:color="auto"/>
            <w:bottom w:val="none" w:sz="0" w:space="0" w:color="auto"/>
            <w:right w:val="none" w:sz="0" w:space="0" w:color="auto"/>
          </w:divBdr>
        </w:div>
        <w:div w:id="414128019">
          <w:marLeft w:val="0"/>
          <w:marRight w:val="0"/>
          <w:marTop w:val="0"/>
          <w:marBottom w:val="0"/>
          <w:divBdr>
            <w:top w:val="none" w:sz="0" w:space="0" w:color="auto"/>
            <w:left w:val="none" w:sz="0" w:space="0" w:color="auto"/>
            <w:bottom w:val="none" w:sz="0" w:space="0" w:color="auto"/>
            <w:right w:val="none" w:sz="0" w:space="0" w:color="auto"/>
          </w:divBdr>
        </w:div>
        <w:div w:id="1814366934">
          <w:marLeft w:val="0"/>
          <w:marRight w:val="0"/>
          <w:marTop w:val="0"/>
          <w:marBottom w:val="0"/>
          <w:divBdr>
            <w:top w:val="none" w:sz="0" w:space="0" w:color="auto"/>
            <w:left w:val="none" w:sz="0" w:space="0" w:color="auto"/>
            <w:bottom w:val="none" w:sz="0" w:space="0" w:color="auto"/>
            <w:right w:val="none" w:sz="0" w:space="0" w:color="auto"/>
          </w:divBdr>
        </w:div>
        <w:div w:id="957028368">
          <w:marLeft w:val="0"/>
          <w:marRight w:val="0"/>
          <w:marTop w:val="0"/>
          <w:marBottom w:val="0"/>
          <w:divBdr>
            <w:top w:val="none" w:sz="0" w:space="0" w:color="auto"/>
            <w:left w:val="none" w:sz="0" w:space="0" w:color="auto"/>
            <w:bottom w:val="none" w:sz="0" w:space="0" w:color="auto"/>
            <w:right w:val="none" w:sz="0" w:space="0" w:color="auto"/>
          </w:divBdr>
        </w:div>
        <w:div w:id="905337853">
          <w:marLeft w:val="0"/>
          <w:marRight w:val="0"/>
          <w:marTop w:val="0"/>
          <w:marBottom w:val="0"/>
          <w:divBdr>
            <w:top w:val="none" w:sz="0" w:space="0" w:color="auto"/>
            <w:left w:val="none" w:sz="0" w:space="0" w:color="auto"/>
            <w:bottom w:val="none" w:sz="0" w:space="0" w:color="auto"/>
            <w:right w:val="none" w:sz="0" w:space="0" w:color="auto"/>
          </w:divBdr>
        </w:div>
        <w:div w:id="156001928">
          <w:marLeft w:val="0"/>
          <w:marRight w:val="0"/>
          <w:marTop w:val="0"/>
          <w:marBottom w:val="0"/>
          <w:divBdr>
            <w:top w:val="none" w:sz="0" w:space="0" w:color="auto"/>
            <w:left w:val="none" w:sz="0" w:space="0" w:color="auto"/>
            <w:bottom w:val="none" w:sz="0" w:space="0" w:color="auto"/>
            <w:right w:val="none" w:sz="0" w:space="0" w:color="auto"/>
          </w:divBdr>
        </w:div>
        <w:div w:id="182668141">
          <w:marLeft w:val="0"/>
          <w:marRight w:val="0"/>
          <w:marTop w:val="0"/>
          <w:marBottom w:val="0"/>
          <w:divBdr>
            <w:top w:val="none" w:sz="0" w:space="0" w:color="auto"/>
            <w:left w:val="none" w:sz="0" w:space="0" w:color="auto"/>
            <w:bottom w:val="none" w:sz="0" w:space="0" w:color="auto"/>
            <w:right w:val="none" w:sz="0" w:space="0" w:color="auto"/>
          </w:divBdr>
        </w:div>
        <w:div w:id="836385558">
          <w:marLeft w:val="0"/>
          <w:marRight w:val="0"/>
          <w:marTop w:val="0"/>
          <w:marBottom w:val="0"/>
          <w:divBdr>
            <w:top w:val="none" w:sz="0" w:space="0" w:color="auto"/>
            <w:left w:val="none" w:sz="0" w:space="0" w:color="auto"/>
            <w:bottom w:val="none" w:sz="0" w:space="0" w:color="auto"/>
            <w:right w:val="none" w:sz="0" w:space="0" w:color="auto"/>
          </w:divBdr>
        </w:div>
        <w:div w:id="1352805773">
          <w:marLeft w:val="0"/>
          <w:marRight w:val="0"/>
          <w:marTop w:val="0"/>
          <w:marBottom w:val="0"/>
          <w:divBdr>
            <w:top w:val="none" w:sz="0" w:space="0" w:color="auto"/>
            <w:left w:val="none" w:sz="0" w:space="0" w:color="auto"/>
            <w:bottom w:val="none" w:sz="0" w:space="0" w:color="auto"/>
            <w:right w:val="none" w:sz="0" w:space="0" w:color="auto"/>
          </w:divBdr>
        </w:div>
      </w:divsChild>
    </w:div>
    <w:div w:id="159270153">
      <w:bodyDiv w:val="1"/>
      <w:marLeft w:val="0"/>
      <w:marRight w:val="0"/>
      <w:marTop w:val="0"/>
      <w:marBottom w:val="0"/>
      <w:divBdr>
        <w:top w:val="none" w:sz="0" w:space="0" w:color="auto"/>
        <w:left w:val="none" w:sz="0" w:space="0" w:color="auto"/>
        <w:bottom w:val="none" w:sz="0" w:space="0" w:color="auto"/>
        <w:right w:val="none" w:sz="0" w:space="0" w:color="auto"/>
      </w:divBdr>
    </w:div>
    <w:div w:id="455102028">
      <w:bodyDiv w:val="1"/>
      <w:marLeft w:val="0"/>
      <w:marRight w:val="0"/>
      <w:marTop w:val="0"/>
      <w:marBottom w:val="0"/>
      <w:divBdr>
        <w:top w:val="none" w:sz="0" w:space="0" w:color="auto"/>
        <w:left w:val="none" w:sz="0" w:space="0" w:color="auto"/>
        <w:bottom w:val="none" w:sz="0" w:space="0" w:color="auto"/>
        <w:right w:val="none" w:sz="0" w:space="0" w:color="auto"/>
      </w:divBdr>
      <w:divsChild>
        <w:div w:id="2115053578">
          <w:marLeft w:val="0"/>
          <w:marRight w:val="0"/>
          <w:marTop w:val="0"/>
          <w:marBottom w:val="0"/>
          <w:divBdr>
            <w:top w:val="none" w:sz="0" w:space="0" w:color="auto"/>
            <w:left w:val="none" w:sz="0" w:space="0" w:color="auto"/>
            <w:bottom w:val="none" w:sz="0" w:space="0" w:color="auto"/>
            <w:right w:val="none" w:sz="0" w:space="0" w:color="auto"/>
          </w:divBdr>
        </w:div>
        <w:div w:id="690305777">
          <w:marLeft w:val="0"/>
          <w:marRight w:val="0"/>
          <w:marTop w:val="0"/>
          <w:marBottom w:val="0"/>
          <w:divBdr>
            <w:top w:val="none" w:sz="0" w:space="0" w:color="auto"/>
            <w:left w:val="none" w:sz="0" w:space="0" w:color="auto"/>
            <w:bottom w:val="none" w:sz="0" w:space="0" w:color="auto"/>
            <w:right w:val="none" w:sz="0" w:space="0" w:color="auto"/>
          </w:divBdr>
        </w:div>
        <w:div w:id="1046834887">
          <w:marLeft w:val="0"/>
          <w:marRight w:val="0"/>
          <w:marTop w:val="0"/>
          <w:marBottom w:val="0"/>
          <w:divBdr>
            <w:top w:val="none" w:sz="0" w:space="0" w:color="auto"/>
            <w:left w:val="none" w:sz="0" w:space="0" w:color="auto"/>
            <w:bottom w:val="none" w:sz="0" w:space="0" w:color="auto"/>
            <w:right w:val="none" w:sz="0" w:space="0" w:color="auto"/>
          </w:divBdr>
        </w:div>
        <w:div w:id="1770929671">
          <w:marLeft w:val="0"/>
          <w:marRight w:val="0"/>
          <w:marTop w:val="0"/>
          <w:marBottom w:val="0"/>
          <w:divBdr>
            <w:top w:val="none" w:sz="0" w:space="0" w:color="auto"/>
            <w:left w:val="none" w:sz="0" w:space="0" w:color="auto"/>
            <w:bottom w:val="none" w:sz="0" w:space="0" w:color="auto"/>
            <w:right w:val="none" w:sz="0" w:space="0" w:color="auto"/>
          </w:divBdr>
        </w:div>
        <w:div w:id="979504564">
          <w:marLeft w:val="0"/>
          <w:marRight w:val="0"/>
          <w:marTop w:val="0"/>
          <w:marBottom w:val="0"/>
          <w:divBdr>
            <w:top w:val="none" w:sz="0" w:space="0" w:color="auto"/>
            <w:left w:val="none" w:sz="0" w:space="0" w:color="auto"/>
            <w:bottom w:val="none" w:sz="0" w:space="0" w:color="auto"/>
            <w:right w:val="none" w:sz="0" w:space="0" w:color="auto"/>
          </w:divBdr>
        </w:div>
        <w:div w:id="734470555">
          <w:marLeft w:val="0"/>
          <w:marRight w:val="0"/>
          <w:marTop w:val="0"/>
          <w:marBottom w:val="0"/>
          <w:divBdr>
            <w:top w:val="none" w:sz="0" w:space="0" w:color="auto"/>
            <w:left w:val="none" w:sz="0" w:space="0" w:color="auto"/>
            <w:bottom w:val="none" w:sz="0" w:space="0" w:color="auto"/>
            <w:right w:val="none" w:sz="0" w:space="0" w:color="auto"/>
          </w:divBdr>
        </w:div>
        <w:div w:id="1162236934">
          <w:marLeft w:val="0"/>
          <w:marRight w:val="0"/>
          <w:marTop w:val="0"/>
          <w:marBottom w:val="0"/>
          <w:divBdr>
            <w:top w:val="none" w:sz="0" w:space="0" w:color="auto"/>
            <w:left w:val="none" w:sz="0" w:space="0" w:color="auto"/>
            <w:bottom w:val="none" w:sz="0" w:space="0" w:color="auto"/>
            <w:right w:val="none" w:sz="0" w:space="0" w:color="auto"/>
          </w:divBdr>
        </w:div>
        <w:div w:id="28647353">
          <w:marLeft w:val="0"/>
          <w:marRight w:val="0"/>
          <w:marTop w:val="0"/>
          <w:marBottom w:val="0"/>
          <w:divBdr>
            <w:top w:val="none" w:sz="0" w:space="0" w:color="auto"/>
            <w:left w:val="none" w:sz="0" w:space="0" w:color="auto"/>
            <w:bottom w:val="none" w:sz="0" w:space="0" w:color="auto"/>
            <w:right w:val="none" w:sz="0" w:space="0" w:color="auto"/>
          </w:divBdr>
        </w:div>
        <w:div w:id="376903370">
          <w:marLeft w:val="0"/>
          <w:marRight w:val="0"/>
          <w:marTop w:val="0"/>
          <w:marBottom w:val="0"/>
          <w:divBdr>
            <w:top w:val="none" w:sz="0" w:space="0" w:color="auto"/>
            <w:left w:val="none" w:sz="0" w:space="0" w:color="auto"/>
            <w:bottom w:val="none" w:sz="0" w:space="0" w:color="auto"/>
            <w:right w:val="none" w:sz="0" w:space="0" w:color="auto"/>
          </w:divBdr>
        </w:div>
        <w:div w:id="1508523824">
          <w:marLeft w:val="0"/>
          <w:marRight w:val="0"/>
          <w:marTop w:val="0"/>
          <w:marBottom w:val="0"/>
          <w:divBdr>
            <w:top w:val="none" w:sz="0" w:space="0" w:color="auto"/>
            <w:left w:val="none" w:sz="0" w:space="0" w:color="auto"/>
            <w:bottom w:val="none" w:sz="0" w:space="0" w:color="auto"/>
            <w:right w:val="none" w:sz="0" w:space="0" w:color="auto"/>
          </w:divBdr>
        </w:div>
        <w:div w:id="986014596">
          <w:marLeft w:val="0"/>
          <w:marRight w:val="0"/>
          <w:marTop w:val="0"/>
          <w:marBottom w:val="0"/>
          <w:divBdr>
            <w:top w:val="none" w:sz="0" w:space="0" w:color="auto"/>
            <w:left w:val="none" w:sz="0" w:space="0" w:color="auto"/>
            <w:bottom w:val="none" w:sz="0" w:space="0" w:color="auto"/>
            <w:right w:val="none" w:sz="0" w:space="0" w:color="auto"/>
          </w:divBdr>
        </w:div>
        <w:div w:id="1502507295">
          <w:marLeft w:val="0"/>
          <w:marRight w:val="0"/>
          <w:marTop w:val="0"/>
          <w:marBottom w:val="0"/>
          <w:divBdr>
            <w:top w:val="none" w:sz="0" w:space="0" w:color="auto"/>
            <w:left w:val="none" w:sz="0" w:space="0" w:color="auto"/>
            <w:bottom w:val="none" w:sz="0" w:space="0" w:color="auto"/>
            <w:right w:val="none" w:sz="0" w:space="0" w:color="auto"/>
          </w:divBdr>
        </w:div>
        <w:div w:id="1629125346">
          <w:marLeft w:val="0"/>
          <w:marRight w:val="0"/>
          <w:marTop w:val="0"/>
          <w:marBottom w:val="0"/>
          <w:divBdr>
            <w:top w:val="none" w:sz="0" w:space="0" w:color="auto"/>
            <w:left w:val="none" w:sz="0" w:space="0" w:color="auto"/>
            <w:bottom w:val="none" w:sz="0" w:space="0" w:color="auto"/>
            <w:right w:val="none" w:sz="0" w:space="0" w:color="auto"/>
          </w:divBdr>
        </w:div>
        <w:div w:id="1717049159">
          <w:marLeft w:val="0"/>
          <w:marRight w:val="0"/>
          <w:marTop w:val="0"/>
          <w:marBottom w:val="0"/>
          <w:divBdr>
            <w:top w:val="none" w:sz="0" w:space="0" w:color="auto"/>
            <w:left w:val="none" w:sz="0" w:space="0" w:color="auto"/>
            <w:bottom w:val="none" w:sz="0" w:space="0" w:color="auto"/>
            <w:right w:val="none" w:sz="0" w:space="0" w:color="auto"/>
          </w:divBdr>
        </w:div>
      </w:divsChild>
    </w:div>
    <w:div w:id="494996660">
      <w:bodyDiv w:val="1"/>
      <w:marLeft w:val="0"/>
      <w:marRight w:val="0"/>
      <w:marTop w:val="0"/>
      <w:marBottom w:val="0"/>
      <w:divBdr>
        <w:top w:val="none" w:sz="0" w:space="0" w:color="auto"/>
        <w:left w:val="none" w:sz="0" w:space="0" w:color="auto"/>
        <w:bottom w:val="none" w:sz="0" w:space="0" w:color="auto"/>
        <w:right w:val="none" w:sz="0" w:space="0" w:color="auto"/>
      </w:divBdr>
    </w:div>
    <w:div w:id="515004080">
      <w:bodyDiv w:val="1"/>
      <w:marLeft w:val="0"/>
      <w:marRight w:val="0"/>
      <w:marTop w:val="0"/>
      <w:marBottom w:val="0"/>
      <w:divBdr>
        <w:top w:val="none" w:sz="0" w:space="0" w:color="auto"/>
        <w:left w:val="none" w:sz="0" w:space="0" w:color="auto"/>
        <w:bottom w:val="none" w:sz="0" w:space="0" w:color="auto"/>
        <w:right w:val="none" w:sz="0" w:space="0" w:color="auto"/>
      </w:divBdr>
    </w:div>
    <w:div w:id="551234717">
      <w:bodyDiv w:val="1"/>
      <w:marLeft w:val="0"/>
      <w:marRight w:val="0"/>
      <w:marTop w:val="0"/>
      <w:marBottom w:val="0"/>
      <w:divBdr>
        <w:top w:val="none" w:sz="0" w:space="0" w:color="auto"/>
        <w:left w:val="none" w:sz="0" w:space="0" w:color="auto"/>
        <w:bottom w:val="none" w:sz="0" w:space="0" w:color="auto"/>
        <w:right w:val="none" w:sz="0" w:space="0" w:color="auto"/>
      </w:divBdr>
    </w:div>
    <w:div w:id="573056009">
      <w:bodyDiv w:val="1"/>
      <w:marLeft w:val="0"/>
      <w:marRight w:val="0"/>
      <w:marTop w:val="0"/>
      <w:marBottom w:val="0"/>
      <w:divBdr>
        <w:top w:val="none" w:sz="0" w:space="0" w:color="auto"/>
        <w:left w:val="none" w:sz="0" w:space="0" w:color="auto"/>
        <w:bottom w:val="none" w:sz="0" w:space="0" w:color="auto"/>
        <w:right w:val="none" w:sz="0" w:space="0" w:color="auto"/>
      </w:divBdr>
    </w:div>
    <w:div w:id="618219741">
      <w:bodyDiv w:val="1"/>
      <w:marLeft w:val="0"/>
      <w:marRight w:val="0"/>
      <w:marTop w:val="0"/>
      <w:marBottom w:val="0"/>
      <w:divBdr>
        <w:top w:val="none" w:sz="0" w:space="0" w:color="auto"/>
        <w:left w:val="none" w:sz="0" w:space="0" w:color="auto"/>
        <w:bottom w:val="none" w:sz="0" w:space="0" w:color="auto"/>
        <w:right w:val="none" w:sz="0" w:space="0" w:color="auto"/>
      </w:divBdr>
    </w:div>
    <w:div w:id="653876699">
      <w:bodyDiv w:val="1"/>
      <w:marLeft w:val="0"/>
      <w:marRight w:val="0"/>
      <w:marTop w:val="0"/>
      <w:marBottom w:val="0"/>
      <w:divBdr>
        <w:top w:val="none" w:sz="0" w:space="0" w:color="auto"/>
        <w:left w:val="none" w:sz="0" w:space="0" w:color="auto"/>
        <w:bottom w:val="none" w:sz="0" w:space="0" w:color="auto"/>
        <w:right w:val="none" w:sz="0" w:space="0" w:color="auto"/>
      </w:divBdr>
    </w:div>
    <w:div w:id="741147836">
      <w:bodyDiv w:val="1"/>
      <w:marLeft w:val="0"/>
      <w:marRight w:val="0"/>
      <w:marTop w:val="0"/>
      <w:marBottom w:val="0"/>
      <w:divBdr>
        <w:top w:val="none" w:sz="0" w:space="0" w:color="auto"/>
        <w:left w:val="none" w:sz="0" w:space="0" w:color="auto"/>
        <w:bottom w:val="none" w:sz="0" w:space="0" w:color="auto"/>
        <w:right w:val="none" w:sz="0" w:space="0" w:color="auto"/>
      </w:divBdr>
      <w:divsChild>
        <w:div w:id="648093866">
          <w:marLeft w:val="0"/>
          <w:marRight w:val="0"/>
          <w:marTop w:val="0"/>
          <w:marBottom w:val="0"/>
          <w:divBdr>
            <w:top w:val="none" w:sz="0" w:space="0" w:color="auto"/>
            <w:left w:val="none" w:sz="0" w:space="0" w:color="auto"/>
            <w:bottom w:val="none" w:sz="0" w:space="0" w:color="auto"/>
            <w:right w:val="none" w:sz="0" w:space="0" w:color="auto"/>
          </w:divBdr>
          <w:divsChild>
            <w:div w:id="1176458577">
              <w:marLeft w:val="0"/>
              <w:marRight w:val="0"/>
              <w:marTop w:val="0"/>
              <w:marBottom w:val="0"/>
              <w:divBdr>
                <w:top w:val="none" w:sz="0" w:space="0" w:color="auto"/>
                <w:left w:val="none" w:sz="0" w:space="0" w:color="auto"/>
                <w:bottom w:val="none" w:sz="0" w:space="0" w:color="auto"/>
                <w:right w:val="none" w:sz="0" w:space="0" w:color="auto"/>
              </w:divBdr>
              <w:divsChild>
                <w:div w:id="19242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2500">
      <w:bodyDiv w:val="1"/>
      <w:marLeft w:val="0"/>
      <w:marRight w:val="0"/>
      <w:marTop w:val="0"/>
      <w:marBottom w:val="0"/>
      <w:divBdr>
        <w:top w:val="none" w:sz="0" w:space="0" w:color="auto"/>
        <w:left w:val="none" w:sz="0" w:space="0" w:color="auto"/>
        <w:bottom w:val="none" w:sz="0" w:space="0" w:color="auto"/>
        <w:right w:val="none" w:sz="0" w:space="0" w:color="auto"/>
      </w:divBdr>
    </w:div>
    <w:div w:id="1041127053">
      <w:bodyDiv w:val="1"/>
      <w:marLeft w:val="0"/>
      <w:marRight w:val="0"/>
      <w:marTop w:val="0"/>
      <w:marBottom w:val="0"/>
      <w:divBdr>
        <w:top w:val="none" w:sz="0" w:space="0" w:color="auto"/>
        <w:left w:val="none" w:sz="0" w:space="0" w:color="auto"/>
        <w:bottom w:val="none" w:sz="0" w:space="0" w:color="auto"/>
        <w:right w:val="none" w:sz="0" w:space="0" w:color="auto"/>
      </w:divBdr>
    </w:div>
    <w:div w:id="1158574459">
      <w:bodyDiv w:val="1"/>
      <w:marLeft w:val="0"/>
      <w:marRight w:val="0"/>
      <w:marTop w:val="0"/>
      <w:marBottom w:val="0"/>
      <w:divBdr>
        <w:top w:val="none" w:sz="0" w:space="0" w:color="auto"/>
        <w:left w:val="none" w:sz="0" w:space="0" w:color="auto"/>
        <w:bottom w:val="none" w:sz="0" w:space="0" w:color="auto"/>
        <w:right w:val="none" w:sz="0" w:space="0" w:color="auto"/>
      </w:divBdr>
      <w:divsChild>
        <w:div w:id="1725445225">
          <w:marLeft w:val="0"/>
          <w:marRight w:val="0"/>
          <w:marTop w:val="0"/>
          <w:marBottom w:val="0"/>
          <w:divBdr>
            <w:top w:val="none" w:sz="0" w:space="0" w:color="auto"/>
            <w:left w:val="none" w:sz="0" w:space="0" w:color="auto"/>
            <w:bottom w:val="none" w:sz="0" w:space="0" w:color="auto"/>
            <w:right w:val="none" w:sz="0" w:space="0" w:color="auto"/>
          </w:divBdr>
          <w:divsChild>
            <w:div w:id="2030060728">
              <w:marLeft w:val="0"/>
              <w:marRight w:val="0"/>
              <w:marTop w:val="0"/>
              <w:marBottom w:val="0"/>
              <w:divBdr>
                <w:top w:val="none" w:sz="0" w:space="0" w:color="auto"/>
                <w:left w:val="none" w:sz="0" w:space="0" w:color="auto"/>
                <w:bottom w:val="none" w:sz="0" w:space="0" w:color="auto"/>
                <w:right w:val="none" w:sz="0" w:space="0" w:color="auto"/>
              </w:divBdr>
              <w:divsChild>
                <w:div w:id="15209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97280">
      <w:bodyDiv w:val="1"/>
      <w:marLeft w:val="0"/>
      <w:marRight w:val="0"/>
      <w:marTop w:val="0"/>
      <w:marBottom w:val="0"/>
      <w:divBdr>
        <w:top w:val="none" w:sz="0" w:space="0" w:color="auto"/>
        <w:left w:val="none" w:sz="0" w:space="0" w:color="auto"/>
        <w:bottom w:val="none" w:sz="0" w:space="0" w:color="auto"/>
        <w:right w:val="none" w:sz="0" w:space="0" w:color="auto"/>
      </w:divBdr>
    </w:div>
    <w:div w:id="1266961075">
      <w:bodyDiv w:val="1"/>
      <w:marLeft w:val="0"/>
      <w:marRight w:val="0"/>
      <w:marTop w:val="0"/>
      <w:marBottom w:val="0"/>
      <w:divBdr>
        <w:top w:val="none" w:sz="0" w:space="0" w:color="auto"/>
        <w:left w:val="none" w:sz="0" w:space="0" w:color="auto"/>
        <w:bottom w:val="none" w:sz="0" w:space="0" w:color="auto"/>
        <w:right w:val="none" w:sz="0" w:space="0" w:color="auto"/>
      </w:divBdr>
    </w:div>
    <w:div w:id="1367020154">
      <w:bodyDiv w:val="1"/>
      <w:marLeft w:val="0"/>
      <w:marRight w:val="0"/>
      <w:marTop w:val="0"/>
      <w:marBottom w:val="0"/>
      <w:divBdr>
        <w:top w:val="none" w:sz="0" w:space="0" w:color="auto"/>
        <w:left w:val="none" w:sz="0" w:space="0" w:color="auto"/>
        <w:bottom w:val="none" w:sz="0" w:space="0" w:color="auto"/>
        <w:right w:val="none" w:sz="0" w:space="0" w:color="auto"/>
      </w:divBdr>
    </w:div>
    <w:div w:id="1733851637">
      <w:bodyDiv w:val="1"/>
      <w:marLeft w:val="0"/>
      <w:marRight w:val="0"/>
      <w:marTop w:val="0"/>
      <w:marBottom w:val="0"/>
      <w:divBdr>
        <w:top w:val="none" w:sz="0" w:space="0" w:color="auto"/>
        <w:left w:val="none" w:sz="0" w:space="0" w:color="auto"/>
        <w:bottom w:val="none" w:sz="0" w:space="0" w:color="auto"/>
        <w:right w:val="none" w:sz="0" w:space="0" w:color="auto"/>
      </w:divBdr>
      <w:divsChild>
        <w:div w:id="174731493">
          <w:marLeft w:val="0"/>
          <w:marRight w:val="0"/>
          <w:marTop w:val="0"/>
          <w:marBottom w:val="0"/>
          <w:divBdr>
            <w:top w:val="none" w:sz="0" w:space="0" w:color="auto"/>
            <w:left w:val="none" w:sz="0" w:space="0" w:color="auto"/>
            <w:bottom w:val="none" w:sz="0" w:space="0" w:color="auto"/>
            <w:right w:val="none" w:sz="0" w:space="0" w:color="auto"/>
          </w:divBdr>
          <w:divsChild>
            <w:div w:id="1869178717">
              <w:marLeft w:val="0"/>
              <w:marRight w:val="0"/>
              <w:marTop w:val="0"/>
              <w:marBottom w:val="0"/>
              <w:divBdr>
                <w:top w:val="none" w:sz="0" w:space="0" w:color="auto"/>
                <w:left w:val="none" w:sz="0" w:space="0" w:color="auto"/>
                <w:bottom w:val="none" w:sz="0" w:space="0" w:color="auto"/>
                <w:right w:val="none" w:sz="0" w:space="0" w:color="auto"/>
              </w:divBdr>
              <w:divsChild>
                <w:div w:id="19659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49110">
      <w:bodyDiv w:val="1"/>
      <w:marLeft w:val="0"/>
      <w:marRight w:val="0"/>
      <w:marTop w:val="0"/>
      <w:marBottom w:val="0"/>
      <w:divBdr>
        <w:top w:val="none" w:sz="0" w:space="0" w:color="auto"/>
        <w:left w:val="none" w:sz="0" w:space="0" w:color="auto"/>
        <w:bottom w:val="none" w:sz="0" w:space="0" w:color="auto"/>
        <w:right w:val="none" w:sz="0" w:space="0" w:color="auto"/>
      </w:divBdr>
      <w:divsChild>
        <w:div w:id="1362821425">
          <w:marLeft w:val="0"/>
          <w:marRight w:val="0"/>
          <w:marTop w:val="0"/>
          <w:marBottom w:val="0"/>
          <w:divBdr>
            <w:top w:val="none" w:sz="0" w:space="0" w:color="auto"/>
            <w:left w:val="none" w:sz="0" w:space="0" w:color="auto"/>
            <w:bottom w:val="none" w:sz="0" w:space="0" w:color="auto"/>
            <w:right w:val="none" w:sz="0" w:space="0" w:color="auto"/>
          </w:divBdr>
        </w:div>
        <w:div w:id="1177690481">
          <w:marLeft w:val="0"/>
          <w:marRight w:val="0"/>
          <w:marTop w:val="0"/>
          <w:marBottom w:val="0"/>
          <w:divBdr>
            <w:top w:val="none" w:sz="0" w:space="0" w:color="auto"/>
            <w:left w:val="none" w:sz="0" w:space="0" w:color="auto"/>
            <w:bottom w:val="none" w:sz="0" w:space="0" w:color="auto"/>
            <w:right w:val="none" w:sz="0" w:space="0" w:color="auto"/>
          </w:divBdr>
        </w:div>
        <w:div w:id="98795285">
          <w:marLeft w:val="0"/>
          <w:marRight w:val="0"/>
          <w:marTop w:val="0"/>
          <w:marBottom w:val="0"/>
          <w:divBdr>
            <w:top w:val="none" w:sz="0" w:space="0" w:color="auto"/>
            <w:left w:val="none" w:sz="0" w:space="0" w:color="auto"/>
            <w:bottom w:val="none" w:sz="0" w:space="0" w:color="auto"/>
            <w:right w:val="none" w:sz="0" w:space="0" w:color="auto"/>
          </w:divBdr>
        </w:div>
        <w:div w:id="1828085245">
          <w:marLeft w:val="0"/>
          <w:marRight w:val="0"/>
          <w:marTop w:val="0"/>
          <w:marBottom w:val="0"/>
          <w:divBdr>
            <w:top w:val="none" w:sz="0" w:space="0" w:color="auto"/>
            <w:left w:val="none" w:sz="0" w:space="0" w:color="auto"/>
            <w:bottom w:val="none" w:sz="0" w:space="0" w:color="auto"/>
            <w:right w:val="none" w:sz="0" w:space="0" w:color="auto"/>
          </w:divBdr>
        </w:div>
        <w:div w:id="1325937096">
          <w:marLeft w:val="0"/>
          <w:marRight w:val="0"/>
          <w:marTop w:val="0"/>
          <w:marBottom w:val="0"/>
          <w:divBdr>
            <w:top w:val="none" w:sz="0" w:space="0" w:color="auto"/>
            <w:left w:val="none" w:sz="0" w:space="0" w:color="auto"/>
            <w:bottom w:val="none" w:sz="0" w:space="0" w:color="auto"/>
            <w:right w:val="none" w:sz="0" w:space="0" w:color="auto"/>
          </w:divBdr>
        </w:div>
        <w:div w:id="1457404193">
          <w:marLeft w:val="0"/>
          <w:marRight w:val="0"/>
          <w:marTop w:val="0"/>
          <w:marBottom w:val="0"/>
          <w:divBdr>
            <w:top w:val="none" w:sz="0" w:space="0" w:color="auto"/>
            <w:left w:val="none" w:sz="0" w:space="0" w:color="auto"/>
            <w:bottom w:val="none" w:sz="0" w:space="0" w:color="auto"/>
            <w:right w:val="none" w:sz="0" w:space="0" w:color="auto"/>
          </w:divBdr>
        </w:div>
        <w:div w:id="1211498966">
          <w:marLeft w:val="0"/>
          <w:marRight w:val="0"/>
          <w:marTop w:val="0"/>
          <w:marBottom w:val="0"/>
          <w:divBdr>
            <w:top w:val="none" w:sz="0" w:space="0" w:color="auto"/>
            <w:left w:val="none" w:sz="0" w:space="0" w:color="auto"/>
            <w:bottom w:val="none" w:sz="0" w:space="0" w:color="auto"/>
            <w:right w:val="none" w:sz="0" w:space="0" w:color="auto"/>
          </w:divBdr>
        </w:div>
      </w:divsChild>
    </w:div>
    <w:div w:id="2057393649">
      <w:bodyDiv w:val="1"/>
      <w:marLeft w:val="0"/>
      <w:marRight w:val="0"/>
      <w:marTop w:val="0"/>
      <w:marBottom w:val="0"/>
      <w:divBdr>
        <w:top w:val="none" w:sz="0" w:space="0" w:color="auto"/>
        <w:left w:val="none" w:sz="0" w:space="0" w:color="auto"/>
        <w:bottom w:val="none" w:sz="0" w:space="0" w:color="auto"/>
        <w:right w:val="none" w:sz="0" w:space="0" w:color="auto"/>
      </w:divBdr>
      <w:divsChild>
        <w:div w:id="1789427473">
          <w:marLeft w:val="0"/>
          <w:marRight w:val="0"/>
          <w:marTop w:val="0"/>
          <w:marBottom w:val="0"/>
          <w:divBdr>
            <w:top w:val="none" w:sz="0" w:space="0" w:color="auto"/>
            <w:left w:val="none" w:sz="0" w:space="0" w:color="auto"/>
            <w:bottom w:val="none" w:sz="0" w:space="0" w:color="auto"/>
            <w:right w:val="none" w:sz="0" w:space="0" w:color="auto"/>
          </w:divBdr>
        </w:div>
        <w:div w:id="1262109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BD00D77-4E98-421A-B311-C7C405D9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10662</Words>
  <Characters>58643</Characters>
  <Application>Microsoft Office Word</Application>
  <DocSecurity>0</DocSecurity>
  <Lines>488</Lines>
  <Paragraphs>138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69167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Veldman</dc:creator>
  <cp:lastModifiedBy>Albertine</cp:lastModifiedBy>
  <cp:revision>3</cp:revision>
  <cp:lastPrinted>2015-03-19T09:11:00Z</cp:lastPrinted>
  <dcterms:created xsi:type="dcterms:W3CDTF">2016-01-05T10:14:00Z</dcterms:created>
  <dcterms:modified xsi:type="dcterms:W3CDTF">2016-01-05T11:35:00Z</dcterms:modified>
</cp:coreProperties>
</file>