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924E" w14:textId="22EE9DA8" w:rsidR="008026A6" w:rsidRPr="008026A6" w:rsidRDefault="001702BB" w:rsidP="008026A6">
      <w:pPr>
        <w:tabs>
          <w:tab w:val="left" w:pos="4962"/>
        </w:tabs>
        <w:rPr>
          <w:b/>
          <w:sz w:val="26"/>
          <w:szCs w:val="26"/>
        </w:rPr>
      </w:pPr>
      <w:bookmarkStart w:id="0" w:name="_GoBack"/>
      <w:bookmarkEnd w:id="0"/>
      <w:r>
        <w:rPr>
          <w:b/>
          <w:sz w:val="26"/>
          <w:szCs w:val="26"/>
        </w:rPr>
        <w:t>Terugblik op Straatsburg.</w:t>
      </w:r>
      <w:r w:rsidR="00F109D6">
        <w:rPr>
          <w:b/>
          <w:sz w:val="26"/>
          <w:szCs w:val="26"/>
        </w:rPr>
        <w:t xml:space="preserve"> Interview met voormalige EHRM-rechter Jos Silvis </w:t>
      </w:r>
    </w:p>
    <w:p w14:paraId="13E0832B" w14:textId="77777777" w:rsidR="00A90B65" w:rsidRDefault="00A90B65" w:rsidP="00A80264">
      <w:pPr>
        <w:jc w:val="both"/>
        <w:rPr>
          <w:rFonts w:cstheme="minorHAnsi"/>
        </w:rPr>
      </w:pPr>
      <w:r>
        <w:rPr>
          <w:rFonts w:cstheme="minorHAnsi"/>
        </w:rPr>
        <w:t>Lize R. Glas, Pauline Jacobs en Jasper Krommendijk</w:t>
      </w:r>
    </w:p>
    <w:p w14:paraId="2714D161" w14:textId="12191245" w:rsidR="00031358" w:rsidRPr="00A90B65" w:rsidRDefault="00031358" w:rsidP="00A80264">
      <w:pPr>
        <w:jc w:val="both"/>
        <w:rPr>
          <w:rFonts w:cstheme="minorHAnsi"/>
          <w:b/>
        </w:rPr>
      </w:pPr>
      <w:r w:rsidRPr="00EF09C9">
        <w:rPr>
          <w:rFonts w:cstheme="minorHAnsi"/>
        </w:rPr>
        <w:t>In september 2016 keerde</w:t>
      </w:r>
      <w:r w:rsidRPr="00DC6EE1">
        <w:rPr>
          <w:rFonts w:cstheme="minorHAnsi"/>
        </w:rPr>
        <w:t xml:space="preserve"> Jos Silvis terug naar de Hoge Raad, ditmaal niet als </w:t>
      </w:r>
      <w:r w:rsidRPr="00626EB7">
        <w:rPr>
          <w:rFonts w:cstheme="minorHAnsi"/>
        </w:rPr>
        <w:t>a</w:t>
      </w:r>
      <w:r w:rsidRPr="009B6DCF">
        <w:rPr>
          <w:rFonts w:cstheme="minorHAnsi"/>
        </w:rPr>
        <w:t>dvocaat-</w:t>
      </w:r>
      <w:r w:rsidRPr="00B01C64">
        <w:rPr>
          <w:rFonts w:cstheme="minorHAnsi"/>
        </w:rPr>
        <w:t>generaal,</w:t>
      </w:r>
      <w:r w:rsidRPr="00A90B65">
        <w:rPr>
          <w:rFonts w:cstheme="minorHAnsi"/>
        </w:rPr>
        <w:t xml:space="preserve"> </w:t>
      </w:r>
      <w:r w:rsidR="00176C31">
        <w:rPr>
          <w:rFonts w:cstheme="minorHAnsi"/>
        </w:rPr>
        <w:t>de functie die</w:t>
      </w:r>
      <w:r w:rsidR="00176C31" w:rsidRPr="00A90B65">
        <w:rPr>
          <w:rFonts w:cstheme="minorHAnsi"/>
        </w:rPr>
        <w:t xml:space="preserve"> </w:t>
      </w:r>
      <w:r w:rsidRPr="00A90B65">
        <w:rPr>
          <w:rFonts w:cstheme="minorHAnsi"/>
        </w:rPr>
        <w:t xml:space="preserve">hij van 2010-2012 </w:t>
      </w:r>
      <w:r w:rsidR="00176C31">
        <w:rPr>
          <w:rFonts w:cstheme="minorHAnsi"/>
        </w:rPr>
        <w:t>bekleedde</w:t>
      </w:r>
      <w:r w:rsidRPr="00A90B65">
        <w:rPr>
          <w:rFonts w:cstheme="minorHAnsi"/>
        </w:rPr>
        <w:t>, maar als procureur-generaal. In de tussenliggende periode was Jos Silvis rechter in het Europees Hof voor de Rechten van de Mens (Hof)</w:t>
      </w:r>
      <w:r w:rsidR="000437DB" w:rsidRPr="00A90B65">
        <w:rPr>
          <w:rFonts w:cstheme="minorHAnsi"/>
        </w:rPr>
        <w:t xml:space="preserve">, waar hij ons al eerder over berichtte </w:t>
      </w:r>
      <w:r w:rsidR="00A90B65">
        <w:rPr>
          <w:rFonts w:cstheme="minorHAnsi"/>
        </w:rPr>
        <w:t xml:space="preserve">in </w:t>
      </w:r>
      <w:r w:rsidR="000437DB" w:rsidRPr="00A90B65">
        <w:rPr>
          <w:rFonts w:cstheme="minorHAnsi"/>
        </w:rPr>
        <w:t>zijn ‘Zicht op Straatsburg’-stukken</w:t>
      </w:r>
      <w:r w:rsidR="00C411BA">
        <w:rPr>
          <w:rFonts w:cstheme="minorHAnsi"/>
        </w:rPr>
        <w:t xml:space="preserve"> in het NTM</w:t>
      </w:r>
      <w:r w:rsidRPr="00A90B65">
        <w:rPr>
          <w:rFonts w:cstheme="minorHAnsi"/>
        </w:rPr>
        <w:t>. Wij spreken hem over die periode</w:t>
      </w:r>
      <w:r w:rsidR="000437DB" w:rsidRPr="00A90B65">
        <w:rPr>
          <w:rFonts w:cstheme="minorHAnsi"/>
        </w:rPr>
        <w:t xml:space="preserve"> in zijn werkkamer in het nieuwe pand van de Hoge Raad</w:t>
      </w:r>
      <w:r w:rsidR="00176C31">
        <w:rPr>
          <w:rFonts w:cstheme="minorHAnsi"/>
        </w:rPr>
        <w:t xml:space="preserve"> in Den Haag</w:t>
      </w:r>
      <w:r w:rsidR="000437DB" w:rsidRPr="00A90B65">
        <w:rPr>
          <w:rFonts w:cstheme="minorHAnsi"/>
        </w:rPr>
        <w:t xml:space="preserve">. </w:t>
      </w:r>
      <w:r w:rsidR="001702BB">
        <w:rPr>
          <w:rFonts w:cstheme="minorHAnsi"/>
        </w:rPr>
        <w:t xml:space="preserve">Er is genoeg te bespreken. Tijdens zijn tijd in Straatsburg zag hij de </w:t>
      </w:r>
      <w:r w:rsidR="000437DB" w:rsidRPr="00A90B65">
        <w:rPr>
          <w:rFonts w:cstheme="minorHAnsi"/>
        </w:rPr>
        <w:t xml:space="preserve"> toetreding van de EU tot het EVRM gedwarsboomd door het Hof van Justitie, </w:t>
      </w:r>
      <w:r w:rsidR="001702BB">
        <w:rPr>
          <w:rFonts w:cstheme="minorHAnsi"/>
        </w:rPr>
        <w:t xml:space="preserve">het Hof steeds efficienter worden en werd er steeds weer gesproken over een dialoog tussen het Hof en de lidstaten. Over deze thema’s, maar ook over </w:t>
      </w:r>
      <w:r w:rsidR="00A90B65">
        <w:rPr>
          <w:rFonts w:cstheme="minorHAnsi"/>
        </w:rPr>
        <w:t>de</w:t>
      </w:r>
      <w:r w:rsidR="000437DB" w:rsidRPr="00DC6EE1">
        <w:rPr>
          <w:rFonts w:cstheme="minorHAnsi"/>
        </w:rPr>
        <w:t xml:space="preserve"> </w:t>
      </w:r>
      <w:r w:rsidR="000437DB" w:rsidRPr="00626EB7">
        <w:rPr>
          <w:rFonts w:cstheme="minorHAnsi"/>
        </w:rPr>
        <w:t xml:space="preserve">breed </w:t>
      </w:r>
      <w:r w:rsidR="000437DB" w:rsidRPr="009B6DCF">
        <w:rPr>
          <w:rFonts w:cstheme="minorHAnsi"/>
        </w:rPr>
        <w:t>bediscussieerde</w:t>
      </w:r>
      <w:r w:rsidR="000437DB" w:rsidRPr="00B01C64">
        <w:rPr>
          <w:rFonts w:cstheme="minorHAnsi"/>
        </w:rPr>
        <w:t xml:space="preserve"> uitspraken over bijvoorbeeld het kiesrecht van gedetineerden en levenslange gevangenisstraffen</w:t>
      </w:r>
      <w:r w:rsidR="001702BB">
        <w:rPr>
          <w:rFonts w:cstheme="minorHAnsi"/>
        </w:rPr>
        <w:t>, sprak de redactie met hem</w:t>
      </w:r>
      <w:r w:rsidR="000437DB" w:rsidRPr="00B01C64">
        <w:rPr>
          <w:rFonts w:cstheme="minorHAnsi"/>
        </w:rPr>
        <w:t xml:space="preserve">.   </w:t>
      </w:r>
    </w:p>
    <w:p w14:paraId="64B13806" w14:textId="77777777" w:rsidR="002E0280" w:rsidRPr="00EF09C9" w:rsidRDefault="00382844" w:rsidP="00A80264">
      <w:pPr>
        <w:jc w:val="both"/>
        <w:rPr>
          <w:rFonts w:cstheme="minorHAnsi"/>
          <w:b/>
        </w:rPr>
      </w:pPr>
      <w:r w:rsidRPr="00A80264">
        <w:rPr>
          <w:rFonts w:cstheme="minorHAnsi"/>
          <w:b/>
        </w:rPr>
        <w:t xml:space="preserve">Het Hof en de lidstaten </w:t>
      </w:r>
    </w:p>
    <w:p w14:paraId="7DBF2A73" w14:textId="77777777" w:rsidR="00EF09C9" w:rsidRPr="00A80264" w:rsidRDefault="00FC5D7E" w:rsidP="00A80264">
      <w:pPr>
        <w:pStyle w:val="Geenafstand"/>
        <w:jc w:val="both"/>
        <w:rPr>
          <w:i/>
        </w:rPr>
      </w:pPr>
      <w:r w:rsidRPr="00A80264">
        <w:rPr>
          <w:i/>
        </w:rPr>
        <w:t>Welke rol spelen sentimenten in de samenleving waar het gaat om gevoelige kwesties</w:t>
      </w:r>
      <w:r w:rsidR="00897A59" w:rsidRPr="00A80264">
        <w:rPr>
          <w:i/>
        </w:rPr>
        <w:t xml:space="preserve"> waarover het </w:t>
      </w:r>
      <w:r w:rsidR="007724AF">
        <w:rPr>
          <w:i/>
        </w:rPr>
        <w:t>Hof</w:t>
      </w:r>
      <w:r w:rsidR="00897A59" w:rsidRPr="00A80264">
        <w:rPr>
          <w:i/>
        </w:rPr>
        <w:t xml:space="preserve"> de knoop moet doorhakken</w:t>
      </w:r>
      <w:r w:rsidRPr="00A80264">
        <w:rPr>
          <w:i/>
        </w:rPr>
        <w:t>? U zegt in het foto- en interviewboek ‘Mensbeelden en strafrecht’: “Ook mensenrechten moeten door de samenleving worden gedragen. Als alleen de elite mensenrechten omarmt, dan liggen gevaren op de loer. Dan kunnen mensenrechten verworden tot louter getuigenispolitiek, en dat is behoorlijk zinloos.”</w:t>
      </w:r>
      <w:r w:rsidRPr="00A80264">
        <w:rPr>
          <w:rStyle w:val="Voetnootmarkering"/>
          <w:rFonts w:cstheme="minorHAnsi"/>
          <w:i/>
        </w:rPr>
        <w:footnoteReference w:id="1"/>
      </w:r>
      <w:r w:rsidRPr="00A80264">
        <w:rPr>
          <w:i/>
        </w:rPr>
        <w:t xml:space="preserve"> </w:t>
      </w:r>
      <w:r w:rsidR="002E0280" w:rsidRPr="00A80264">
        <w:rPr>
          <w:i/>
        </w:rPr>
        <w:t>Hoe bedoelt u dat?</w:t>
      </w:r>
    </w:p>
    <w:p w14:paraId="29CC69AD" w14:textId="77777777" w:rsidR="00EF09C9" w:rsidRDefault="00EF09C9" w:rsidP="00A80264">
      <w:pPr>
        <w:pStyle w:val="Geenafstand"/>
        <w:jc w:val="both"/>
      </w:pPr>
    </w:p>
    <w:p w14:paraId="21FEDAE8" w14:textId="39FD0686" w:rsidR="00EF09C9" w:rsidRDefault="00B61586" w:rsidP="00A80264">
      <w:pPr>
        <w:pStyle w:val="Geenafstand"/>
        <w:jc w:val="both"/>
      </w:pPr>
      <w:r w:rsidRPr="000437DB">
        <w:t>Het gaat m</w:t>
      </w:r>
      <w:r w:rsidR="00DF56AC">
        <w:t>ij</w:t>
      </w:r>
      <w:r w:rsidRPr="000437DB">
        <w:t xml:space="preserve"> niet </w:t>
      </w:r>
      <w:r w:rsidR="000E6878">
        <w:t>zozeer</w:t>
      </w:r>
      <w:r w:rsidR="004919E4" w:rsidRPr="000437DB">
        <w:t xml:space="preserve"> om sentimenten. Het gaat ero</w:t>
      </w:r>
      <w:r w:rsidRPr="000437DB">
        <w:t>m</w:t>
      </w:r>
      <w:r w:rsidR="00897A59" w:rsidRPr="000437DB">
        <w:t xml:space="preserve"> </w:t>
      </w:r>
      <w:r w:rsidRPr="000437DB">
        <w:t xml:space="preserve">dat mensenrechten als onderdeel van het hele stelsel van </w:t>
      </w:r>
      <w:r w:rsidR="0091345B" w:rsidRPr="00A80264">
        <w:rPr>
          <w:i/>
        </w:rPr>
        <w:t>r</w:t>
      </w:r>
      <w:r w:rsidRPr="00A80264">
        <w:rPr>
          <w:i/>
        </w:rPr>
        <w:t xml:space="preserve">ule of </w:t>
      </w:r>
      <w:r w:rsidR="0091345B" w:rsidRPr="00A80264">
        <w:rPr>
          <w:i/>
        </w:rPr>
        <w:t>l</w:t>
      </w:r>
      <w:r w:rsidRPr="00A80264">
        <w:rPr>
          <w:i/>
        </w:rPr>
        <w:t>aw</w:t>
      </w:r>
      <w:r w:rsidR="00AF3187" w:rsidRPr="00DC6EE1">
        <w:t xml:space="preserve"> brede acceptatie hebben. D</w:t>
      </w:r>
      <w:r w:rsidRPr="00626EB7">
        <w:t xml:space="preserve">at betekent </w:t>
      </w:r>
      <w:r w:rsidRPr="00B01C64">
        <w:t xml:space="preserve">niet dat mensen het telkens eens moeten zijn met een </w:t>
      </w:r>
      <w:r w:rsidR="00FC5D7E" w:rsidRPr="000437DB">
        <w:t xml:space="preserve">uitspraak van het </w:t>
      </w:r>
      <w:r w:rsidR="007724AF">
        <w:t>Hof</w:t>
      </w:r>
      <w:r w:rsidRPr="000437DB">
        <w:t xml:space="preserve">, maar wel dat ze het als legitiem ervaren dat er een </w:t>
      </w:r>
      <w:r w:rsidR="00FC5D7E" w:rsidRPr="000437DB">
        <w:t>H</w:t>
      </w:r>
      <w:r w:rsidRPr="000437DB">
        <w:t>of is dat</w:t>
      </w:r>
      <w:r w:rsidR="008B5A8C">
        <w:t>,</w:t>
      </w:r>
      <w:r w:rsidRPr="000437DB">
        <w:t xml:space="preserve"> wat betreft de uitleg van mensenrechten</w:t>
      </w:r>
      <w:r w:rsidR="00DF56AC">
        <w:t>,</w:t>
      </w:r>
      <w:r w:rsidRPr="000437DB">
        <w:t xml:space="preserve"> het laatste woord heeft. Wanneer het brede publiek</w:t>
      </w:r>
      <w:r w:rsidR="00AF3187" w:rsidRPr="000437DB">
        <w:t xml:space="preserve"> er</w:t>
      </w:r>
      <w:r w:rsidRPr="000437DB">
        <w:t xml:space="preserve"> niet meer het geloof </w:t>
      </w:r>
      <w:r w:rsidR="008B5A8C">
        <w:t>heeft</w:t>
      </w:r>
      <w:r w:rsidR="008B5A8C" w:rsidRPr="000437DB">
        <w:t xml:space="preserve"> </w:t>
      </w:r>
      <w:r w:rsidRPr="000437DB">
        <w:t xml:space="preserve">dat dit een aanvaardbaar en goed systeem is, dan is het gedoemd te verdwijnen. </w:t>
      </w:r>
      <w:r w:rsidR="002E0280" w:rsidRPr="000437DB">
        <w:t xml:space="preserve">Daarnaast is het erg riskant </w:t>
      </w:r>
      <w:r w:rsidRPr="000437DB">
        <w:t>wanneer mensenrechten worden gebruikt vanuit een soort</w:t>
      </w:r>
      <w:r w:rsidR="00AF3187" w:rsidRPr="000437DB">
        <w:t xml:space="preserve"> </w:t>
      </w:r>
      <w:r w:rsidR="002E0280" w:rsidRPr="000437DB">
        <w:t xml:space="preserve">paternalisme of </w:t>
      </w:r>
      <w:r w:rsidRPr="000437DB">
        <w:t xml:space="preserve">morele superioriteit. Dan </w:t>
      </w:r>
      <w:r w:rsidR="002E0280" w:rsidRPr="000437DB">
        <w:t>raakt</w:t>
      </w:r>
      <w:r w:rsidRPr="000437DB">
        <w:t xml:space="preserve"> het verbindende element zoek</w:t>
      </w:r>
      <w:r w:rsidR="002E0280" w:rsidRPr="000437DB">
        <w:t>. V</w:t>
      </w:r>
      <w:r w:rsidRPr="000437DB">
        <w:t xml:space="preserve">oor het goed functioneren van mensenrechten in de samenleving is </w:t>
      </w:r>
      <w:r w:rsidR="002E0280" w:rsidRPr="000437DB">
        <w:t>het essentieel</w:t>
      </w:r>
      <w:r w:rsidRPr="000437DB">
        <w:t xml:space="preserve"> dat er een breed draagvlak is. </w:t>
      </w:r>
    </w:p>
    <w:p w14:paraId="4920AD94" w14:textId="77777777" w:rsidR="00B61586" w:rsidRPr="00DC6EE1" w:rsidRDefault="00B61586" w:rsidP="00A80264">
      <w:pPr>
        <w:pStyle w:val="Geenafstand"/>
        <w:jc w:val="both"/>
      </w:pPr>
    </w:p>
    <w:p w14:paraId="05AFE28F" w14:textId="77777777" w:rsidR="00EF09C9" w:rsidRDefault="00B61586" w:rsidP="00A80264">
      <w:pPr>
        <w:pStyle w:val="Geenafstand"/>
        <w:jc w:val="both"/>
        <w:rPr>
          <w:i/>
        </w:rPr>
      </w:pPr>
      <w:r w:rsidRPr="00A80264">
        <w:rPr>
          <w:i/>
        </w:rPr>
        <w:t xml:space="preserve">Kan het </w:t>
      </w:r>
      <w:r w:rsidR="007724AF">
        <w:rPr>
          <w:i/>
        </w:rPr>
        <w:t>Hof</w:t>
      </w:r>
      <w:r w:rsidRPr="00A80264">
        <w:rPr>
          <w:i/>
        </w:rPr>
        <w:t xml:space="preserve"> daaraan bijdragen? </w:t>
      </w:r>
    </w:p>
    <w:p w14:paraId="4793289E" w14:textId="77777777" w:rsidR="00EF09C9" w:rsidRDefault="00EF09C9" w:rsidP="00A80264">
      <w:pPr>
        <w:pStyle w:val="Geenafstand"/>
        <w:jc w:val="both"/>
      </w:pPr>
    </w:p>
    <w:p w14:paraId="738A16BA" w14:textId="4E558BFA" w:rsidR="00B61586" w:rsidRPr="00A90B65" w:rsidRDefault="002E0280" w:rsidP="00A80264">
      <w:pPr>
        <w:jc w:val="both"/>
        <w:rPr>
          <w:rFonts w:cstheme="minorHAnsi"/>
        </w:rPr>
      </w:pPr>
      <w:r w:rsidRPr="00EF09C9">
        <w:rPr>
          <w:rFonts w:cstheme="minorHAnsi"/>
        </w:rPr>
        <w:t>W</w:t>
      </w:r>
      <w:r w:rsidR="00B61586" w:rsidRPr="00EF09C9">
        <w:rPr>
          <w:rFonts w:cstheme="minorHAnsi"/>
        </w:rPr>
        <w:t xml:space="preserve">anneer je naar de ontwikkeling van de jurisprudentie </w:t>
      </w:r>
      <w:r w:rsidRPr="00EF09C9">
        <w:rPr>
          <w:rFonts w:cstheme="minorHAnsi"/>
        </w:rPr>
        <w:t xml:space="preserve">van het </w:t>
      </w:r>
      <w:r w:rsidR="007724AF">
        <w:rPr>
          <w:rFonts w:cstheme="minorHAnsi"/>
        </w:rPr>
        <w:t>Hof</w:t>
      </w:r>
      <w:r w:rsidRPr="00EF09C9">
        <w:rPr>
          <w:rFonts w:cstheme="minorHAnsi"/>
        </w:rPr>
        <w:t xml:space="preserve"> </w:t>
      </w:r>
      <w:r w:rsidR="00B61586" w:rsidRPr="00DC6EE1">
        <w:rPr>
          <w:rFonts w:cstheme="minorHAnsi"/>
        </w:rPr>
        <w:t xml:space="preserve">kijkt, dan zie je dat </w:t>
      </w:r>
      <w:r w:rsidR="00897A59" w:rsidRPr="00626EB7">
        <w:rPr>
          <w:rFonts w:cstheme="minorHAnsi"/>
        </w:rPr>
        <w:t xml:space="preserve">er </w:t>
      </w:r>
      <w:r w:rsidR="00897A59" w:rsidRPr="009B6DCF">
        <w:rPr>
          <w:rFonts w:cstheme="minorHAnsi"/>
        </w:rPr>
        <w:t xml:space="preserve">tien </w:t>
      </w:r>
      <w:r w:rsidR="00B61586" w:rsidRPr="009B6DCF">
        <w:rPr>
          <w:rFonts w:cstheme="minorHAnsi"/>
        </w:rPr>
        <w:t xml:space="preserve">jaar </w:t>
      </w:r>
      <w:r w:rsidRPr="00B01C64">
        <w:rPr>
          <w:rFonts w:cstheme="minorHAnsi"/>
        </w:rPr>
        <w:t xml:space="preserve">geleden </w:t>
      </w:r>
      <w:r w:rsidR="00B61586" w:rsidRPr="00A90B65">
        <w:rPr>
          <w:rFonts w:cstheme="minorHAnsi"/>
        </w:rPr>
        <w:t>andere standpunten werden ingenomen</w:t>
      </w:r>
      <w:r w:rsidR="00897A59" w:rsidRPr="00A90B65">
        <w:rPr>
          <w:rFonts w:cstheme="minorHAnsi"/>
        </w:rPr>
        <w:t xml:space="preserve"> dan nu</w:t>
      </w:r>
      <w:r w:rsidR="00B61586" w:rsidRPr="00A90B65">
        <w:rPr>
          <w:rFonts w:cstheme="minorHAnsi"/>
        </w:rPr>
        <w:t xml:space="preserve">. Die ontwikkeling in de rechtspraak wordt gelegitimeerd door </w:t>
      </w:r>
      <w:r w:rsidRPr="00A90B65">
        <w:rPr>
          <w:rFonts w:cstheme="minorHAnsi"/>
        </w:rPr>
        <w:t xml:space="preserve">het </w:t>
      </w:r>
      <w:r w:rsidR="007724AF">
        <w:rPr>
          <w:rFonts w:cstheme="minorHAnsi"/>
        </w:rPr>
        <w:t>Hof</w:t>
      </w:r>
      <w:r w:rsidRPr="00A90B65">
        <w:rPr>
          <w:rFonts w:cstheme="minorHAnsi"/>
        </w:rPr>
        <w:t xml:space="preserve"> </w:t>
      </w:r>
      <w:r w:rsidR="00B61586" w:rsidRPr="00A90B65">
        <w:rPr>
          <w:rFonts w:cstheme="minorHAnsi"/>
        </w:rPr>
        <w:t>onder verwijzing naar ontwikkelingen in de samenleving., uist omdat</w:t>
      </w:r>
      <w:r w:rsidR="00AF3187" w:rsidRPr="00A90B65">
        <w:rPr>
          <w:rFonts w:cstheme="minorHAnsi"/>
        </w:rPr>
        <w:t xml:space="preserve"> het </w:t>
      </w:r>
      <w:r w:rsidR="007724AF">
        <w:rPr>
          <w:rFonts w:cstheme="minorHAnsi"/>
        </w:rPr>
        <w:t>Hof</w:t>
      </w:r>
      <w:r w:rsidRPr="00A90B65">
        <w:rPr>
          <w:rFonts w:cstheme="minorHAnsi"/>
        </w:rPr>
        <w:t xml:space="preserve"> </w:t>
      </w:r>
      <w:r w:rsidR="00AF3187" w:rsidRPr="00A90B65">
        <w:rPr>
          <w:rFonts w:cstheme="minorHAnsi"/>
        </w:rPr>
        <w:t>heel goed begrijpt</w:t>
      </w:r>
      <w:r w:rsidRPr="00A90B65">
        <w:rPr>
          <w:rFonts w:cstheme="minorHAnsi"/>
        </w:rPr>
        <w:t xml:space="preserve"> dat er voeling moet blijven met wat er speelt in de samenleving en dat het </w:t>
      </w:r>
      <w:r w:rsidR="007724AF">
        <w:rPr>
          <w:rFonts w:cstheme="minorHAnsi"/>
        </w:rPr>
        <w:t>Hof</w:t>
      </w:r>
      <w:r w:rsidRPr="00A90B65">
        <w:rPr>
          <w:rFonts w:cstheme="minorHAnsi"/>
        </w:rPr>
        <w:t xml:space="preserve">, waar mogelijk natuurlijk, ook hierop vooruit moet lopen. </w:t>
      </w:r>
      <w:r w:rsidR="000E6878">
        <w:rPr>
          <w:rFonts w:cstheme="minorHAnsi"/>
        </w:rPr>
        <w:t>Maar h</w:t>
      </w:r>
      <w:r w:rsidRPr="00A90B65">
        <w:rPr>
          <w:rFonts w:cstheme="minorHAnsi"/>
        </w:rPr>
        <w:t xml:space="preserve">et </w:t>
      </w:r>
      <w:r w:rsidR="007724AF">
        <w:rPr>
          <w:rFonts w:cstheme="minorHAnsi"/>
        </w:rPr>
        <w:t>Hof</w:t>
      </w:r>
      <w:r w:rsidRPr="00A90B65">
        <w:rPr>
          <w:rFonts w:cstheme="minorHAnsi"/>
        </w:rPr>
        <w:t xml:space="preserve"> moet niet </w:t>
      </w:r>
      <w:r w:rsidR="000A3A68">
        <w:rPr>
          <w:rFonts w:cstheme="minorHAnsi"/>
        </w:rPr>
        <w:t>losgezongen raken</w:t>
      </w:r>
      <w:r w:rsidR="000A3A68" w:rsidRPr="00A90B65">
        <w:rPr>
          <w:rFonts w:cstheme="minorHAnsi"/>
        </w:rPr>
        <w:t xml:space="preserve"> </w:t>
      </w:r>
      <w:r w:rsidRPr="00A90B65">
        <w:rPr>
          <w:rFonts w:cstheme="minorHAnsi"/>
        </w:rPr>
        <w:t xml:space="preserve">van wat leeft in de maatschappij. Dat </w:t>
      </w:r>
      <w:r w:rsidR="000C7185" w:rsidRPr="00A90B65">
        <w:rPr>
          <w:rFonts w:cstheme="minorHAnsi"/>
        </w:rPr>
        <w:t xml:space="preserve">het </w:t>
      </w:r>
      <w:r w:rsidR="007724AF">
        <w:rPr>
          <w:rFonts w:cstheme="minorHAnsi"/>
        </w:rPr>
        <w:t>Hof</w:t>
      </w:r>
      <w:r w:rsidR="000C7185" w:rsidRPr="00A90B65">
        <w:rPr>
          <w:rFonts w:cstheme="minorHAnsi"/>
        </w:rPr>
        <w:t xml:space="preserve"> rekening </w:t>
      </w:r>
      <w:r w:rsidR="009640B3" w:rsidRPr="00A90B65">
        <w:rPr>
          <w:rFonts w:cstheme="minorHAnsi"/>
        </w:rPr>
        <w:t xml:space="preserve">houdt </w:t>
      </w:r>
      <w:r w:rsidR="000C7185" w:rsidRPr="00A90B65">
        <w:rPr>
          <w:rFonts w:cstheme="minorHAnsi"/>
        </w:rPr>
        <w:t xml:space="preserve">met wat er leeft in de maatschappij zie je terugkomen in de motivering van de uitspraken. </w:t>
      </w:r>
      <w:r w:rsidRPr="00A90B65">
        <w:rPr>
          <w:rFonts w:cstheme="minorHAnsi"/>
        </w:rPr>
        <w:t xml:space="preserve">Heel duidelijk zie je dat bijvoorbeeld bij de zaken die spelen rond het levenseinde. </w:t>
      </w:r>
    </w:p>
    <w:p w14:paraId="1396DBE7" w14:textId="77777777" w:rsidR="00EF09C9" w:rsidRDefault="000C7185" w:rsidP="00A80264">
      <w:pPr>
        <w:pStyle w:val="Geenafstand"/>
        <w:jc w:val="both"/>
        <w:rPr>
          <w:i/>
        </w:rPr>
      </w:pPr>
      <w:r w:rsidRPr="00A80264">
        <w:rPr>
          <w:i/>
        </w:rPr>
        <w:t>H</w:t>
      </w:r>
      <w:r w:rsidR="004919E4" w:rsidRPr="00A80264">
        <w:rPr>
          <w:i/>
        </w:rPr>
        <w:t xml:space="preserve">oe krijgen </w:t>
      </w:r>
      <w:r w:rsidR="007724AF">
        <w:rPr>
          <w:i/>
        </w:rPr>
        <w:t>Hof</w:t>
      </w:r>
      <w:r w:rsidR="004919E4" w:rsidRPr="00A80264">
        <w:rPr>
          <w:i/>
        </w:rPr>
        <w:t>-</w:t>
      </w:r>
      <w:r w:rsidR="00B61586" w:rsidRPr="00A80264">
        <w:rPr>
          <w:i/>
        </w:rPr>
        <w:t xml:space="preserve">rechters zicht op dat soort ontwikkelingen? Door </w:t>
      </w:r>
      <w:r w:rsidRPr="00A80264">
        <w:rPr>
          <w:i/>
        </w:rPr>
        <w:t xml:space="preserve">het volgen van de </w:t>
      </w:r>
      <w:r w:rsidR="00B61586" w:rsidRPr="00A80264">
        <w:rPr>
          <w:i/>
        </w:rPr>
        <w:t>media</w:t>
      </w:r>
      <w:r w:rsidRPr="00A80264">
        <w:rPr>
          <w:i/>
        </w:rPr>
        <w:t xml:space="preserve"> misschien</w:t>
      </w:r>
      <w:r w:rsidR="00B61586" w:rsidRPr="00A80264">
        <w:rPr>
          <w:i/>
        </w:rPr>
        <w:t>, of door</w:t>
      </w:r>
      <w:r w:rsidR="004919E4" w:rsidRPr="00A80264">
        <w:rPr>
          <w:i/>
        </w:rPr>
        <w:t xml:space="preserve"> met</w:t>
      </w:r>
      <w:r w:rsidR="00B61586" w:rsidRPr="00A80264">
        <w:rPr>
          <w:i/>
        </w:rPr>
        <w:t xml:space="preserve"> andere rechters te spreken?</w:t>
      </w:r>
      <w:r w:rsidR="00013C2B" w:rsidRPr="00A80264">
        <w:rPr>
          <w:i/>
        </w:rPr>
        <w:t xml:space="preserve"> </w:t>
      </w:r>
    </w:p>
    <w:p w14:paraId="1D7EE9FD" w14:textId="77777777" w:rsidR="00EF09C9" w:rsidRPr="00A80264" w:rsidRDefault="00EF09C9" w:rsidP="00A80264">
      <w:pPr>
        <w:pStyle w:val="Geenafstand"/>
        <w:jc w:val="both"/>
        <w:rPr>
          <w:i/>
        </w:rPr>
      </w:pPr>
    </w:p>
    <w:p w14:paraId="28E343D0" w14:textId="42E7DBF3" w:rsidR="00B61586" w:rsidRPr="00A90B65" w:rsidRDefault="00B61586" w:rsidP="00A80264">
      <w:pPr>
        <w:jc w:val="both"/>
        <w:rPr>
          <w:rFonts w:cstheme="minorHAnsi"/>
        </w:rPr>
      </w:pPr>
      <w:r w:rsidRPr="00EF09C9">
        <w:rPr>
          <w:rFonts w:cstheme="minorHAnsi"/>
        </w:rPr>
        <w:t xml:space="preserve">Er zijn verschillende </w:t>
      </w:r>
      <w:r w:rsidR="004919E4" w:rsidRPr="00EF09C9">
        <w:rPr>
          <w:rFonts w:cstheme="minorHAnsi"/>
        </w:rPr>
        <w:t>manieren</w:t>
      </w:r>
      <w:r w:rsidR="000C7185" w:rsidRPr="00EF09C9">
        <w:rPr>
          <w:rFonts w:cstheme="minorHAnsi"/>
        </w:rPr>
        <w:t>. Ten eerste maken de rechter</w:t>
      </w:r>
      <w:r w:rsidR="009640B3" w:rsidRPr="00EF09C9">
        <w:rPr>
          <w:rFonts w:cstheme="minorHAnsi"/>
        </w:rPr>
        <w:t>s</w:t>
      </w:r>
      <w:r w:rsidR="000C7185" w:rsidRPr="00DC6EE1">
        <w:rPr>
          <w:rFonts w:cstheme="minorHAnsi"/>
        </w:rPr>
        <w:t xml:space="preserve"> zelf natuurlijk deel uit van de samenleving en nemen ze kennis van de </w:t>
      </w:r>
      <w:r w:rsidRPr="009B6DCF">
        <w:rPr>
          <w:rFonts w:cstheme="minorHAnsi"/>
        </w:rPr>
        <w:t xml:space="preserve">rechtspraak in de verschillende </w:t>
      </w:r>
      <w:r w:rsidR="001473A1">
        <w:rPr>
          <w:rFonts w:cstheme="minorHAnsi"/>
        </w:rPr>
        <w:t>verdrag</w:t>
      </w:r>
      <w:r w:rsidRPr="009B6DCF">
        <w:rPr>
          <w:rFonts w:cstheme="minorHAnsi"/>
        </w:rPr>
        <w:t>staten</w:t>
      </w:r>
      <w:r w:rsidR="000C7185" w:rsidRPr="009B6DCF">
        <w:rPr>
          <w:rFonts w:cstheme="minorHAnsi"/>
        </w:rPr>
        <w:t xml:space="preserve">. Ook </w:t>
      </w:r>
      <w:r w:rsidRPr="00B01C64">
        <w:rPr>
          <w:rFonts w:cstheme="minorHAnsi"/>
        </w:rPr>
        <w:t xml:space="preserve">nemen </w:t>
      </w:r>
      <w:r w:rsidR="000C7185" w:rsidRPr="00A90B65">
        <w:rPr>
          <w:rFonts w:cstheme="minorHAnsi"/>
        </w:rPr>
        <w:t xml:space="preserve">ze </w:t>
      </w:r>
      <w:r w:rsidRPr="00A90B65">
        <w:rPr>
          <w:rFonts w:cstheme="minorHAnsi"/>
        </w:rPr>
        <w:t>kennis van de standpunten van partijen waarin</w:t>
      </w:r>
      <w:r w:rsidR="00854B3A" w:rsidRPr="00A90B65">
        <w:rPr>
          <w:rFonts w:cstheme="minorHAnsi"/>
        </w:rPr>
        <w:t xml:space="preserve"> nadrukkelijk </w:t>
      </w:r>
      <w:r w:rsidR="000C7185" w:rsidRPr="00A90B65">
        <w:rPr>
          <w:rFonts w:cstheme="minorHAnsi"/>
        </w:rPr>
        <w:t>ook aan</w:t>
      </w:r>
      <w:r w:rsidR="00854B3A" w:rsidRPr="00A90B65">
        <w:rPr>
          <w:rFonts w:cstheme="minorHAnsi"/>
        </w:rPr>
        <w:t xml:space="preserve"> </w:t>
      </w:r>
      <w:r w:rsidR="000C7185" w:rsidRPr="00A90B65">
        <w:rPr>
          <w:rFonts w:cstheme="minorHAnsi"/>
        </w:rPr>
        <w:t xml:space="preserve">bepaalde </w:t>
      </w:r>
      <w:r w:rsidR="00854B3A" w:rsidRPr="00A90B65">
        <w:rPr>
          <w:rFonts w:cstheme="minorHAnsi"/>
        </w:rPr>
        <w:t xml:space="preserve">ontwikkelingen </w:t>
      </w:r>
      <w:r w:rsidR="000C7185" w:rsidRPr="00A90B65">
        <w:rPr>
          <w:rFonts w:cstheme="minorHAnsi"/>
        </w:rPr>
        <w:t xml:space="preserve">in de samenleving gerefereerd wordt. </w:t>
      </w:r>
      <w:r w:rsidR="00854B3A" w:rsidRPr="00A90B65">
        <w:rPr>
          <w:rFonts w:cstheme="minorHAnsi"/>
        </w:rPr>
        <w:t>Van summiere betekeni</w:t>
      </w:r>
      <w:r w:rsidR="004919E4" w:rsidRPr="00A90B65">
        <w:rPr>
          <w:rFonts w:cstheme="minorHAnsi"/>
        </w:rPr>
        <w:t xml:space="preserve">s is dat bij bijna alle </w:t>
      </w:r>
      <w:r w:rsidR="000C7185" w:rsidRPr="00A90B65">
        <w:rPr>
          <w:rFonts w:cstheme="minorHAnsi"/>
        </w:rPr>
        <w:t>zaken bij de G</w:t>
      </w:r>
      <w:r w:rsidR="004919E4" w:rsidRPr="00A90B65">
        <w:rPr>
          <w:rFonts w:cstheme="minorHAnsi"/>
        </w:rPr>
        <w:t xml:space="preserve">rote </w:t>
      </w:r>
      <w:r w:rsidR="000C7185" w:rsidRPr="00A90B65">
        <w:rPr>
          <w:rFonts w:cstheme="minorHAnsi"/>
        </w:rPr>
        <w:t>K</w:t>
      </w:r>
      <w:r w:rsidR="004919E4" w:rsidRPr="00A90B65">
        <w:rPr>
          <w:rFonts w:cstheme="minorHAnsi"/>
        </w:rPr>
        <w:t>amer</w:t>
      </w:r>
      <w:r w:rsidR="00854B3A" w:rsidRPr="00A90B65">
        <w:rPr>
          <w:rFonts w:cstheme="minorHAnsi"/>
        </w:rPr>
        <w:t xml:space="preserve"> </w:t>
      </w:r>
      <w:r w:rsidR="00854B3A" w:rsidRPr="00A90B65">
        <w:rPr>
          <w:rFonts w:cstheme="minorHAnsi"/>
        </w:rPr>
        <w:lastRenderedPageBreak/>
        <w:t xml:space="preserve">in de aanloop naar </w:t>
      </w:r>
      <w:r w:rsidR="009640B3" w:rsidRPr="00A90B65">
        <w:rPr>
          <w:rFonts w:cstheme="minorHAnsi"/>
        </w:rPr>
        <w:t xml:space="preserve">een </w:t>
      </w:r>
      <w:r w:rsidR="000C7185" w:rsidRPr="00A90B65">
        <w:rPr>
          <w:rFonts w:cstheme="minorHAnsi"/>
        </w:rPr>
        <w:t>uitspra</w:t>
      </w:r>
      <w:r w:rsidR="009640B3" w:rsidRPr="00A90B65">
        <w:rPr>
          <w:rFonts w:cstheme="minorHAnsi"/>
        </w:rPr>
        <w:t>a</w:t>
      </w:r>
      <w:r w:rsidR="000C7185" w:rsidRPr="00A90B65">
        <w:rPr>
          <w:rFonts w:cstheme="minorHAnsi"/>
        </w:rPr>
        <w:t>k</w:t>
      </w:r>
      <w:r w:rsidR="00854B3A" w:rsidRPr="00A90B65">
        <w:rPr>
          <w:rFonts w:cstheme="minorHAnsi"/>
        </w:rPr>
        <w:t xml:space="preserve"> vergelijkend onderzoek wordt gedaan. E</w:t>
      </w:r>
      <w:r w:rsidR="004919E4" w:rsidRPr="00A90B65">
        <w:rPr>
          <w:rFonts w:cstheme="minorHAnsi"/>
        </w:rPr>
        <w:t>r</w:t>
      </w:r>
      <w:r w:rsidR="00854B3A" w:rsidRPr="00A90B65">
        <w:rPr>
          <w:rFonts w:cstheme="minorHAnsi"/>
        </w:rPr>
        <w:t xml:space="preserve"> is een betrekkelijk bescheiden onderzoeksafdeling binnen het </w:t>
      </w:r>
      <w:r w:rsidR="007724AF">
        <w:rPr>
          <w:rFonts w:cstheme="minorHAnsi"/>
        </w:rPr>
        <w:t>Hof</w:t>
      </w:r>
      <w:r w:rsidR="000C7185" w:rsidRPr="00A90B65">
        <w:rPr>
          <w:rFonts w:cstheme="minorHAnsi"/>
        </w:rPr>
        <w:t xml:space="preserve"> die onderzoek doet naar de situatie in verschillende landen. Hierbij wordt niet alleen gekeken naar het recht in bepaalde staten, maar worden ook meer sociale dimensies en opvattingen bekeken en meegenomen.  </w:t>
      </w:r>
    </w:p>
    <w:p w14:paraId="31AD3F2E" w14:textId="53EDC2DB" w:rsidR="00854B3A" w:rsidRDefault="00854B3A" w:rsidP="00A80264">
      <w:pPr>
        <w:pStyle w:val="Geenafstand"/>
        <w:jc w:val="both"/>
        <w:rPr>
          <w:i/>
        </w:rPr>
      </w:pPr>
      <w:r w:rsidRPr="00A80264">
        <w:rPr>
          <w:i/>
        </w:rPr>
        <w:t>Er zijn onderwerpen waar</w:t>
      </w:r>
      <w:r w:rsidR="000C7185" w:rsidRPr="00A80264">
        <w:rPr>
          <w:i/>
        </w:rPr>
        <w:t xml:space="preserve">over </w:t>
      </w:r>
      <w:r w:rsidRPr="00A80264">
        <w:rPr>
          <w:i/>
        </w:rPr>
        <w:t xml:space="preserve">op statelijk niveau de meningen </w:t>
      </w:r>
      <w:r w:rsidR="009640B3" w:rsidRPr="00A80264">
        <w:rPr>
          <w:i/>
        </w:rPr>
        <w:t xml:space="preserve">ver </w:t>
      </w:r>
      <w:r w:rsidRPr="00A80264">
        <w:rPr>
          <w:i/>
        </w:rPr>
        <w:t>uiteenlopen</w:t>
      </w:r>
      <w:r w:rsidR="000C7185" w:rsidRPr="00A80264">
        <w:rPr>
          <w:i/>
        </w:rPr>
        <w:t>.</w:t>
      </w:r>
    </w:p>
    <w:p w14:paraId="5E5D9F86" w14:textId="77777777" w:rsidR="00EF09C9" w:rsidRPr="00A80264" w:rsidRDefault="00EF09C9" w:rsidP="00A80264">
      <w:pPr>
        <w:pStyle w:val="Geenafstand"/>
        <w:jc w:val="both"/>
        <w:rPr>
          <w:i/>
        </w:rPr>
      </w:pPr>
    </w:p>
    <w:p w14:paraId="48BDD363" w14:textId="49DA8EB3" w:rsidR="00EF09C9" w:rsidRDefault="000C7185" w:rsidP="00A80264">
      <w:pPr>
        <w:pStyle w:val="Geenafstand"/>
        <w:jc w:val="both"/>
      </w:pPr>
      <w:r w:rsidRPr="00EF09C9">
        <w:t xml:space="preserve">Dat klopt. Dit is soms ook het geval binnen </w:t>
      </w:r>
      <w:r w:rsidR="00050DFF" w:rsidRPr="00EF09C9">
        <w:t xml:space="preserve">de </w:t>
      </w:r>
      <w:r w:rsidR="001473A1">
        <w:t>verdrag</w:t>
      </w:r>
      <w:r w:rsidR="001473A1" w:rsidRPr="00EF09C9">
        <w:t>sta</w:t>
      </w:r>
      <w:r w:rsidR="001473A1">
        <w:t xml:space="preserve">at </w:t>
      </w:r>
      <w:r w:rsidR="00580FE2">
        <w:t>zelf.</w:t>
      </w:r>
      <w:r w:rsidRPr="00DC6EE1">
        <w:t xml:space="preserve"> </w:t>
      </w:r>
      <w:r w:rsidR="00854B3A" w:rsidRPr="00626EB7">
        <w:t xml:space="preserve">Het klassieke voorbeeld </w:t>
      </w:r>
      <w:r w:rsidRPr="009B6DCF">
        <w:t xml:space="preserve">hiervan is </w:t>
      </w:r>
      <w:r w:rsidR="00050DFF" w:rsidRPr="009B6DCF">
        <w:t>de zaak</w:t>
      </w:r>
      <w:r w:rsidR="00897A59" w:rsidRPr="00B01C64">
        <w:t xml:space="preserve"> </w:t>
      </w:r>
      <w:r w:rsidR="00854B3A" w:rsidRPr="00A80264">
        <w:rPr>
          <w:i/>
        </w:rPr>
        <w:t>Ty</w:t>
      </w:r>
      <w:r w:rsidRPr="00A80264">
        <w:rPr>
          <w:i/>
        </w:rPr>
        <w:t>r</w:t>
      </w:r>
      <w:r w:rsidR="00854B3A" w:rsidRPr="00A80264">
        <w:rPr>
          <w:i/>
        </w:rPr>
        <w:t>er</w:t>
      </w:r>
      <w:r w:rsidRPr="000437DB">
        <w:t xml:space="preserve"> </w:t>
      </w:r>
      <w:r w:rsidRPr="00A80264">
        <w:rPr>
          <w:i/>
        </w:rPr>
        <w:t>t</w:t>
      </w:r>
      <w:r w:rsidR="00A27495" w:rsidRPr="00A80264">
        <w:rPr>
          <w:i/>
        </w:rPr>
        <w:t>egen</w:t>
      </w:r>
      <w:r w:rsidRPr="000437DB">
        <w:t xml:space="preserve"> </w:t>
      </w:r>
      <w:r w:rsidRPr="00A80264">
        <w:rPr>
          <w:i/>
        </w:rPr>
        <w:t>het Verenigd Koninkrijk</w:t>
      </w:r>
      <w:r w:rsidRPr="000437DB">
        <w:t>.</w:t>
      </w:r>
      <w:r w:rsidRPr="00A90B65">
        <w:rPr>
          <w:rStyle w:val="Voetnootmarkering"/>
          <w:rFonts w:cstheme="minorHAnsi"/>
        </w:rPr>
        <w:footnoteReference w:id="2"/>
      </w:r>
      <w:r w:rsidRPr="000437DB">
        <w:t xml:space="preserve"> </w:t>
      </w:r>
      <w:r w:rsidR="00050DFF" w:rsidRPr="000437DB">
        <w:t xml:space="preserve">In deze zaak </w:t>
      </w:r>
      <w:r w:rsidR="00C05980">
        <w:t xml:space="preserve">was </w:t>
      </w:r>
      <w:r w:rsidR="00050DFF" w:rsidRPr="000437DB">
        <w:t>een jongen</w:t>
      </w:r>
      <w:r w:rsidR="00C05980">
        <w:t xml:space="preserve"> door de plaatselijke jeugdrechtbank veroordeeld tot slagen</w:t>
      </w:r>
      <w:r w:rsidR="00050DFF" w:rsidRPr="000437DB">
        <w:t xml:space="preserve"> met een roe op zijn billen</w:t>
      </w:r>
      <w:r w:rsidR="000047B8">
        <w:t xml:space="preserve"> (‘birching’)</w:t>
      </w:r>
      <w:r w:rsidR="00050DFF" w:rsidRPr="000437DB">
        <w:t xml:space="preserve"> </w:t>
      </w:r>
      <w:r w:rsidR="00854B3A" w:rsidRPr="000437DB">
        <w:t>omdat hij bepaalde feiten had gepleegd</w:t>
      </w:r>
      <w:r w:rsidR="00050DFF" w:rsidRPr="000437DB">
        <w:t xml:space="preserve">. Dit leidde tot een veroordeling door het </w:t>
      </w:r>
      <w:r w:rsidR="007724AF">
        <w:t>Hof</w:t>
      </w:r>
      <w:r w:rsidR="00050DFF" w:rsidRPr="000437DB">
        <w:t xml:space="preserve">. Het </w:t>
      </w:r>
      <w:r w:rsidR="007724AF">
        <w:t>Hof</w:t>
      </w:r>
      <w:r w:rsidR="00050DFF" w:rsidRPr="000437DB">
        <w:t xml:space="preserve"> gaf hierbij aan dat het toepassen van lichamelijke tuchtstraffen niet meer paste binnen een bepaald</w:t>
      </w:r>
      <w:r w:rsidR="00854B3A" w:rsidRPr="000437DB">
        <w:t xml:space="preserve"> Europees beeld </w:t>
      </w:r>
      <w:r w:rsidR="00050DFF" w:rsidRPr="000437DB">
        <w:t xml:space="preserve">van wat </w:t>
      </w:r>
      <w:r w:rsidR="00854B3A" w:rsidRPr="000437DB">
        <w:t xml:space="preserve">als algemeen aanvaardbaar wordt gezien. </w:t>
      </w:r>
      <w:r w:rsidR="00050DFF" w:rsidRPr="000437DB">
        <w:t>Naar</w:t>
      </w:r>
      <w:r w:rsidR="000E6878">
        <w:t xml:space="preserve"> leidende</w:t>
      </w:r>
      <w:r w:rsidR="00050DFF" w:rsidRPr="000437DB">
        <w:t xml:space="preserve"> opvattingen </w:t>
      </w:r>
      <w:r w:rsidR="000E6878">
        <w:t>was de lijfstraf</w:t>
      </w:r>
      <w:r w:rsidR="00580FE2">
        <w:t xml:space="preserve"> </w:t>
      </w:r>
      <w:r w:rsidR="00050DFF" w:rsidRPr="000437DB">
        <w:t xml:space="preserve">in strijd met artikel 3 EVRM, maar op </w:t>
      </w:r>
      <w:r w:rsidR="001473A1">
        <w:t>het</w:t>
      </w:r>
      <w:r w:rsidR="001473A1" w:rsidRPr="000437DB">
        <w:t xml:space="preserve"> </w:t>
      </w:r>
      <w:r w:rsidR="00050DFF" w:rsidRPr="000437DB">
        <w:t>Isle of Man, een onderdeel van het Verenigd Koninkrijk</w:t>
      </w:r>
      <w:r w:rsidR="009640B3" w:rsidRPr="000437DB">
        <w:t>,</w:t>
      </w:r>
      <w:r w:rsidR="00050DFF" w:rsidRPr="000437DB">
        <w:t xml:space="preserve"> was d</w:t>
      </w:r>
      <w:r w:rsidR="000E6878">
        <w:t>ie tuchtiging</w:t>
      </w:r>
      <w:r w:rsidR="00050DFF" w:rsidRPr="000437DB">
        <w:t xml:space="preserve"> </w:t>
      </w:r>
      <w:r w:rsidR="00852E67">
        <w:t xml:space="preserve">destijds </w:t>
      </w:r>
      <w:r w:rsidR="000047B8">
        <w:t xml:space="preserve">nog </w:t>
      </w:r>
      <w:r w:rsidR="00050DFF" w:rsidRPr="000437DB">
        <w:t xml:space="preserve">doodnormaal. </w:t>
      </w:r>
      <w:r w:rsidR="000047B8">
        <w:t>In artikel 3 EVRM</w:t>
      </w:r>
      <w:r w:rsidR="001473A1">
        <w:t>-</w:t>
      </w:r>
      <w:r w:rsidR="000047B8">
        <w:t xml:space="preserve">zaken is er overigens nauwelijks een </w:t>
      </w:r>
      <w:r w:rsidR="001473A1">
        <w:t>‘margin of appreciation’</w:t>
      </w:r>
      <w:r w:rsidR="000047B8">
        <w:t>, vanzelfsprekend omdat het gaat om absolute rechten.</w:t>
      </w:r>
    </w:p>
    <w:p w14:paraId="35635289" w14:textId="77777777" w:rsidR="00854B3A" w:rsidRPr="009B6DCF" w:rsidRDefault="00854B3A" w:rsidP="00A80264">
      <w:pPr>
        <w:pStyle w:val="Geenafstand"/>
        <w:jc w:val="both"/>
      </w:pPr>
    </w:p>
    <w:p w14:paraId="3E6215E1" w14:textId="4D57345D" w:rsidR="00EF09C9" w:rsidRDefault="00050DFF" w:rsidP="00A80264">
      <w:pPr>
        <w:autoSpaceDE w:val="0"/>
        <w:autoSpaceDN w:val="0"/>
        <w:adjustRightInd w:val="0"/>
        <w:spacing w:after="0" w:line="240" w:lineRule="auto"/>
        <w:jc w:val="both"/>
        <w:rPr>
          <w:rFonts w:cstheme="minorHAnsi"/>
          <w:i/>
        </w:rPr>
      </w:pPr>
      <w:r w:rsidRPr="00A80264">
        <w:rPr>
          <w:rFonts w:cstheme="minorHAnsi"/>
          <w:i/>
        </w:rPr>
        <w:t xml:space="preserve">Sommige </w:t>
      </w:r>
      <w:r w:rsidR="007724AF">
        <w:rPr>
          <w:rFonts w:cstheme="minorHAnsi"/>
          <w:i/>
        </w:rPr>
        <w:t>Hof</w:t>
      </w:r>
      <w:r w:rsidRPr="00A80264">
        <w:rPr>
          <w:rFonts w:cstheme="minorHAnsi"/>
          <w:i/>
        </w:rPr>
        <w:t>uitspraken roepen sterke gevoelens op</w:t>
      </w:r>
      <w:r w:rsidR="00854B3A" w:rsidRPr="00A80264">
        <w:rPr>
          <w:rFonts w:cstheme="minorHAnsi"/>
          <w:i/>
        </w:rPr>
        <w:t xml:space="preserve">. Een </w:t>
      </w:r>
      <w:r w:rsidR="004919E4" w:rsidRPr="00A80264">
        <w:rPr>
          <w:rFonts w:cstheme="minorHAnsi"/>
          <w:i/>
        </w:rPr>
        <w:t xml:space="preserve">van die uitspraken is Hirst </w:t>
      </w:r>
      <w:r w:rsidRPr="00A80264">
        <w:rPr>
          <w:rFonts w:cstheme="minorHAnsi"/>
          <w:i/>
        </w:rPr>
        <w:t>tegen het Verenigd Koninkrijk.</w:t>
      </w:r>
      <w:r w:rsidRPr="00A80264">
        <w:rPr>
          <w:rStyle w:val="Voetnootmarkering"/>
        </w:rPr>
        <w:footnoteReference w:id="3"/>
      </w:r>
      <w:r w:rsidRPr="00A80264">
        <w:rPr>
          <w:rFonts w:cstheme="minorHAnsi"/>
          <w:i/>
        </w:rPr>
        <w:t xml:space="preserve"> David Cameron zelf verklaarde dat het idee van stemmende gevangenen hem fysiek onpasselijk maakte, een sentiment dat leeft bij een groot deel van de Britse bevolking.</w:t>
      </w:r>
      <w:r w:rsidR="00580FE2">
        <w:rPr>
          <w:rFonts w:cstheme="minorHAnsi"/>
          <w:i/>
        </w:rPr>
        <w:t xml:space="preserve"> </w:t>
      </w:r>
      <w:r w:rsidRPr="00A80264">
        <w:rPr>
          <w:rFonts w:cstheme="minorHAnsi"/>
          <w:i/>
        </w:rPr>
        <w:t xml:space="preserve">Andere uitspraken tegen het Verenigd Koninkrijk, zoals die inzake de levenslange gevangenisstraf, riepen ook veel </w:t>
      </w:r>
      <w:r w:rsidR="008D5AFC" w:rsidRPr="00A80264">
        <w:rPr>
          <w:rFonts w:cstheme="minorHAnsi"/>
          <w:i/>
        </w:rPr>
        <w:t xml:space="preserve">weerstand </w:t>
      </w:r>
      <w:r w:rsidRPr="00A80264">
        <w:rPr>
          <w:rFonts w:cstheme="minorHAnsi"/>
          <w:i/>
        </w:rPr>
        <w:t>op</w:t>
      </w:r>
      <w:r w:rsidR="00854B3A" w:rsidRPr="00A80264">
        <w:rPr>
          <w:rFonts w:cstheme="minorHAnsi"/>
          <w:i/>
        </w:rPr>
        <w:t>.</w:t>
      </w:r>
      <w:r w:rsidR="00F771F0" w:rsidRPr="00F4613D">
        <w:rPr>
          <w:rStyle w:val="Voetnootmarkering"/>
          <w:rFonts w:cstheme="minorHAnsi"/>
        </w:rPr>
        <w:footnoteReference w:id="4"/>
      </w:r>
      <w:r w:rsidR="00854B3A" w:rsidRPr="00A80264">
        <w:rPr>
          <w:rFonts w:cstheme="minorHAnsi"/>
          <w:i/>
        </w:rPr>
        <w:t xml:space="preserve"> Hoe dient het </w:t>
      </w:r>
      <w:r w:rsidR="007724AF">
        <w:rPr>
          <w:rFonts w:cstheme="minorHAnsi"/>
          <w:i/>
        </w:rPr>
        <w:t>Hof</w:t>
      </w:r>
      <w:r w:rsidR="00854B3A" w:rsidRPr="00A80264">
        <w:rPr>
          <w:rFonts w:cstheme="minorHAnsi"/>
          <w:i/>
        </w:rPr>
        <w:t xml:space="preserve"> om te gaan met d</w:t>
      </w:r>
      <w:r w:rsidRPr="00A80264">
        <w:rPr>
          <w:rFonts w:cstheme="minorHAnsi"/>
          <w:i/>
        </w:rPr>
        <w:t>i</w:t>
      </w:r>
      <w:r w:rsidR="00854B3A" w:rsidRPr="00A80264">
        <w:rPr>
          <w:rFonts w:cstheme="minorHAnsi"/>
          <w:i/>
        </w:rPr>
        <w:t xml:space="preserve">t soort </w:t>
      </w:r>
      <w:r w:rsidRPr="00A80264">
        <w:rPr>
          <w:rFonts w:cstheme="minorHAnsi"/>
          <w:i/>
        </w:rPr>
        <w:t xml:space="preserve">felle, soms </w:t>
      </w:r>
      <w:r w:rsidR="00854B3A" w:rsidRPr="00A80264">
        <w:rPr>
          <w:rFonts w:cstheme="minorHAnsi"/>
          <w:i/>
        </w:rPr>
        <w:t>anti-</w:t>
      </w:r>
      <w:r w:rsidR="004919E4" w:rsidRPr="00A80264">
        <w:rPr>
          <w:rFonts w:cstheme="minorHAnsi"/>
          <w:i/>
        </w:rPr>
        <w:t>Straatsburgse</w:t>
      </w:r>
      <w:r w:rsidR="00854B3A" w:rsidRPr="00A80264">
        <w:rPr>
          <w:rFonts w:cstheme="minorHAnsi"/>
          <w:i/>
        </w:rPr>
        <w:t xml:space="preserve"> sentimenten</w:t>
      </w:r>
      <w:r w:rsidR="008D5AFC" w:rsidRPr="00A80264">
        <w:rPr>
          <w:rFonts w:cstheme="minorHAnsi"/>
          <w:i/>
        </w:rPr>
        <w:t xml:space="preserve"> op statelijk niveau</w:t>
      </w:r>
      <w:r w:rsidR="00854B3A" w:rsidRPr="00A80264">
        <w:rPr>
          <w:rFonts w:cstheme="minorHAnsi"/>
          <w:i/>
        </w:rPr>
        <w:t>?</w:t>
      </w:r>
      <w:r w:rsidR="00013C2B" w:rsidRPr="00A80264">
        <w:rPr>
          <w:rFonts w:cstheme="minorHAnsi"/>
          <w:i/>
        </w:rPr>
        <w:t xml:space="preserve"> </w:t>
      </w:r>
    </w:p>
    <w:p w14:paraId="53EE36D9" w14:textId="77777777" w:rsidR="00854B3A" w:rsidRPr="00A80264" w:rsidRDefault="00854B3A" w:rsidP="00A80264">
      <w:pPr>
        <w:autoSpaceDE w:val="0"/>
        <w:autoSpaceDN w:val="0"/>
        <w:adjustRightInd w:val="0"/>
        <w:spacing w:after="0" w:line="240" w:lineRule="auto"/>
        <w:jc w:val="both"/>
        <w:rPr>
          <w:rFonts w:cstheme="minorHAnsi"/>
          <w:i/>
        </w:rPr>
      </w:pPr>
    </w:p>
    <w:p w14:paraId="74BB0210" w14:textId="646DE2F3" w:rsidR="00854B3A" w:rsidRPr="00A90B65" w:rsidRDefault="003B4538" w:rsidP="00A80264">
      <w:pPr>
        <w:jc w:val="both"/>
        <w:rPr>
          <w:rFonts w:cstheme="minorHAnsi"/>
        </w:rPr>
      </w:pPr>
      <w:r w:rsidRPr="00EF09C9">
        <w:rPr>
          <w:rFonts w:cstheme="minorHAnsi"/>
        </w:rPr>
        <w:t xml:space="preserve">De afgelopen jaren is door het </w:t>
      </w:r>
      <w:r w:rsidR="007724AF">
        <w:rPr>
          <w:rFonts w:cstheme="minorHAnsi"/>
        </w:rPr>
        <w:t>Hof</w:t>
      </w:r>
      <w:r w:rsidRPr="00EF09C9">
        <w:rPr>
          <w:rFonts w:cstheme="minorHAnsi"/>
        </w:rPr>
        <w:t xml:space="preserve"> het woord dialoog veelvuldig gebruikt bij dergelijke kwesties waarbij het bijna uit leek te draaien op een breuk in opvattingen over hoe een rechtssysteem in elkaar zou moeten zitten op nationaal niveau. </w:t>
      </w:r>
      <w:r w:rsidR="00854B3A" w:rsidRPr="00A90B65">
        <w:rPr>
          <w:rFonts w:cstheme="minorHAnsi"/>
        </w:rPr>
        <w:t>Ook in wetenschappelijke zin heeft d</w:t>
      </w:r>
      <w:r w:rsidRPr="00A90B65">
        <w:rPr>
          <w:rFonts w:cstheme="minorHAnsi"/>
        </w:rPr>
        <w:t>i</w:t>
      </w:r>
      <w:r w:rsidR="00854B3A" w:rsidRPr="00A90B65">
        <w:rPr>
          <w:rFonts w:cstheme="minorHAnsi"/>
        </w:rPr>
        <w:t xml:space="preserve">t </w:t>
      </w:r>
      <w:r w:rsidRPr="00A90B65">
        <w:rPr>
          <w:rFonts w:cstheme="minorHAnsi"/>
        </w:rPr>
        <w:t xml:space="preserve">de </w:t>
      </w:r>
      <w:r w:rsidR="00854B3A" w:rsidRPr="00A90B65">
        <w:rPr>
          <w:rFonts w:cstheme="minorHAnsi"/>
        </w:rPr>
        <w:t>aandacht gekregen</w:t>
      </w:r>
      <w:r w:rsidRPr="00A90B65">
        <w:rPr>
          <w:rFonts w:cstheme="minorHAnsi"/>
        </w:rPr>
        <w:t xml:space="preserve">. Hierbij gaat het niet alleen om een dialoog tussen rechters, maar ook naar de samenleving toe. De zaak </w:t>
      </w:r>
      <w:r w:rsidRPr="00A80264">
        <w:rPr>
          <w:rFonts w:cstheme="minorHAnsi"/>
          <w:i/>
        </w:rPr>
        <w:t>Hirst</w:t>
      </w:r>
      <w:r w:rsidRPr="00EF09C9">
        <w:rPr>
          <w:rFonts w:cstheme="minorHAnsi"/>
        </w:rPr>
        <w:t xml:space="preserve"> gaat over stemrecht voor gedetineerden. </w:t>
      </w:r>
      <w:r w:rsidR="00694D4B" w:rsidRPr="00DC6EE1">
        <w:rPr>
          <w:rFonts w:cstheme="minorHAnsi"/>
        </w:rPr>
        <w:t xml:space="preserve">De uitspraak in de zaak </w:t>
      </w:r>
      <w:r w:rsidR="00694D4B" w:rsidRPr="00A80264">
        <w:rPr>
          <w:rFonts w:cstheme="minorHAnsi"/>
          <w:i/>
        </w:rPr>
        <w:t>Hirst</w:t>
      </w:r>
      <w:r w:rsidR="00694D4B" w:rsidRPr="00EF09C9">
        <w:rPr>
          <w:rFonts w:cstheme="minorHAnsi"/>
        </w:rPr>
        <w:t xml:space="preserve"> vloeide</w:t>
      </w:r>
      <w:r w:rsidR="008256C1">
        <w:rPr>
          <w:rFonts w:cstheme="minorHAnsi"/>
        </w:rPr>
        <w:t xml:space="preserve"> eigenlijk logisch</w:t>
      </w:r>
      <w:r w:rsidR="00694D4B" w:rsidRPr="00EF09C9">
        <w:rPr>
          <w:rFonts w:cstheme="minorHAnsi"/>
        </w:rPr>
        <w:t xml:space="preserve"> voort uit </w:t>
      </w:r>
      <w:r w:rsidR="008152F4">
        <w:rPr>
          <w:rFonts w:cstheme="minorHAnsi"/>
        </w:rPr>
        <w:t xml:space="preserve">de </w:t>
      </w:r>
      <w:r w:rsidR="00694D4B" w:rsidRPr="00EF09C9">
        <w:rPr>
          <w:rFonts w:cstheme="minorHAnsi"/>
        </w:rPr>
        <w:t xml:space="preserve">rechterlijke interpretatie van het </w:t>
      </w:r>
      <w:r w:rsidR="009640B3" w:rsidRPr="00DC6EE1">
        <w:rPr>
          <w:rFonts w:cstheme="minorHAnsi"/>
        </w:rPr>
        <w:t>E</w:t>
      </w:r>
      <w:r w:rsidR="00694D4B" w:rsidRPr="00626EB7">
        <w:rPr>
          <w:rFonts w:cstheme="minorHAnsi"/>
        </w:rPr>
        <w:t xml:space="preserve">erste Protocol van het EVRM </w:t>
      </w:r>
      <w:r w:rsidR="009640B3" w:rsidRPr="009B6DCF">
        <w:rPr>
          <w:rFonts w:cstheme="minorHAnsi"/>
        </w:rPr>
        <w:t>in</w:t>
      </w:r>
      <w:r w:rsidR="00694D4B" w:rsidRPr="009B6DCF">
        <w:rPr>
          <w:rFonts w:cstheme="minorHAnsi"/>
        </w:rPr>
        <w:t xml:space="preserve"> oudere rechtspraak. </w:t>
      </w:r>
      <w:r w:rsidR="00694D4B" w:rsidRPr="00B01C64">
        <w:rPr>
          <w:rFonts w:cstheme="minorHAnsi"/>
        </w:rPr>
        <w:t>Wanneer je kennisneemt van die tekst uit het Protocol kan ik me voorstellen dat je je afvraagt of je daaraan een algemeen stemrecht kunt ontlenen.</w:t>
      </w:r>
      <w:r w:rsidR="00A43753" w:rsidRPr="00A90B65">
        <w:rPr>
          <w:rFonts w:cstheme="minorHAnsi"/>
        </w:rPr>
        <w:t xml:space="preserve"> Dat aldus in het Verenigd Koninkrijk, va</w:t>
      </w:r>
      <w:r w:rsidR="00854B3A" w:rsidRPr="00A90B65">
        <w:rPr>
          <w:rFonts w:cstheme="minorHAnsi"/>
        </w:rPr>
        <w:t xml:space="preserve">nuit een traditie dat </w:t>
      </w:r>
      <w:r w:rsidR="009640B3" w:rsidRPr="00A90B65">
        <w:rPr>
          <w:rFonts w:cstheme="minorHAnsi"/>
        </w:rPr>
        <w:t xml:space="preserve">er </w:t>
      </w:r>
      <w:r w:rsidR="00854B3A" w:rsidRPr="00A90B65">
        <w:rPr>
          <w:rFonts w:cstheme="minorHAnsi"/>
        </w:rPr>
        <w:t xml:space="preserve">een </w:t>
      </w:r>
      <w:r w:rsidR="005043D4" w:rsidRPr="00A80264">
        <w:rPr>
          <w:rFonts w:cstheme="minorHAnsi"/>
          <w:i/>
        </w:rPr>
        <w:t>blanket ban</w:t>
      </w:r>
      <w:r w:rsidR="005043D4" w:rsidRPr="00EF09C9">
        <w:rPr>
          <w:rFonts w:cstheme="minorHAnsi"/>
        </w:rPr>
        <w:t xml:space="preserve"> was voor iedereen die </w:t>
      </w:r>
      <w:r w:rsidR="00A43753" w:rsidRPr="00EF09C9">
        <w:rPr>
          <w:rFonts w:cstheme="minorHAnsi"/>
        </w:rPr>
        <w:t xml:space="preserve">gedetineerd </w:t>
      </w:r>
      <w:r w:rsidR="00A43753" w:rsidRPr="00DC6EE1">
        <w:rPr>
          <w:rFonts w:cstheme="minorHAnsi"/>
        </w:rPr>
        <w:t>is</w:t>
      </w:r>
      <w:r w:rsidR="004919E4" w:rsidRPr="00DC6EE1">
        <w:rPr>
          <w:rFonts w:cstheme="minorHAnsi"/>
        </w:rPr>
        <w:t>,</w:t>
      </w:r>
      <w:r w:rsidR="005043D4" w:rsidRPr="00626EB7">
        <w:rPr>
          <w:rFonts w:cstheme="minorHAnsi"/>
        </w:rPr>
        <w:t xml:space="preserve"> </w:t>
      </w:r>
      <w:r w:rsidR="005043D4" w:rsidRPr="00A90B65">
        <w:rPr>
          <w:rFonts w:cstheme="minorHAnsi"/>
        </w:rPr>
        <w:t>er verontwaardiging ontstond over die uitspraak</w:t>
      </w:r>
      <w:r w:rsidR="004919E4" w:rsidRPr="00A90B65">
        <w:rPr>
          <w:rFonts w:cstheme="minorHAnsi"/>
        </w:rPr>
        <w:t>,</w:t>
      </w:r>
      <w:r w:rsidR="005043D4" w:rsidRPr="00A90B65">
        <w:rPr>
          <w:rFonts w:cstheme="minorHAnsi"/>
        </w:rPr>
        <w:t xml:space="preserve"> is te begrijpen. Ik zeg niet dat het </w:t>
      </w:r>
      <w:r w:rsidR="007724AF">
        <w:rPr>
          <w:rFonts w:cstheme="minorHAnsi"/>
        </w:rPr>
        <w:t>Hof</w:t>
      </w:r>
      <w:r w:rsidR="005043D4" w:rsidRPr="00A90B65">
        <w:rPr>
          <w:rFonts w:cstheme="minorHAnsi"/>
        </w:rPr>
        <w:t xml:space="preserve"> het fout had, maar het is te begrijpen dat </w:t>
      </w:r>
      <w:r w:rsidR="00A43753" w:rsidRPr="00A90B65">
        <w:rPr>
          <w:rFonts w:cstheme="minorHAnsi"/>
        </w:rPr>
        <w:t xml:space="preserve">er </w:t>
      </w:r>
      <w:r w:rsidR="005043D4" w:rsidRPr="00A90B65">
        <w:rPr>
          <w:rFonts w:cstheme="minorHAnsi"/>
        </w:rPr>
        <w:t xml:space="preserve">enige verbazing ontstond </w:t>
      </w:r>
      <w:r w:rsidR="00A43753" w:rsidRPr="00A90B65">
        <w:rPr>
          <w:rFonts w:cstheme="minorHAnsi"/>
        </w:rPr>
        <w:t xml:space="preserve">over waarom het </w:t>
      </w:r>
      <w:r w:rsidR="007724AF">
        <w:rPr>
          <w:rFonts w:cstheme="minorHAnsi"/>
        </w:rPr>
        <w:t>Hof</w:t>
      </w:r>
      <w:r w:rsidR="00A43753" w:rsidRPr="00A90B65">
        <w:rPr>
          <w:rFonts w:cstheme="minorHAnsi"/>
        </w:rPr>
        <w:t xml:space="preserve"> in een kwestie met z</w:t>
      </w:r>
      <w:r w:rsidR="000E6878">
        <w:rPr>
          <w:rFonts w:cstheme="minorHAnsi"/>
        </w:rPr>
        <w:t>ulke</w:t>
      </w:r>
      <w:r w:rsidR="00A43753" w:rsidRPr="00A90B65">
        <w:rPr>
          <w:rFonts w:cstheme="minorHAnsi"/>
        </w:rPr>
        <w:t xml:space="preserve"> diepe </w:t>
      </w:r>
      <w:r w:rsidR="009640B3" w:rsidRPr="00A90B65">
        <w:rPr>
          <w:rFonts w:cstheme="minorHAnsi"/>
        </w:rPr>
        <w:t>wortels</w:t>
      </w:r>
      <w:r w:rsidR="00A43753" w:rsidRPr="00A90B65">
        <w:rPr>
          <w:rFonts w:cstheme="minorHAnsi"/>
        </w:rPr>
        <w:t xml:space="preserve"> in de Britse traditie</w:t>
      </w:r>
      <w:r w:rsidR="00EE1F4F">
        <w:rPr>
          <w:rFonts w:cstheme="minorHAnsi"/>
        </w:rPr>
        <w:t>,</w:t>
      </w:r>
      <w:r w:rsidR="00A43753" w:rsidRPr="00A90B65">
        <w:rPr>
          <w:rFonts w:cstheme="minorHAnsi"/>
        </w:rPr>
        <w:t xml:space="preserve"> een uitspraak deed op grond van een tekst waarvan </w:t>
      </w:r>
      <w:r w:rsidR="005043D4" w:rsidRPr="00A90B65">
        <w:rPr>
          <w:rFonts w:cstheme="minorHAnsi"/>
        </w:rPr>
        <w:t>je toch kunt zeggen</w:t>
      </w:r>
      <w:r w:rsidR="004919E4" w:rsidRPr="00A90B65">
        <w:rPr>
          <w:rFonts w:cstheme="minorHAnsi"/>
        </w:rPr>
        <w:t>:</w:t>
      </w:r>
      <w:r w:rsidR="005043D4" w:rsidRPr="00A90B65">
        <w:rPr>
          <w:rFonts w:cstheme="minorHAnsi"/>
        </w:rPr>
        <w:t xml:space="preserve"> </w:t>
      </w:r>
      <w:r w:rsidR="00B7478F">
        <w:rPr>
          <w:rFonts w:cstheme="minorHAnsi"/>
        </w:rPr>
        <w:t>“</w:t>
      </w:r>
      <w:r w:rsidR="00A43753" w:rsidRPr="00A90B65">
        <w:rPr>
          <w:rFonts w:cstheme="minorHAnsi"/>
        </w:rPr>
        <w:t>H</w:t>
      </w:r>
      <w:r w:rsidR="005043D4" w:rsidRPr="00A90B65">
        <w:rPr>
          <w:rFonts w:cstheme="minorHAnsi"/>
        </w:rPr>
        <w:t xml:space="preserve">oe kun je daar een subjectief </w:t>
      </w:r>
      <w:r w:rsidR="009640B3" w:rsidRPr="00A90B65">
        <w:rPr>
          <w:rFonts w:cstheme="minorHAnsi"/>
        </w:rPr>
        <w:t xml:space="preserve">recht </w:t>
      </w:r>
      <w:r w:rsidR="005043D4" w:rsidRPr="00A90B65">
        <w:rPr>
          <w:rFonts w:cstheme="minorHAnsi"/>
        </w:rPr>
        <w:t>aan ontlenen?</w:t>
      </w:r>
      <w:r w:rsidR="00B7478F">
        <w:rPr>
          <w:rFonts w:cstheme="minorHAnsi"/>
        </w:rPr>
        <w:t>”</w:t>
      </w:r>
      <w:r w:rsidR="00CA30B1">
        <w:rPr>
          <w:rFonts w:cstheme="minorHAnsi"/>
        </w:rPr>
        <w:t>.</w:t>
      </w:r>
      <w:r w:rsidR="005043D4" w:rsidRPr="00A90B65">
        <w:rPr>
          <w:rFonts w:cstheme="minorHAnsi"/>
        </w:rPr>
        <w:t xml:space="preserve"> In de lijn van de rechtsp</w:t>
      </w:r>
      <w:r w:rsidR="004919E4" w:rsidRPr="00A90B65">
        <w:rPr>
          <w:rFonts w:cstheme="minorHAnsi"/>
        </w:rPr>
        <w:t xml:space="preserve">raak van het </w:t>
      </w:r>
      <w:r w:rsidR="007724AF">
        <w:rPr>
          <w:rFonts w:cstheme="minorHAnsi"/>
        </w:rPr>
        <w:t>Hof</w:t>
      </w:r>
      <w:r w:rsidR="00A43753" w:rsidRPr="00A90B65">
        <w:rPr>
          <w:rFonts w:cstheme="minorHAnsi"/>
        </w:rPr>
        <w:t xml:space="preserve"> was dit</w:t>
      </w:r>
      <w:r w:rsidR="00580FE2">
        <w:rPr>
          <w:rFonts w:cstheme="minorHAnsi"/>
        </w:rPr>
        <w:t xml:space="preserve"> </w:t>
      </w:r>
      <w:r w:rsidR="004919E4" w:rsidRPr="00A90B65">
        <w:rPr>
          <w:rFonts w:cstheme="minorHAnsi"/>
        </w:rPr>
        <w:t xml:space="preserve">te begrijpen, </w:t>
      </w:r>
      <w:r w:rsidR="005043D4" w:rsidRPr="00A90B65">
        <w:rPr>
          <w:rFonts w:cstheme="minorHAnsi"/>
        </w:rPr>
        <w:t>maar die moet je dan</w:t>
      </w:r>
      <w:r w:rsidR="00A43753" w:rsidRPr="00A90B65">
        <w:rPr>
          <w:rFonts w:cstheme="minorHAnsi"/>
        </w:rPr>
        <w:t xml:space="preserve"> wel</w:t>
      </w:r>
      <w:r w:rsidR="005043D4" w:rsidRPr="00A90B65">
        <w:rPr>
          <w:rFonts w:cstheme="minorHAnsi"/>
        </w:rPr>
        <w:t xml:space="preserve"> kennen. </w:t>
      </w:r>
      <w:r w:rsidR="00512F61">
        <w:rPr>
          <w:rFonts w:cstheme="minorHAnsi"/>
        </w:rPr>
        <w:t>Voor</w:t>
      </w:r>
      <w:r w:rsidR="00A43753" w:rsidRPr="00A90B65">
        <w:rPr>
          <w:rFonts w:cstheme="minorHAnsi"/>
        </w:rPr>
        <w:t xml:space="preserve"> het</w:t>
      </w:r>
      <w:r w:rsidR="00512F61">
        <w:rPr>
          <w:rFonts w:cstheme="minorHAnsi"/>
        </w:rPr>
        <w:t xml:space="preserve"> Hof</w:t>
      </w:r>
      <w:r w:rsidR="00A43753" w:rsidRPr="00A90B65">
        <w:rPr>
          <w:rFonts w:cstheme="minorHAnsi"/>
        </w:rPr>
        <w:t xml:space="preserve"> </w:t>
      </w:r>
      <w:r w:rsidR="00512F61">
        <w:rPr>
          <w:rFonts w:cstheme="minorHAnsi"/>
        </w:rPr>
        <w:t xml:space="preserve">was het verrassend dat de reactie </w:t>
      </w:r>
      <w:r w:rsidR="00CA30B1">
        <w:rPr>
          <w:rFonts w:cstheme="minorHAnsi"/>
        </w:rPr>
        <w:t>op</w:t>
      </w:r>
      <w:r w:rsidR="005043D4" w:rsidRPr="00A90B65">
        <w:rPr>
          <w:rFonts w:cstheme="minorHAnsi"/>
        </w:rPr>
        <w:t xml:space="preserve"> die uitspraak</w:t>
      </w:r>
      <w:r w:rsidR="00512F61">
        <w:rPr>
          <w:rFonts w:cstheme="minorHAnsi"/>
        </w:rPr>
        <w:t xml:space="preserve"> zo heftig was</w:t>
      </w:r>
      <w:r w:rsidR="005043D4" w:rsidRPr="00A90B65">
        <w:rPr>
          <w:rFonts w:cstheme="minorHAnsi"/>
        </w:rPr>
        <w:t>. Of die botsing te voorkomen was</w:t>
      </w:r>
      <w:r w:rsidR="004919E4" w:rsidRPr="00A90B65">
        <w:rPr>
          <w:rFonts w:cstheme="minorHAnsi"/>
        </w:rPr>
        <w:t>,</w:t>
      </w:r>
      <w:r w:rsidR="005043D4" w:rsidRPr="00A90B65">
        <w:rPr>
          <w:rFonts w:cstheme="minorHAnsi"/>
        </w:rPr>
        <w:t xml:space="preserve"> is een andere vraag. Ik denk niet dat het</w:t>
      </w:r>
      <w:r w:rsidR="009640B3" w:rsidRPr="00A90B65">
        <w:rPr>
          <w:rFonts w:cstheme="minorHAnsi"/>
        </w:rPr>
        <w:t xml:space="preserve"> </w:t>
      </w:r>
      <w:r w:rsidR="007724AF">
        <w:rPr>
          <w:rFonts w:cstheme="minorHAnsi"/>
        </w:rPr>
        <w:t>Hof</w:t>
      </w:r>
      <w:r w:rsidR="005043D4" w:rsidRPr="00A90B65">
        <w:rPr>
          <w:rFonts w:cstheme="minorHAnsi"/>
        </w:rPr>
        <w:t xml:space="preserve"> tot een </w:t>
      </w:r>
      <w:r w:rsidR="00512F61">
        <w:rPr>
          <w:rFonts w:cstheme="minorHAnsi"/>
        </w:rPr>
        <w:t xml:space="preserve">wezenlijk </w:t>
      </w:r>
      <w:r w:rsidR="005043D4" w:rsidRPr="00A90B65">
        <w:rPr>
          <w:rFonts w:cstheme="minorHAnsi"/>
        </w:rPr>
        <w:t xml:space="preserve">andere uitspraak gekomen zou zijn als </w:t>
      </w:r>
      <w:r w:rsidR="00796D85">
        <w:rPr>
          <w:rFonts w:cstheme="minorHAnsi"/>
        </w:rPr>
        <w:t>voorzien was hoe gevoelig de kwestie lag</w:t>
      </w:r>
      <w:r w:rsidR="005043D4" w:rsidRPr="00A90B65">
        <w:rPr>
          <w:rFonts w:cstheme="minorHAnsi"/>
        </w:rPr>
        <w:t xml:space="preserve">. Misschien </w:t>
      </w:r>
      <w:r w:rsidR="00796D85">
        <w:rPr>
          <w:rFonts w:cstheme="minorHAnsi"/>
        </w:rPr>
        <w:t xml:space="preserve">zou het </w:t>
      </w:r>
      <w:r w:rsidR="005043D4" w:rsidRPr="00A90B65">
        <w:rPr>
          <w:rFonts w:cstheme="minorHAnsi"/>
        </w:rPr>
        <w:t xml:space="preserve">wel </w:t>
      </w:r>
      <w:r w:rsidR="00EE1F4F">
        <w:rPr>
          <w:rFonts w:cstheme="minorHAnsi"/>
        </w:rPr>
        <w:t>voor</w:t>
      </w:r>
      <w:r w:rsidR="00EE1F4F" w:rsidRPr="00A90B65">
        <w:rPr>
          <w:rFonts w:cstheme="minorHAnsi"/>
        </w:rPr>
        <w:t xml:space="preserve"> </w:t>
      </w:r>
      <w:r w:rsidR="005043D4" w:rsidRPr="00A90B65">
        <w:rPr>
          <w:rFonts w:cstheme="minorHAnsi"/>
        </w:rPr>
        <w:t xml:space="preserve">een andere inkleding </w:t>
      </w:r>
      <w:r w:rsidR="004919E4" w:rsidRPr="00A90B65">
        <w:rPr>
          <w:rFonts w:cstheme="minorHAnsi"/>
        </w:rPr>
        <w:t>van de uitspraak</w:t>
      </w:r>
      <w:r w:rsidR="00796D85">
        <w:rPr>
          <w:rFonts w:cstheme="minorHAnsi"/>
        </w:rPr>
        <w:t xml:space="preserve"> </w:t>
      </w:r>
      <w:r w:rsidR="00EE1F4F">
        <w:rPr>
          <w:rFonts w:cstheme="minorHAnsi"/>
        </w:rPr>
        <w:t>hebben gekozen</w:t>
      </w:r>
      <w:r w:rsidR="004919E4" w:rsidRPr="00A90B65">
        <w:rPr>
          <w:rFonts w:cstheme="minorHAnsi"/>
        </w:rPr>
        <w:t>, en daarmee</w:t>
      </w:r>
      <w:r w:rsidR="005043D4" w:rsidRPr="00A90B65">
        <w:rPr>
          <w:rFonts w:cstheme="minorHAnsi"/>
        </w:rPr>
        <w:t xml:space="preserve"> </w:t>
      </w:r>
      <w:r w:rsidR="00512F61">
        <w:rPr>
          <w:rFonts w:cstheme="minorHAnsi"/>
        </w:rPr>
        <w:t xml:space="preserve">had het </w:t>
      </w:r>
      <w:r w:rsidR="005043D4" w:rsidRPr="00A90B65">
        <w:rPr>
          <w:rFonts w:cstheme="minorHAnsi"/>
        </w:rPr>
        <w:t>hoogstwaarschijnlijk</w:t>
      </w:r>
      <w:r w:rsidR="004919E4" w:rsidRPr="00A90B65">
        <w:rPr>
          <w:rFonts w:cstheme="minorHAnsi"/>
        </w:rPr>
        <w:t xml:space="preserve"> ook</w:t>
      </w:r>
      <w:r w:rsidR="005043D4" w:rsidRPr="00A90B65">
        <w:rPr>
          <w:rFonts w:cstheme="minorHAnsi"/>
        </w:rPr>
        <w:t xml:space="preserve"> een ander debat</w:t>
      </w:r>
      <w:r w:rsidR="00D8263B" w:rsidRPr="00A90B65">
        <w:rPr>
          <w:rFonts w:cstheme="minorHAnsi"/>
        </w:rPr>
        <w:t xml:space="preserve"> en</w:t>
      </w:r>
      <w:r w:rsidR="005043D4" w:rsidRPr="00A90B65">
        <w:rPr>
          <w:rFonts w:cstheme="minorHAnsi"/>
        </w:rPr>
        <w:t xml:space="preserve"> tot een andere receptie van de uitspraak in </w:t>
      </w:r>
      <w:r w:rsidR="00A43753" w:rsidRPr="00A90B65">
        <w:rPr>
          <w:rFonts w:cstheme="minorHAnsi"/>
        </w:rPr>
        <w:t>het Verenigd Koninkrijk</w:t>
      </w:r>
      <w:r w:rsidR="00512F61">
        <w:rPr>
          <w:rFonts w:cstheme="minorHAnsi"/>
        </w:rPr>
        <w:t xml:space="preserve"> kunnen komen</w:t>
      </w:r>
      <w:r w:rsidR="005043D4" w:rsidRPr="00A90B65">
        <w:rPr>
          <w:rFonts w:cstheme="minorHAnsi"/>
        </w:rPr>
        <w:t xml:space="preserve">. </w:t>
      </w:r>
      <w:r w:rsidR="00A43753" w:rsidRPr="00A90B65">
        <w:rPr>
          <w:rFonts w:cstheme="minorHAnsi"/>
        </w:rPr>
        <w:t xml:space="preserve">Wanneer duidelijker gemaakt was dat de uitspraak zich enkel richt tegen de </w:t>
      </w:r>
      <w:r w:rsidR="00A43753" w:rsidRPr="00A80264">
        <w:rPr>
          <w:rFonts w:cstheme="minorHAnsi"/>
          <w:i/>
        </w:rPr>
        <w:t>blanket ban</w:t>
      </w:r>
      <w:r w:rsidR="00A43753" w:rsidRPr="00EF09C9">
        <w:rPr>
          <w:rFonts w:cstheme="minorHAnsi"/>
        </w:rPr>
        <w:t xml:space="preserve">, </w:t>
      </w:r>
      <w:r w:rsidR="005043D4" w:rsidRPr="00626EB7">
        <w:rPr>
          <w:rFonts w:cstheme="minorHAnsi"/>
        </w:rPr>
        <w:t>dus</w:t>
      </w:r>
      <w:r w:rsidR="005043D4" w:rsidRPr="009B6DCF">
        <w:rPr>
          <w:rFonts w:cstheme="minorHAnsi"/>
        </w:rPr>
        <w:t xml:space="preserve"> </w:t>
      </w:r>
      <w:r w:rsidR="00512F61">
        <w:rPr>
          <w:rFonts w:cstheme="minorHAnsi"/>
        </w:rPr>
        <w:t>de</w:t>
      </w:r>
      <w:r w:rsidR="005043D4" w:rsidRPr="009B6DCF">
        <w:rPr>
          <w:rFonts w:cstheme="minorHAnsi"/>
        </w:rPr>
        <w:t xml:space="preserve"> ongemotiveerde algemene </w:t>
      </w:r>
      <w:r w:rsidR="00512F61">
        <w:rPr>
          <w:rFonts w:cstheme="minorHAnsi"/>
        </w:rPr>
        <w:t>uitsluiting van stemrecht voor</w:t>
      </w:r>
      <w:r w:rsidR="005043D4" w:rsidRPr="009B6DCF">
        <w:rPr>
          <w:rFonts w:cstheme="minorHAnsi"/>
        </w:rPr>
        <w:t xml:space="preserve"> </w:t>
      </w:r>
      <w:r w:rsidR="00A43753" w:rsidRPr="009B6DCF">
        <w:rPr>
          <w:rFonts w:cstheme="minorHAnsi"/>
        </w:rPr>
        <w:t>gedetineerden</w:t>
      </w:r>
      <w:r w:rsidR="005043D4" w:rsidRPr="00B01C64">
        <w:rPr>
          <w:rFonts w:cstheme="minorHAnsi"/>
        </w:rPr>
        <w:t xml:space="preserve">, </w:t>
      </w:r>
      <w:r w:rsidR="00512F61">
        <w:rPr>
          <w:rFonts w:cstheme="minorHAnsi"/>
        </w:rPr>
        <w:t>had het debat zich directer kunnen richten op</w:t>
      </w:r>
      <w:r w:rsidR="00796D85">
        <w:rPr>
          <w:rFonts w:cstheme="minorHAnsi"/>
        </w:rPr>
        <w:t xml:space="preserve"> redelijke gronden </w:t>
      </w:r>
      <w:r w:rsidR="00512F61">
        <w:rPr>
          <w:rFonts w:cstheme="minorHAnsi"/>
        </w:rPr>
        <w:t xml:space="preserve">om </w:t>
      </w:r>
      <w:r w:rsidR="00A43753" w:rsidRPr="00A90B65">
        <w:rPr>
          <w:rFonts w:cstheme="minorHAnsi"/>
        </w:rPr>
        <w:t xml:space="preserve">bepaalde </w:t>
      </w:r>
      <w:r w:rsidR="004919E4" w:rsidRPr="00A90B65">
        <w:rPr>
          <w:rFonts w:cstheme="minorHAnsi"/>
        </w:rPr>
        <w:t>categorieën</w:t>
      </w:r>
      <w:r w:rsidR="00512F61">
        <w:rPr>
          <w:rFonts w:cstheme="minorHAnsi"/>
        </w:rPr>
        <w:t xml:space="preserve"> eventueel </w:t>
      </w:r>
      <w:r w:rsidR="00EE1F4F">
        <w:rPr>
          <w:rFonts w:cstheme="minorHAnsi"/>
        </w:rPr>
        <w:t xml:space="preserve">in algemene zin </w:t>
      </w:r>
      <w:r w:rsidR="00512F61">
        <w:rPr>
          <w:rFonts w:cstheme="minorHAnsi"/>
        </w:rPr>
        <w:t>uit te sluiten. Dat</w:t>
      </w:r>
      <w:r w:rsidR="00A43753" w:rsidRPr="00A90B65">
        <w:rPr>
          <w:rFonts w:cstheme="minorHAnsi"/>
        </w:rPr>
        <w:t xml:space="preserve"> </w:t>
      </w:r>
      <w:r w:rsidR="008152F4" w:rsidRPr="00A90B65">
        <w:rPr>
          <w:rFonts w:cstheme="minorHAnsi"/>
        </w:rPr>
        <w:t>zou</w:t>
      </w:r>
      <w:r w:rsidR="002D34D9">
        <w:rPr>
          <w:rFonts w:cstheme="minorHAnsi"/>
        </w:rPr>
        <w:t xml:space="preserve"> </w:t>
      </w:r>
      <w:r w:rsidR="00A43753" w:rsidRPr="00A90B65">
        <w:rPr>
          <w:rFonts w:cstheme="minorHAnsi"/>
        </w:rPr>
        <w:t>tot veel minder</w:t>
      </w:r>
      <w:r w:rsidR="005043D4" w:rsidRPr="00A90B65">
        <w:rPr>
          <w:rFonts w:cstheme="minorHAnsi"/>
        </w:rPr>
        <w:t xml:space="preserve"> onthutsing en verontrusting a</w:t>
      </w:r>
      <w:r w:rsidR="00BB001E" w:rsidRPr="00A90B65">
        <w:rPr>
          <w:rFonts w:cstheme="minorHAnsi"/>
        </w:rPr>
        <w:t xml:space="preserve">anleiding hebben </w:t>
      </w:r>
      <w:r w:rsidR="00BB001E" w:rsidRPr="00A90B65">
        <w:rPr>
          <w:rFonts w:cstheme="minorHAnsi"/>
        </w:rPr>
        <w:lastRenderedPageBreak/>
        <w:t>gegeven</w:t>
      </w:r>
      <w:r w:rsidR="00512F61">
        <w:rPr>
          <w:rFonts w:cstheme="minorHAnsi"/>
        </w:rPr>
        <w:t>, maar dat is natuurlijk gepraat met de wijsheid van nu</w:t>
      </w:r>
      <w:r w:rsidR="00BB001E" w:rsidRPr="00A90B65">
        <w:rPr>
          <w:rFonts w:cstheme="minorHAnsi"/>
        </w:rPr>
        <w:t xml:space="preserve">. </w:t>
      </w:r>
      <w:r w:rsidR="00A43753" w:rsidRPr="00A90B65">
        <w:rPr>
          <w:rFonts w:cstheme="minorHAnsi"/>
        </w:rPr>
        <w:t>Wanneer dat</w:t>
      </w:r>
      <w:r w:rsidR="005043D4" w:rsidRPr="00A90B65">
        <w:rPr>
          <w:rFonts w:cstheme="minorHAnsi"/>
        </w:rPr>
        <w:t xml:space="preserve"> publiek</w:t>
      </w:r>
      <w:r w:rsidR="00BB001E" w:rsidRPr="00A90B65">
        <w:rPr>
          <w:rFonts w:cstheme="minorHAnsi"/>
        </w:rPr>
        <w:t>e</w:t>
      </w:r>
      <w:r w:rsidR="005043D4" w:rsidRPr="00A90B65">
        <w:rPr>
          <w:rFonts w:cstheme="minorHAnsi"/>
        </w:rPr>
        <w:t xml:space="preserve"> tumult over een uitspr</w:t>
      </w:r>
      <w:r w:rsidR="00BB001E" w:rsidRPr="00A90B65">
        <w:rPr>
          <w:rFonts w:cstheme="minorHAnsi"/>
        </w:rPr>
        <w:t>aak er</w:t>
      </w:r>
      <w:r w:rsidR="00A43753" w:rsidRPr="00A90B65">
        <w:rPr>
          <w:rFonts w:cstheme="minorHAnsi"/>
        </w:rPr>
        <w:t xml:space="preserve"> eenmaal</w:t>
      </w:r>
      <w:r w:rsidR="00BB001E" w:rsidRPr="00A90B65">
        <w:rPr>
          <w:rFonts w:cstheme="minorHAnsi"/>
        </w:rPr>
        <w:t xml:space="preserve"> is,</w:t>
      </w:r>
      <w:r w:rsidR="00512F61">
        <w:rPr>
          <w:rFonts w:cstheme="minorHAnsi"/>
        </w:rPr>
        <w:t xml:space="preserve"> dan</w:t>
      </w:r>
      <w:r w:rsidR="00BB001E" w:rsidRPr="00A90B65">
        <w:rPr>
          <w:rFonts w:cstheme="minorHAnsi"/>
        </w:rPr>
        <w:t xml:space="preserve"> is het voor politici ook heel moeilijk om zich met de nuance van een ingewijd jurist te uiten</w:t>
      </w:r>
      <w:r w:rsidR="00A43753" w:rsidRPr="00A90B65">
        <w:rPr>
          <w:rFonts w:cstheme="minorHAnsi"/>
        </w:rPr>
        <w:t xml:space="preserve">. Zo </w:t>
      </w:r>
      <w:r w:rsidR="00512F61">
        <w:rPr>
          <w:rFonts w:cstheme="minorHAnsi"/>
        </w:rPr>
        <w:t>begrijp</w:t>
      </w:r>
      <w:r w:rsidR="00A43753" w:rsidRPr="00A90B65">
        <w:rPr>
          <w:rFonts w:cstheme="minorHAnsi"/>
        </w:rPr>
        <w:t xml:space="preserve"> ik de uitspraken van de (voormalig) </w:t>
      </w:r>
      <w:r w:rsidR="004919E4" w:rsidRPr="00A90B65">
        <w:rPr>
          <w:rFonts w:cstheme="minorHAnsi"/>
        </w:rPr>
        <w:t>Britse p</w:t>
      </w:r>
      <w:r w:rsidR="00BB001E" w:rsidRPr="00A90B65">
        <w:rPr>
          <w:rFonts w:cstheme="minorHAnsi"/>
        </w:rPr>
        <w:t xml:space="preserve">remier, zoals </w:t>
      </w:r>
      <w:r w:rsidR="00B0434A">
        <w:rPr>
          <w:rFonts w:cstheme="minorHAnsi"/>
        </w:rPr>
        <w:t>jullie</w:t>
      </w:r>
      <w:r w:rsidR="00BB001E" w:rsidRPr="00A90B65">
        <w:rPr>
          <w:rFonts w:cstheme="minorHAnsi"/>
        </w:rPr>
        <w:t xml:space="preserve"> </w:t>
      </w:r>
      <w:r w:rsidR="00796D85">
        <w:rPr>
          <w:rFonts w:cstheme="minorHAnsi"/>
        </w:rPr>
        <w:t>die</w:t>
      </w:r>
      <w:r w:rsidR="00BB001E" w:rsidRPr="00A90B65">
        <w:rPr>
          <w:rFonts w:cstheme="minorHAnsi"/>
        </w:rPr>
        <w:t xml:space="preserve"> citeerde</w:t>
      </w:r>
      <w:r w:rsidR="00796D85">
        <w:rPr>
          <w:rFonts w:cstheme="minorHAnsi"/>
        </w:rPr>
        <w:t>n</w:t>
      </w:r>
      <w:r w:rsidR="00BB001E" w:rsidRPr="00A90B65">
        <w:rPr>
          <w:rFonts w:cstheme="minorHAnsi"/>
        </w:rPr>
        <w:t>.</w:t>
      </w:r>
    </w:p>
    <w:p w14:paraId="454B1AD8" w14:textId="77777777" w:rsidR="00BB001E" w:rsidRPr="00A80264" w:rsidRDefault="0015203A" w:rsidP="00A80264">
      <w:pPr>
        <w:pStyle w:val="Geenafstand"/>
        <w:jc w:val="both"/>
        <w:rPr>
          <w:i/>
        </w:rPr>
      </w:pPr>
      <w:r w:rsidRPr="00A80264">
        <w:rPr>
          <w:i/>
        </w:rPr>
        <w:t xml:space="preserve">Na de uitspraak in de zaak Hirst is een </w:t>
      </w:r>
      <w:r w:rsidR="00BB001E" w:rsidRPr="00A80264">
        <w:rPr>
          <w:i/>
        </w:rPr>
        <w:t>pilot</w:t>
      </w:r>
      <w:r w:rsidRPr="00A80264">
        <w:rPr>
          <w:i/>
        </w:rPr>
        <w:t>procedure gestart inzake het kiesrecht voor gedetineerden</w:t>
      </w:r>
      <w:r w:rsidR="00BB001E" w:rsidRPr="00A80264">
        <w:rPr>
          <w:i/>
        </w:rPr>
        <w:t>.</w:t>
      </w:r>
      <w:r w:rsidRPr="00A80264">
        <w:rPr>
          <w:rStyle w:val="Voetnootmarkering"/>
          <w:rFonts w:cstheme="minorHAnsi"/>
          <w:b/>
          <w:i/>
        </w:rPr>
        <w:footnoteReference w:id="5"/>
      </w:r>
      <w:r w:rsidR="00BB001E" w:rsidRPr="00A80264">
        <w:rPr>
          <w:i/>
        </w:rPr>
        <w:t xml:space="preserve"> </w:t>
      </w:r>
      <w:r w:rsidRPr="00A80264">
        <w:rPr>
          <w:i/>
        </w:rPr>
        <w:t xml:space="preserve">Kan </w:t>
      </w:r>
      <w:r w:rsidR="00D8263B" w:rsidRPr="00A80264">
        <w:rPr>
          <w:i/>
        </w:rPr>
        <w:t>zo’n procedure</w:t>
      </w:r>
      <w:r w:rsidRPr="00A80264">
        <w:rPr>
          <w:i/>
        </w:rPr>
        <w:t xml:space="preserve"> beschouwd worden als een vorm van dialoog?</w:t>
      </w:r>
    </w:p>
    <w:p w14:paraId="6D51B432" w14:textId="77777777" w:rsidR="00EF09C9" w:rsidRPr="00A80264" w:rsidRDefault="00EF09C9" w:rsidP="00A80264">
      <w:pPr>
        <w:pStyle w:val="Geenafstand"/>
        <w:jc w:val="both"/>
      </w:pPr>
    </w:p>
    <w:p w14:paraId="727AD94C" w14:textId="5AA3594B" w:rsidR="00EF09C9" w:rsidRPr="00DC6EE1" w:rsidRDefault="00BB001E" w:rsidP="00A80264">
      <w:pPr>
        <w:pStyle w:val="Geenafstand"/>
        <w:jc w:val="both"/>
        <w:rPr>
          <w:b/>
        </w:rPr>
      </w:pPr>
      <w:r w:rsidRPr="009B6DCF">
        <w:t>Er is na d</w:t>
      </w:r>
      <w:r w:rsidRPr="00B01C64">
        <w:t xml:space="preserve">e </w:t>
      </w:r>
      <w:r w:rsidRPr="00A80264">
        <w:rPr>
          <w:i/>
        </w:rPr>
        <w:t>Hirst</w:t>
      </w:r>
      <w:r w:rsidR="00D8263B" w:rsidRPr="00EF09C9">
        <w:t>-</w:t>
      </w:r>
      <w:r w:rsidRPr="00EF09C9">
        <w:t xml:space="preserve">uitspraak een </w:t>
      </w:r>
      <w:r w:rsidR="00D8263B" w:rsidRPr="00EF09C9">
        <w:t>vervolg</w:t>
      </w:r>
      <w:r w:rsidRPr="00DC6EE1">
        <w:t>uitspraak geweest</w:t>
      </w:r>
      <w:r w:rsidR="00D8263B" w:rsidRPr="00DC6EE1">
        <w:t xml:space="preserve"> in de vorm van een pilotuit</w:t>
      </w:r>
      <w:r w:rsidR="00D8263B" w:rsidRPr="00626EB7">
        <w:t>spraak</w:t>
      </w:r>
      <w:r w:rsidR="004919E4" w:rsidRPr="00EF09C9">
        <w:t>,</w:t>
      </w:r>
      <w:r w:rsidRPr="00EF09C9">
        <w:t xml:space="preserve"> waarin al een nuance zat</w:t>
      </w:r>
      <w:r w:rsidR="004919E4" w:rsidRPr="00EF09C9">
        <w:t>,</w:t>
      </w:r>
      <w:r w:rsidRPr="00EF09C9">
        <w:t xml:space="preserve"> </w:t>
      </w:r>
      <w:r w:rsidR="008D1360" w:rsidRPr="00DC6EE1">
        <w:t xml:space="preserve">die volgens sommigen te kwalificeren was als een </w:t>
      </w:r>
      <w:r w:rsidR="008D1360" w:rsidRPr="009B6DCF">
        <w:t xml:space="preserve">als een </w:t>
      </w:r>
      <w:r w:rsidRPr="00B01C64">
        <w:t>terugtrekkende beweging</w:t>
      </w:r>
      <w:r w:rsidR="00D8263B" w:rsidRPr="00B01C64">
        <w:t xml:space="preserve">. </w:t>
      </w:r>
      <w:r w:rsidR="008D1360" w:rsidRPr="000437DB">
        <w:t>Ik</w:t>
      </w:r>
      <w:r w:rsidRPr="000437DB">
        <w:t xml:space="preserve"> denk dat je </w:t>
      </w:r>
      <w:r w:rsidR="008D1360" w:rsidRPr="000437DB">
        <w:t>die</w:t>
      </w:r>
      <w:r w:rsidR="00D8263B" w:rsidRPr="000437DB">
        <w:t xml:space="preserve"> </w:t>
      </w:r>
      <w:r w:rsidR="008D1360" w:rsidRPr="000437DB">
        <w:t xml:space="preserve">niet op zo’n manier moet lezen. </w:t>
      </w:r>
      <w:r w:rsidRPr="00EF09C9">
        <w:t>Die vervolg</w:t>
      </w:r>
      <w:r w:rsidR="008D1360" w:rsidRPr="00DC6EE1">
        <w:t>p</w:t>
      </w:r>
      <w:r w:rsidRPr="00626EB7">
        <w:t>ilot</w:t>
      </w:r>
      <w:r w:rsidR="00D8263B" w:rsidRPr="009B6DCF">
        <w:t>uitspraken</w:t>
      </w:r>
      <w:r w:rsidRPr="00B01C64">
        <w:t xml:space="preserve"> hadden te maken met het feit dat er een enorme </w:t>
      </w:r>
      <w:r w:rsidR="008D1360" w:rsidRPr="000437DB">
        <w:t xml:space="preserve">toestroom van zaken bij het </w:t>
      </w:r>
      <w:r w:rsidR="007724AF">
        <w:t>Hof</w:t>
      </w:r>
      <w:r w:rsidR="008D1360" w:rsidRPr="000437DB">
        <w:t xml:space="preserve"> w</w:t>
      </w:r>
      <w:r w:rsidR="00D8263B" w:rsidRPr="000437DB">
        <w:t>a</w:t>
      </w:r>
      <w:r w:rsidR="008D1360" w:rsidRPr="000437DB">
        <w:t xml:space="preserve">s. </w:t>
      </w:r>
      <w:r w:rsidR="00D8263B" w:rsidRPr="000437DB">
        <w:t>I</w:t>
      </w:r>
      <w:r w:rsidR="008D1360" w:rsidRPr="000437DB">
        <w:t>k heb ooit de</w:t>
      </w:r>
      <w:r w:rsidRPr="000437DB">
        <w:t xml:space="preserve"> huidige burgemeester van Londen </w:t>
      </w:r>
      <w:r w:rsidR="00512F61">
        <w:t xml:space="preserve">(geen conservatief en geen vijand van stemrecht voor gevangenen) </w:t>
      </w:r>
      <w:r w:rsidRPr="000437DB">
        <w:t xml:space="preserve">horen zeggen </w:t>
      </w:r>
      <w:r w:rsidR="008D1360" w:rsidRPr="000437DB">
        <w:t xml:space="preserve">dat hij in al zijn </w:t>
      </w:r>
      <w:r w:rsidRPr="000437DB">
        <w:t xml:space="preserve">jaren als advocaat </w:t>
      </w:r>
      <w:r w:rsidR="008D1360" w:rsidRPr="000437DB">
        <w:t>eigenlijk nooit een gevangene had gezien die interesse had in zijn stemrecht, maar dat terzijde. Nu de gedetineerden in grote</w:t>
      </w:r>
      <w:r w:rsidR="00ED77CD">
        <w:t>n</w:t>
      </w:r>
      <w:r w:rsidR="008D1360" w:rsidRPr="000437DB">
        <w:t xml:space="preserve"> getale naar het </w:t>
      </w:r>
      <w:r w:rsidR="007724AF">
        <w:t>Hof</w:t>
      </w:r>
      <w:r w:rsidR="008D1360" w:rsidRPr="000437DB">
        <w:t xml:space="preserve"> kwamen heeft het </w:t>
      </w:r>
      <w:r w:rsidR="007724AF">
        <w:t>Hof</w:t>
      </w:r>
      <w:r w:rsidR="008D1360" w:rsidRPr="000437DB">
        <w:t xml:space="preserve"> gezegd: die </w:t>
      </w:r>
      <w:r w:rsidR="00D8263B" w:rsidRPr="000437DB">
        <w:t>eerste</w:t>
      </w:r>
      <w:r w:rsidR="009603E4">
        <w:t xml:space="preserve"> klager</w:t>
      </w:r>
      <w:r w:rsidR="008D1360" w:rsidRPr="000437DB">
        <w:t xml:space="preserve">, Hirst met zijn advocaat, die heeft </w:t>
      </w:r>
      <w:r w:rsidRPr="000437DB">
        <w:t>uitgebreid onderzoek gedaan en de zaak aan de orde gebracht</w:t>
      </w:r>
      <w:r w:rsidR="004919E4" w:rsidRPr="000437DB">
        <w:t>,</w:t>
      </w:r>
      <w:r w:rsidRPr="000437DB">
        <w:t xml:space="preserve"> dus het is logisch dat daar een ruimhartige compensatie voor </w:t>
      </w:r>
      <w:r w:rsidR="008D1360" w:rsidRPr="000437DB">
        <w:t xml:space="preserve">de gemaakte </w:t>
      </w:r>
      <w:r w:rsidRPr="000437DB">
        <w:t>kosten tegenover</w:t>
      </w:r>
      <w:r w:rsidR="008D1360" w:rsidRPr="000437DB">
        <w:t xml:space="preserve"> </w:t>
      </w:r>
      <w:r w:rsidRPr="000437DB">
        <w:t>stond.</w:t>
      </w:r>
      <w:r w:rsidR="008D1360" w:rsidRPr="000437DB">
        <w:t xml:space="preserve"> Voor d</w:t>
      </w:r>
      <w:r w:rsidR="00E8238D" w:rsidRPr="000437DB">
        <w:t>e</w:t>
      </w:r>
      <w:r w:rsidR="008D1360" w:rsidRPr="000437DB">
        <w:t xml:space="preserve"> gelijkluidende bezwaren, daar heb je </w:t>
      </w:r>
      <w:r w:rsidRPr="000437DB">
        <w:t>niet veel werk voor hoeven doen, de kwestie is klaar. De kwesti</w:t>
      </w:r>
      <w:r w:rsidR="001854C1" w:rsidRPr="000437DB">
        <w:t xml:space="preserve">e ligt </w:t>
      </w:r>
      <w:r w:rsidR="008D1360" w:rsidRPr="000437DB">
        <w:t xml:space="preserve">nu </w:t>
      </w:r>
      <w:r w:rsidR="001854C1" w:rsidRPr="000437DB">
        <w:t xml:space="preserve">in feite voor </w:t>
      </w:r>
      <w:r w:rsidR="00E8238D" w:rsidRPr="000437DB">
        <w:t xml:space="preserve">bij </w:t>
      </w:r>
      <w:r w:rsidR="001854C1" w:rsidRPr="000437DB">
        <w:t>het C</w:t>
      </w:r>
      <w:r w:rsidRPr="000437DB">
        <w:t xml:space="preserve">omité van </w:t>
      </w:r>
      <w:r w:rsidR="001854C1" w:rsidRPr="000437DB">
        <w:t>M</w:t>
      </w:r>
      <w:r w:rsidRPr="000437DB">
        <w:t>inisters</w:t>
      </w:r>
      <w:r w:rsidR="00ED77CD">
        <w:t>,</w:t>
      </w:r>
      <w:r w:rsidRPr="000437DB">
        <w:t xml:space="preserve"> </w:t>
      </w:r>
      <w:r w:rsidR="00E8238D" w:rsidRPr="000437DB">
        <w:t xml:space="preserve">zodat </w:t>
      </w:r>
      <w:r w:rsidR="00ED77CD">
        <w:t>dat</w:t>
      </w:r>
      <w:r w:rsidR="00ED77CD" w:rsidRPr="000437DB">
        <w:t xml:space="preserve"> </w:t>
      </w:r>
      <w:r w:rsidR="00E8238D" w:rsidRPr="000437DB">
        <w:t>kan</w:t>
      </w:r>
      <w:r w:rsidRPr="000437DB">
        <w:t xml:space="preserve"> beoordelen hoe de sta</w:t>
      </w:r>
      <w:r w:rsidR="00E8238D" w:rsidRPr="000437DB">
        <w:t>a</w:t>
      </w:r>
      <w:r w:rsidRPr="000437DB">
        <w:t xml:space="preserve">t </w:t>
      </w:r>
      <w:r w:rsidR="008D1360" w:rsidRPr="000437DB">
        <w:t xml:space="preserve">eraan </w:t>
      </w:r>
      <w:r w:rsidRPr="000437DB">
        <w:t xml:space="preserve">gevolg </w:t>
      </w:r>
      <w:r w:rsidR="00ED77CD">
        <w:t>geeft</w:t>
      </w:r>
      <w:r w:rsidR="00E8238D" w:rsidRPr="000437DB">
        <w:t xml:space="preserve">. De nieuwe zaken </w:t>
      </w:r>
      <w:r w:rsidRPr="000437DB">
        <w:t>leiden</w:t>
      </w:r>
      <w:r w:rsidR="00E8238D" w:rsidRPr="000437DB">
        <w:t xml:space="preserve"> dus</w:t>
      </w:r>
      <w:r w:rsidRPr="000437DB">
        <w:t xml:space="preserve"> niet </w:t>
      </w:r>
      <w:r w:rsidR="00E8238D" w:rsidRPr="000437DB">
        <w:t xml:space="preserve">tot het </w:t>
      </w:r>
      <w:r w:rsidRPr="000437DB">
        <w:t xml:space="preserve">toekennen van compensatie. </w:t>
      </w:r>
      <w:r w:rsidRPr="00EF09C9">
        <w:t>Daarmee is nu ook een eind gekomen aan de toeloop van gevangenen die zich beklagen over het niet hard kunnen maken van hun stemrecht. Ondertus</w:t>
      </w:r>
      <w:r w:rsidR="001854C1" w:rsidRPr="00EF09C9">
        <w:t>sen is het politieke proces in Engeland gaande</w:t>
      </w:r>
      <w:r w:rsidR="008152F4">
        <w:t xml:space="preserve"> en</w:t>
      </w:r>
      <w:r w:rsidR="001854C1" w:rsidRPr="00EF09C9">
        <w:t xml:space="preserve"> is er een </w:t>
      </w:r>
      <w:r w:rsidR="00E8238D" w:rsidRPr="00EF09C9">
        <w:rPr>
          <w:i/>
        </w:rPr>
        <w:t>j</w:t>
      </w:r>
      <w:r w:rsidRPr="00A80264">
        <w:rPr>
          <w:i/>
        </w:rPr>
        <w:t>oint</w:t>
      </w:r>
      <w:r w:rsidR="001854C1" w:rsidRPr="00A80264">
        <w:rPr>
          <w:i/>
        </w:rPr>
        <w:t xml:space="preserve"> </w:t>
      </w:r>
      <w:r w:rsidR="00E8238D" w:rsidRPr="00EF09C9">
        <w:rPr>
          <w:i/>
        </w:rPr>
        <w:t>co</w:t>
      </w:r>
      <w:r w:rsidR="00E8238D" w:rsidRPr="00A80264">
        <w:rPr>
          <w:i/>
        </w:rPr>
        <w:t xml:space="preserve">mmittee </w:t>
      </w:r>
      <w:r w:rsidRPr="00EF09C9">
        <w:t>geweest van het</w:t>
      </w:r>
      <w:r w:rsidRPr="00A80264">
        <w:rPr>
          <w:i/>
        </w:rPr>
        <w:t xml:space="preserve"> </w:t>
      </w:r>
      <w:r w:rsidR="00E8238D" w:rsidRPr="00EF09C9">
        <w:t>parlement</w:t>
      </w:r>
      <w:r w:rsidR="001854C1" w:rsidRPr="00EF09C9">
        <w:t>,</w:t>
      </w:r>
      <w:r w:rsidRPr="00DC6EE1">
        <w:t xml:space="preserve"> die een </w:t>
      </w:r>
      <w:r w:rsidR="00E8238D" w:rsidRPr="00DC6EE1">
        <w:t>wets</w:t>
      </w:r>
      <w:r w:rsidRPr="00626EB7">
        <w:t>voorstel heeft beoordeeld</w:t>
      </w:r>
      <w:r w:rsidRPr="00EF09C9">
        <w:t>.</w:t>
      </w:r>
      <w:r w:rsidR="000F22D2">
        <w:rPr>
          <w:rStyle w:val="Voetnootmarkering"/>
        </w:rPr>
        <w:footnoteReference w:id="6"/>
      </w:r>
      <w:r w:rsidRPr="00EF09C9">
        <w:t xml:space="preserve"> Men is er nog niet uit</w:t>
      </w:r>
      <w:r w:rsidR="00E8238D" w:rsidRPr="00EF09C9">
        <w:t xml:space="preserve">; </w:t>
      </w:r>
      <w:r w:rsidRPr="00EF09C9">
        <w:t>dat duurt vrij lang</w:t>
      </w:r>
      <w:r w:rsidR="001854C1" w:rsidRPr="00DC6EE1">
        <w:t xml:space="preserve">. Zoals </w:t>
      </w:r>
      <w:r w:rsidR="00B0434A">
        <w:t>j</w:t>
      </w:r>
      <w:r w:rsidR="001854C1" w:rsidRPr="00DC6EE1">
        <w:t>u</w:t>
      </w:r>
      <w:r w:rsidR="00B0434A">
        <w:t xml:space="preserve">llie </w:t>
      </w:r>
      <w:r w:rsidR="001854C1" w:rsidRPr="00DC6EE1">
        <w:t>misschien we</w:t>
      </w:r>
      <w:r w:rsidR="00B0434A">
        <w:t>l w</w:t>
      </w:r>
      <w:r w:rsidR="001854C1" w:rsidRPr="00DC6EE1">
        <w:t>et</w:t>
      </w:r>
      <w:r w:rsidR="00B0434A">
        <w:t>en</w:t>
      </w:r>
      <w:r w:rsidR="001854C1" w:rsidRPr="00DC6EE1">
        <w:t xml:space="preserve">, </w:t>
      </w:r>
      <w:r w:rsidR="008102F1" w:rsidRPr="000437DB">
        <w:t xml:space="preserve">zijn er veel uitspraken die heel lang op een behoorlijke tenuitvoerlegging wachten, </w:t>
      </w:r>
      <w:r w:rsidR="009603E4">
        <w:t xml:space="preserve">overigens </w:t>
      </w:r>
      <w:r w:rsidR="008102F1" w:rsidRPr="000437DB">
        <w:t xml:space="preserve">vooral wat betreft de algemene effecten van een uitspraak. </w:t>
      </w:r>
    </w:p>
    <w:p w14:paraId="6DEF319E" w14:textId="77777777" w:rsidR="00EF09C9" w:rsidRDefault="00EF09C9" w:rsidP="00A80264">
      <w:pPr>
        <w:pStyle w:val="Geenafstand"/>
        <w:jc w:val="both"/>
        <w:rPr>
          <w:b/>
        </w:rPr>
      </w:pPr>
    </w:p>
    <w:p w14:paraId="0C4F61BA" w14:textId="08BAFBE8" w:rsidR="00EF09C9" w:rsidRDefault="008152F4" w:rsidP="00A80264">
      <w:pPr>
        <w:pStyle w:val="Geenafstand"/>
        <w:jc w:val="both"/>
      </w:pPr>
      <w:r>
        <w:rPr>
          <w:rFonts w:cstheme="minorHAnsi"/>
          <w:i/>
        </w:rPr>
        <w:t xml:space="preserve">Wij </w:t>
      </w:r>
      <w:r w:rsidR="008102F1" w:rsidRPr="00A80264">
        <w:rPr>
          <w:rFonts w:cstheme="minorHAnsi"/>
          <w:i/>
        </w:rPr>
        <w:t>wil</w:t>
      </w:r>
      <w:r>
        <w:rPr>
          <w:rFonts w:cstheme="minorHAnsi"/>
          <w:i/>
        </w:rPr>
        <w:t>len</w:t>
      </w:r>
      <w:r w:rsidR="008102F1" w:rsidRPr="00A80264">
        <w:rPr>
          <w:rFonts w:cstheme="minorHAnsi"/>
          <w:i/>
        </w:rPr>
        <w:t xml:space="preserve"> nog heel even aanhaken bij die dialoog met nationale rechters. </w:t>
      </w:r>
      <w:r w:rsidR="00B0434A">
        <w:rPr>
          <w:rFonts w:cstheme="minorHAnsi"/>
          <w:i/>
        </w:rPr>
        <w:t>In</w:t>
      </w:r>
      <w:r w:rsidR="001854C1" w:rsidRPr="00A80264">
        <w:rPr>
          <w:rFonts w:cstheme="minorHAnsi"/>
          <w:i/>
        </w:rPr>
        <w:t xml:space="preserve"> </w:t>
      </w:r>
      <w:r w:rsidR="00ED77CD">
        <w:rPr>
          <w:rFonts w:cstheme="minorHAnsi"/>
          <w:i/>
        </w:rPr>
        <w:t xml:space="preserve">een recent </w:t>
      </w:r>
      <w:r w:rsidR="001854C1" w:rsidRPr="00A80264">
        <w:rPr>
          <w:rFonts w:cstheme="minorHAnsi"/>
          <w:i/>
        </w:rPr>
        <w:t>rapport van de CD</w:t>
      </w:r>
      <w:r w:rsidR="008102F1" w:rsidRPr="00A80264">
        <w:rPr>
          <w:rFonts w:cstheme="minorHAnsi"/>
          <w:i/>
        </w:rPr>
        <w:t xml:space="preserve">DH wordt gesteld dat </w:t>
      </w:r>
      <w:r w:rsidR="00C6712C" w:rsidRPr="00A80264">
        <w:rPr>
          <w:rFonts w:cstheme="minorHAnsi"/>
          <w:i/>
        </w:rPr>
        <w:t>deze rechterlijke dialoog</w:t>
      </w:r>
      <w:r w:rsidR="00E8238D" w:rsidRPr="00A80264">
        <w:rPr>
          <w:rFonts w:cstheme="minorHAnsi"/>
          <w:i/>
        </w:rPr>
        <w:t xml:space="preserve"> </w:t>
      </w:r>
      <w:r w:rsidR="00ED77CD">
        <w:rPr>
          <w:rFonts w:cstheme="minorHAnsi"/>
          <w:i/>
        </w:rPr>
        <w:t>versterkt</w:t>
      </w:r>
      <w:r w:rsidR="00ED77CD" w:rsidRPr="00A80264">
        <w:rPr>
          <w:rFonts w:cstheme="minorHAnsi"/>
          <w:i/>
        </w:rPr>
        <w:t xml:space="preserve"> </w:t>
      </w:r>
      <w:r w:rsidR="008102F1" w:rsidRPr="00A80264">
        <w:rPr>
          <w:rFonts w:cstheme="minorHAnsi"/>
          <w:i/>
        </w:rPr>
        <w:t>moet worden.</w:t>
      </w:r>
      <w:r w:rsidR="00C6712C" w:rsidRPr="00A80264">
        <w:rPr>
          <w:rStyle w:val="Voetnootmarkering"/>
          <w:rFonts w:cstheme="minorHAnsi"/>
          <w:i/>
        </w:rPr>
        <w:footnoteReference w:id="7"/>
      </w:r>
      <w:r w:rsidR="008102F1" w:rsidRPr="00A80264">
        <w:rPr>
          <w:rFonts w:cstheme="minorHAnsi"/>
          <w:i/>
        </w:rPr>
        <w:t xml:space="preserve"> Het C</w:t>
      </w:r>
      <w:r w:rsidR="001854C1" w:rsidRPr="00A80264">
        <w:rPr>
          <w:rFonts w:cstheme="minorHAnsi"/>
          <w:i/>
        </w:rPr>
        <w:t>D</w:t>
      </w:r>
      <w:r w:rsidR="008102F1" w:rsidRPr="00A80264">
        <w:rPr>
          <w:rFonts w:cstheme="minorHAnsi"/>
          <w:i/>
        </w:rPr>
        <w:t xml:space="preserve">DH zegt </w:t>
      </w:r>
      <w:r w:rsidR="00ED77CD">
        <w:rPr>
          <w:rFonts w:cstheme="minorHAnsi"/>
          <w:i/>
        </w:rPr>
        <w:t>meer specifiek</w:t>
      </w:r>
      <w:r w:rsidR="00ED77CD" w:rsidRPr="00A80264">
        <w:rPr>
          <w:rFonts w:cstheme="minorHAnsi"/>
          <w:i/>
        </w:rPr>
        <w:t xml:space="preserve"> </w:t>
      </w:r>
      <w:r w:rsidR="008102F1" w:rsidRPr="00A80264">
        <w:rPr>
          <w:rFonts w:cstheme="minorHAnsi"/>
          <w:i/>
        </w:rPr>
        <w:t xml:space="preserve">dat het </w:t>
      </w:r>
      <w:r w:rsidR="007724AF">
        <w:rPr>
          <w:rFonts w:cstheme="minorHAnsi"/>
          <w:i/>
        </w:rPr>
        <w:t>Hof</w:t>
      </w:r>
      <w:r w:rsidR="008102F1" w:rsidRPr="00A80264">
        <w:rPr>
          <w:rFonts w:cstheme="minorHAnsi"/>
          <w:i/>
        </w:rPr>
        <w:t xml:space="preserve"> nadrukkelijker aandacht moet besteden aan </w:t>
      </w:r>
      <w:r w:rsidR="00C6712C" w:rsidRPr="00A80264">
        <w:rPr>
          <w:rFonts w:cstheme="minorHAnsi"/>
          <w:i/>
        </w:rPr>
        <w:t xml:space="preserve">de </w:t>
      </w:r>
      <w:r w:rsidR="008102F1" w:rsidRPr="00A80264">
        <w:rPr>
          <w:rFonts w:cstheme="minorHAnsi"/>
          <w:i/>
        </w:rPr>
        <w:t>interpretatie van het EVRM door nationale rechters</w:t>
      </w:r>
      <w:r w:rsidR="00C6712C" w:rsidRPr="00A80264">
        <w:rPr>
          <w:rFonts w:cstheme="minorHAnsi"/>
          <w:i/>
        </w:rPr>
        <w:t xml:space="preserve"> ter bevordering van deze </w:t>
      </w:r>
      <w:r w:rsidR="008102F1" w:rsidRPr="00A80264">
        <w:rPr>
          <w:rFonts w:cstheme="minorHAnsi"/>
          <w:i/>
        </w:rPr>
        <w:t xml:space="preserve">dialoog. In hoeverre bent u van mening dat het </w:t>
      </w:r>
      <w:r w:rsidR="007724AF">
        <w:rPr>
          <w:rFonts w:cstheme="minorHAnsi"/>
          <w:i/>
        </w:rPr>
        <w:t>Hof</w:t>
      </w:r>
      <w:r w:rsidR="008102F1" w:rsidRPr="00A80264">
        <w:rPr>
          <w:rFonts w:cstheme="minorHAnsi"/>
          <w:i/>
        </w:rPr>
        <w:t xml:space="preserve"> dit inderdaad onvoldoende doet</w:t>
      </w:r>
      <w:r w:rsidR="001854C1" w:rsidRPr="00A80264">
        <w:rPr>
          <w:rFonts w:cstheme="minorHAnsi"/>
          <w:i/>
        </w:rPr>
        <w:t xml:space="preserve"> en dus meer zou moeten doen</w:t>
      </w:r>
      <w:r w:rsidR="008102F1" w:rsidRPr="00A80264">
        <w:rPr>
          <w:rFonts w:cstheme="minorHAnsi"/>
          <w:i/>
        </w:rPr>
        <w:t>? Zijn er nog andere methoden</w:t>
      </w:r>
      <w:r w:rsidR="00E8238D" w:rsidRPr="00A80264">
        <w:rPr>
          <w:rFonts w:cstheme="minorHAnsi"/>
          <w:i/>
        </w:rPr>
        <w:t xml:space="preserve"> voor dialoog</w:t>
      </w:r>
      <w:r w:rsidR="008102F1" w:rsidRPr="00A80264">
        <w:rPr>
          <w:rFonts w:cstheme="minorHAnsi"/>
          <w:i/>
        </w:rPr>
        <w:t>?</w:t>
      </w:r>
    </w:p>
    <w:p w14:paraId="5C64E2A0" w14:textId="77777777" w:rsidR="00EF09C9" w:rsidRDefault="00EF09C9" w:rsidP="00A80264">
      <w:pPr>
        <w:pStyle w:val="Geenafstand"/>
        <w:jc w:val="both"/>
      </w:pPr>
    </w:p>
    <w:p w14:paraId="25570DF6" w14:textId="2EB87C99" w:rsidR="008102F1" w:rsidRPr="000437DB" w:rsidRDefault="001854C1" w:rsidP="00A80264">
      <w:pPr>
        <w:pStyle w:val="Geenafstand"/>
        <w:jc w:val="both"/>
      </w:pPr>
      <w:r w:rsidRPr="00DC6EE1">
        <w:t xml:space="preserve">Dat rapport van </w:t>
      </w:r>
      <w:r w:rsidR="00E8238D" w:rsidRPr="00DC6EE1">
        <w:t xml:space="preserve">het </w:t>
      </w:r>
      <w:r w:rsidRPr="00626EB7">
        <w:t>CD</w:t>
      </w:r>
      <w:r w:rsidR="008102F1" w:rsidRPr="009B6DCF">
        <w:t xml:space="preserve">DH </w:t>
      </w:r>
      <w:r w:rsidR="008102F1" w:rsidRPr="00B01C64">
        <w:t xml:space="preserve">gaat over de toekomst van het </w:t>
      </w:r>
      <w:r w:rsidR="008102F1" w:rsidRPr="000437DB">
        <w:t>Hof. De afgelopen jaren is behoorlijk sterk ingezet op het versterken van de dialoog en het creëren van informatienetwerken. Er zijn heel veel bezoeken van nationale delegaties van rechters</w:t>
      </w:r>
      <w:r w:rsidR="00E8238D" w:rsidRPr="000437DB">
        <w:t xml:space="preserve"> </w:t>
      </w:r>
      <w:r w:rsidR="008102F1" w:rsidRPr="000437DB">
        <w:t xml:space="preserve">afgelegd aan het </w:t>
      </w:r>
      <w:r w:rsidR="008152F4">
        <w:t>H</w:t>
      </w:r>
      <w:r w:rsidR="008102F1" w:rsidRPr="000437DB">
        <w:t>of</w:t>
      </w:r>
      <w:r w:rsidR="00C6712C" w:rsidRPr="00EF09C9">
        <w:t xml:space="preserve">. </w:t>
      </w:r>
      <w:r w:rsidR="00C6712C" w:rsidRPr="00DC6EE1">
        <w:t>E</w:t>
      </w:r>
      <w:r w:rsidR="008102F1" w:rsidRPr="00DC6EE1">
        <w:t>r zijn ook bezoeken</w:t>
      </w:r>
      <w:r w:rsidRPr="00626EB7">
        <w:t xml:space="preserve"> gebracht, </w:t>
      </w:r>
      <w:r w:rsidR="008102F1" w:rsidRPr="009B6DCF">
        <w:t xml:space="preserve">waarin geprobeerd is om die dialoog op gang te brengen. Dus daar wordt sterk op ingezet. </w:t>
      </w:r>
      <w:r w:rsidRPr="009B6DCF">
        <w:t xml:space="preserve">Dat is iets van de laatste </w:t>
      </w:r>
      <w:r w:rsidR="009603E4">
        <w:t>drie</w:t>
      </w:r>
      <w:r w:rsidRPr="009B6DCF">
        <w:t xml:space="preserve">, </w:t>
      </w:r>
      <w:r w:rsidR="009603E4">
        <w:t>vier</w:t>
      </w:r>
      <w:r w:rsidR="008102F1" w:rsidRPr="00B01C64">
        <w:t xml:space="preserve"> jaar, denk ik. Daarvoor was dat element </w:t>
      </w:r>
      <w:r w:rsidR="009603E4">
        <w:t xml:space="preserve">in ieder geval </w:t>
      </w:r>
      <w:r w:rsidR="008102F1" w:rsidRPr="00B01C64">
        <w:t>minder</w:t>
      </w:r>
      <w:r w:rsidR="009603E4">
        <w:t xml:space="preserve"> zichtbaar</w:t>
      </w:r>
      <w:r w:rsidR="008102F1" w:rsidRPr="00B01C64">
        <w:t xml:space="preserve"> en was de gevoelde noodzaak ook veel minder, omdat men nog niet </w:t>
      </w:r>
      <w:r w:rsidR="00226599">
        <w:t xml:space="preserve">zo sterk </w:t>
      </w:r>
      <w:r w:rsidR="008102F1" w:rsidRPr="00B01C64">
        <w:t xml:space="preserve">de effecten ondervond van de heftige kritiek op het </w:t>
      </w:r>
      <w:r w:rsidR="005D4DAD">
        <w:t>H</w:t>
      </w:r>
      <w:r w:rsidRPr="00B01C64">
        <w:t>of</w:t>
      </w:r>
      <w:r w:rsidRPr="00EF09C9">
        <w:t xml:space="preserve">. Persoonlijk denk ik dat </w:t>
      </w:r>
      <w:r w:rsidR="008102F1" w:rsidRPr="00DC6EE1">
        <w:t>niet alleen met rechterlijk</w:t>
      </w:r>
      <w:r w:rsidRPr="00DC6EE1">
        <w:t>e dialogen kan worden volstaan</w:t>
      </w:r>
      <w:r w:rsidR="00C6712C" w:rsidRPr="00626EB7">
        <w:t xml:space="preserve"> en</w:t>
      </w:r>
      <w:r w:rsidRPr="009B6DCF">
        <w:t xml:space="preserve"> dat er meer nodig is</w:t>
      </w:r>
      <w:r w:rsidR="00ED77CD">
        <w:t>. D</w:t>
      </w:r>
      <w:r w:rsidR="008102F1" w:rsidRPr="009B6DCF">
        <w:t>e aanvaarding va</w:t>
      </w:r>
      <w:r w:rsidRPr="00B01C64">
        <w:t xml:space="preserve">n de rol van het </w:t>
      </w:r>
      <w:r w:rsidR="005D4DAD">
        <w:t>Ho</w:t>
      </w:r>
      <w:r w:rsidRPr="00B01C64">
        <w:t>f in</w:t>
      </w:r>
      <w:r w:rsidR="008102F1" w:rsidRPr="00B01C64">
        <w:t xml:space="preserve"> het geheel van de rechtspleging en in de rechtsstatelijke constructie</w:t>
      </w:r>
      <w:r w:rsidR="008102F1" w:rsidRPr="000437DB">
        <w:t xml:space="preserve"> </w:t>
      </w:r>
      <w:r w:rsidR="00ED77CD">
        <w:t xml:space="preserve">is </w:t>
      </w:r>
      <w:r w:rsidR="008102F1" w:rsidRPr="000437DB">
        <w:t>vrij hoog onder rechters</w:t>
      </w:r>
      <w:r w:rsidRPr="000437DB">
        <w:t>.</w:t>
      </w:r>
      <w:r w:rsidR="008102F1" w:rsidRPr="000437DB">
        <w:t xml:space="preserve"> </w:t>
      </w:r>
      <w:r w:rsidR="00C6712C" w:rsidRPr="000437DB">
        <w:t xml:space="preserve">Hier </w:t>
      </w:r>
      <w:r w:rsidR="008102F1" w:rsidRPr="000437DB">
        <w:t xml:space="preserve">zit </w:t>
      </w:r>
      <w:r w:rsidR="00ED77CD">
        <w:t xml:space="preserve">dus </w:t>
      </w:r>
      <w:r w:rsidR="008102F1" w:rsidRPr="000437DB">
        <w:t>niet het grote probleem. Het grote probleem zit bij de politieke en de algemene maatschappelijke aanvaarding. Het is natuurlijk nodig dat je ten minste onderling vertrouwen hebt tussen rechters, maar er is meer voor nodig om een duurzame, goede rol van het Hof te verzekeren. Dat be</w:t>
      </w:r>
      <w:r w:rsidRPr="000437DB">
        <w:t>sef</w:t>
      </w:r>
      <w:r w:rsidR="009603E4">
        <w:t xml:space="preserve"> is er</w:t>
      </w:r>
      <w:r w:rsidRPr="000437DB">
        <w:t xml:space="preserve"> ook wel degelijk </w:t>
      </w:r>
      <w:r w:rsidR="007963D0">
        <w:t>binnen</w:t>
      </w:r>
      <w:r w:rsidR="007963D0" w:rsidRPr="000437DB">
        <w:t xml:space="preserve"> </w:t>
      </w:r>
      <w:r w:rsidR="008102F1" w:rsidRPr="000437DB">
        <w:lastRenderedPageBreak/>
        <w:t>het Hof, en er wordt</w:t>
      </w:r>
      <w:r w:rsidR="007963D0">
        <w:t>,</w:t>
      </w:r>
      <w:r w:rsidR="008102F1" w:rsidRPr="000437DB">
        <w:t xml:space="preserve"> denk ik</w:t>
      </w:r>
      <w:r w:rsidR="007963D0">
        <w:t>,</w:t>
      </w:r>
      <w:r w:rsidR="008102F1" w:rsidRPr="000437DB">
        <w:t xml:space="preserve"> ook heel veel gedaan om </w:t>
      </w:r>
      <w:r w:rsidR="009603E4">
        <w:t>de</w:t>
      </w:r>
      <w:r w:rsidR="008102F1" w:rsidRPr="000437DB">
        <w:t xml:space="preserve"> </w:t>
      </w:r>
      <w:r w:rsidR="009603E4">
        <w:t xml:space="preserve">zichtbaarheid van de </w:t>
      </w:r>
      <w:r w:rsidR="008102F1" w:rsidRPr="000437DB">
        <w:t>goede rol van h</w:t>
      </w:r>
      <w:r w:rsidRPr="000437DB">
        <w:t>e</w:t>
      </w:r>
      <w:r w:rsidR="008102F1" w:rsidRPr="000437DB">
        <w:t>t Hof te bevorderen. D</w:t>
      </w:r>
      <w:r w:rsidRPr="000437DB">
        <w:t>an kan je natuurlijk zeggen: er is veel kritiek</w:t>
      </w:r>
      <w:r w:rsidR="00C6712C" w:rsidRPr="000437DB">
        <w:t>. A</w:t>
      </w:r>
      <w:r w:rsidR="008102F1" w:rsidRPr="000437DB">
        <w:t xml:space="preserve">ls je naar de Engelse pers kijkt en naar Frankrijk zie je </w:t>
      </w:r>
      <w:r w:rsidR="00C6712C" w:rsidRPr="000437DB">
        <w:t>negatieve</w:t>
      </w:r>
      <w:r w:rsidR="008102F1" w:rsidRPr="000437DB">
        <w:t xml:space="preserve"> berichten, maar er is ook wel heel veel positieve pers over het </w:t>
      </w:r>
      <w:r w:rsidR="0081570B" w:rsidRPr="000437DB">
        <w:t>Hof</w:t>
      </w:r>
      <w:r w:rsidR="008102F1" w:rsidRPr="000437DB">
        <w:t>.</w:t>
      </w:r>
      <w:r w:rsidR="00226599">
        <w:t xml:space="preserve"> V</w:t>
      </w:r>
      <w:r w:rsidR="008102F1" w:rsidRPr="000437DB">
        <w:t>eel zaken worden breed uitgemeten in de krant</w:t>
      </w:r>
      <w:r w:rsidR="00C6712C" w:rsidRPr="000437DB">
        <w:t xml:space="preserve"> en</w:t>
      </w:r>
      <w:r w:rsidR="008102F1" w:rsidRPr="000437DB">
        <w:t xml:space="preserve"> worden vaak als een overwinning beschreven. Dus het</w:t>
      </w:r>
      <w:r w:rsidR="009603E4">
        <w:t xml:space="preserve"> beeld</w:t>
      </w:r>
      <w:r w:rsidR="008102F1" w:rsidRPr="000437DB">
        <w:t xml:space="preserve"> is niet eenzijdig negatief. </w:t>
      </w:r>
    </w:p>
    <w:p w14:paraId="17BF572F" w14:textId="77777777" w:rsidR="00EF09C9" w:rsidRDefault="00EF09C9" w:rsidP="00A80264">
      <w:pPr>
        <w:pStyle w:val="Geenafstand"/>
        <w:jc w:val="both"/>
      </w:pPr>
    </w:p>
    <w:p w14:paraId="22805E1F" w14:textId="7690D79D" w:rsidR="00EF09C9" w:rsidRDefault="008102F1" w:rsidP="00A80264">
      <w:pPr>
        <w:pStyle w:val="Geenafstand"/>
        <w:jc w:val="both"/>
      </w:pPr>
      <w:r w:rsidRPr="00A80264">
        <w:rPr>
          <w:rFonts w:cstheme="minorHAnsi"/>
          <w:i/>
        </w:rPr>
        <w:t>Een van de andere netelige kwesties op nationaal niveau betreft de regeling van levenslange gevangenisstraf</w:t>
      </w:r>
      <w:r w:rsidR="0081570B" w:rsidRPr="00A80264">
        <w:rPr>
          <w:rFonts w:cstheme="minorHAnsi"/>
          <w:i/>
        </w:rPr>
        <w:t>fen</w:t>
      </w:r>
      <w:r w:rsidRPr="00A80264">
        <w:rPr>
          <w:rFonts w:cstheme="minorHAnsi"/>
          <w:i/>
        </w:rPr>
        <w:t xml:space="preserve">. U was betrokken bij de uitspraak in de zaak </w:t>
      </w:r>
      <w:r w:rsidR="001854C1" w:rsidRPr="00A80264">
        <w:rPr>
          <w:rFonts w:cstheme="minorHAnsi"/>
          <w:i/>
        </w:rPr>
        <w:t>V</w:t>
      </w:r>
      <w:r w:rsidRPr="00A80264">
        <w:rPr>
          <w:rFonts w:cstheme="minorHAnsi"/>
          <w:i/>
        </w:rPr>
        <w:t>inter</w:t>
      </w:r>
      <w:r w:rsidR="007963D0">
        <w:rPr>
          <w:rFonts w:cstheme="minorHAnsi"/>
          <w:i/>
        </w:rPr>
        <w:t xml:space="preserve"> tegen het Verenigd Koninkrijk</w:t>
      </w:r>
      <w:r w:rsidR="009434DC" w:rsidRPr="00A80264">
        <w:rPr>
          <w:rFonts w:cstheme="minorHAnsi"/>
          <w:i/>
        </w:rPr>
        <w:t>.</w:t>
      </w:r>
      <w:r w:rsidR="004E3CFD" w:rsidRPr="00A80264">
        <w:rPr>
          <w:rStyle w:val="Voetnootmarkering"/>
          <w:rFonts w:cstheme="minorHAnsi"/>
          <w:i/>
        </w:rPr>
        <w:footnoteReference w:id="8"/>
      </w:r>
      <w:r w:rsidR="002A17ED" w:rsidRPr="00A80264">
        <w:rPr>
          <w:rFonts w:cstheme="minorHAnsi"/>
          <w:i/>
        </w:rPr>
        <w:t xml:space="preserve"> </w:t>
      </w:r>
      <w:r w:rsidR="004E3CFD" w:rsidRPr="00A80264">
        <w:rPr>
          <w:rFonts w:cstheme="minorHAnsi"/>
          <w:i/>
        </w:rPr>
        <w:t xml:space="preserve">Hierin bepaalde het </w:t>
      </w:r>
      <w:r w:rsidR="007724AF">
        <w:rPr>
          <w:rFonts w:cstheme="minorHAnsi"/>
          <w:i/>
        </w:rPr>
        <w:t>Hof</w:t>
      </w:r>
      <w:r w:rsidR="004E3CFD" w:rsidRPr="00A80264">
        <w:rPr>
          <w:rFonts w:cstheme="minorHAnsi"/>
          <w:i/>
        </w:rPr>
        <w:t xml:space="preserve"> dat er ook voor levenslang gestraften altijd een perspectief op invrijheidstelling moet bestaan. </w:t>
      </w:r>
      <w:r w:rsidR="002A17ED" w:rsidRPr="00A80264">
        <w:rPr>
          <w:rFonts w:cstheme="minorHAnsi"/>
          <w:i/>
        </w:rPr>
        <w:t>Waarom is dat belangrijk?</w:t>
      </w:r>
      <w:r w:rsidR="00013C2B" w:rsidRPr="00A80264">
        <w:rPr>
          <w:rFonts w:cstheme="minorHAnsi"/>
          <w:i/>
        </w:rPr>
        <w:t xml:space="preserve"> </w:t>
      </w:r>
    </w:p>
    <w:p w14:paraId="31A7A002" w14:textId="77777777" w:rsidR="00EF09C9" w:rsidRDefault="00EF09C9" w:rsidP="00A80264">
      <w:pPr>
        <w:pStyle w:val="Geenafstand"/>
        <w:jc w:val="both"/>
      </w:pPr>
    </w:p>
    <w:p w14:paraId="06B230EA" w14:textId="56E907CE" w:rsidR="0011066E" w:rsidRDefault="002A17ED" w:rsidP="00A80264">
      <w:pPr>
        <w:pStyle w:val="Geenafstand"/>
        <w:jc w:val="both"/>
      </w:pPr>
      <w:r w:rsidRPr="00DC6EE1">
        <w:t xml:space="preserve">Het </w:t>
      </w:r>
      <w:r w:rsidR="007724AF">
        <w:t>Hof</w:t>
      </w:r>
      <w:r w:rsidRPr="009B6DCF">
        <w:t xml:space="preserve"> heeft gezegd dat</w:t>
      </w:r>
      <w:r w:rsidR="0081570B" w:rsidRPr="009B6DCF">
        <w:t>,</w:t>
      </w:r>
      <w:r w:rsidR="008603B2" w:rsidRPr="00B01C64">
        <w:t xml:space="preserve"> </w:t>
      </w:r>
      <w:r w:rsidR="001854C1" w:rsidRPr="00B01C64">
        <w:t xml:space="preserve">wanneer </w:t>
      </w:r>
      <w:r w:rsidRPr="000437DB">
        <w:t>er geen uitzicht is op de mogelijkheid van vrijlating</w:t>
      </w:r>
      <w:r w:rsidR="0081570B" w:rsidRPr="000437DB">
        <w:t>,</w:t>
      </w:r>
      <w:r w:rsidRPr="000437DB">
        <w:t xml:space="preserve"> de tenuitvoerlegging van een levenslange gevangenisstraf in strijd is met artikel 3 </w:t>
      </w:r>
      <w:r w:rsidR="008603B2" w:rsidRPr="000437DB">
        <w:t xml:space="preserve">EVRM </w:t>
      </w:r>
      <w:r w:rsidRPr="000437DB">
        <w:t xml:space="preserve">en dan een onmenselijk karakter draagt. Dat is een uitspraak die heel geleidelijk aan gegroeid is in de rechtspraak van het Hof. In de zaak </w:t>
      </w:r>
      <w:r w:rsidRPr="00A80264">
        <w:rPr>
          <w:i/>
        </w:rPr>
        <w:t>Kafkaris</w:t>
      </w:r>
      <w:r w:rsidR="00240DC5">
        <w:rPr>
          <w:i/>
        </w:rPr>
        <w:t xml:space="preserve"> tegen Cyprus</w:t>
      </w:r>
      <w:r w:rsidR="003D32AE">
        <w:rPr>
          <w:i/>
        </w:rPr>
        <w:t xml:space="preserve"> </w:t>
      </w:r>
      <w:r w:rsidR="001854C1" w:rsidRPr="00EF09C9">
        <w:t xml:space="preserve">werd dat nog niet zo duidelijk </w:t>
      </w:r>
      <w:r w:rsidRPr="00EF09C9">
        <w:t xml:space="preserve">gezegd, maar werd al wel aangegeven dat het beginsel van verkorting van de straf toch ook bij de levenslange straf </w:t>
      </w:r>
      <w:r w:rsidR="008603B2" w:rsidRPr="00DC6EE1">
        <w:t>gelding heeft</w:t>
      </w:r>
      <w:r w:rsidRPr="00DC6EE1">
        <w:t xml:space="preserve">, en in </w:t>
      </w:r>
      <w:r w:rsidRPr="00A80264">
        <w:rPr>
          <w:i/>
        </w:rPr>
        <w:t>Vinter</w:t>
      </w:r>
      <w:r w:rsidR="00240DC5">
        <w:rPr>
          <w:i/>
        </w:rPr>
        <w:t xml:space="preserve"> tegen het Verenigd Koninkrijk</w:t>
      </w:r>
      <w:r w:rsidRPr="00EF09C9">
        <w:t xml:space="preserve"> heeft het Hof gezegd dat er vanaf het begin </w:t>
      </w:r>
      <w:r w:rsidRPr="00DC6EE1">
        <w:t>af aan dat uitzicht moet zijn op mogelijke vrijlating.</w:t>
      </w:r>
      <w:r w:rsidR="003D32AE" w:rsidRPr="00EF09C9">
        <w:rPr>
          <w:rStyle w:val="Voetnootmarkering"/>
          <w:rFonts w:cstheme="minorHAnsi"/>
        </w:rPr>
        <w:footnoteReference w:id="9"/>
      </w:r>
      <w:r w:rsidR="003D32AE" w:rsidRPr="00EF09C9">
        <w:t xml:space="preserve"> </w:t>
      </w:r>
      <w:r w:rsidR="001854C1" w:rsidRPr="00DC6EE1">
        <w:t>In</w:t>
      </w:r>
      <w:r w:rsidRPr="00626EB7">
        <w:t xml:space="preserve"> beginsel is </w:t>
      </w:r>
      <w:r w:rsidR="009603E4">
        <w:t>leedtoevoeging</w:t>
      </w:r>
      <w:r w:rsidRPr="00626EB7">
        <w:t xml:space="preserve"> iets dat tegen de bedoeling van de rechten van het </w:t>
      </w:r>
      <w:r w:rsidR="00CB097A" w:rsidRPr="009B6DCF">
        <w:t xml:space="preserve">EVRM </w:t>
      </w:r>
      <w:r w:rsidRPr="00B01C64">
        <w:t>indruist</w:t>
      </w:r>
      <w:r w:rsidR="009603E4">
        <w:t>.</w:t>
      </w:r>
      <w:r w:rsidRPr="00B01C64">
        <w:t xml:space="preserve"> Alleen is</w:t>
      </w:r>
      <w:r w:rsidR="008152F4">
        <w:t xml:space="preserve"> er</w:t>
      </w:r>
      <w:r w:rsidRPr="00B01C64">
        <w:t xml:space="preserve"> een rechtvaardiging voor leedtoevoeging, wan</w:t>
      </w:r>
      <w:r w:rsidRPr="000437DB">
        <w:t xml:space="preserve">t wanneer iemand iets </w:t>
      </w:r>
      <w:r w:rsidR="00BE08CC">
        <w:t>misd</w:t>
      </w:r>
      <w:r w:rsidRPr="000437DB">
        <w:t>aan heeft</w:t>
      </w:r>
      <w:r w:rsidR="00BE08CC">
        <w:t>,</w:t>
      </w:r>
      <w:r w:rsidRPr="000437DB">
        <w:t xml:space="preserve"> dan mag hij gestraft worden</w:t>
      </w:r>
      <w:r w:rsidR="001854C1" w:rsidRPr="000437DB">
        <w:t xml:space="preserve">, en dat is een uitzondering </w:t>
      </w:r>
      <w:r w:rsidR="00CB097A" w:rsidRPr="000437DB">
        <w:t>op het beginsel dat een staat geen leed toevoegt</w:t>
      </w:r>
      <w:r w:rsidRPr="000437DB">
        <w:t xml:space="preserve">. In </w:t>
      </w:r>
      <w:r w:rsidR="009603E4">
        <w:t xml:space="preserve">recente </w:t>
      </w:r>
      <w:r w:rsidRPr="000437DB">
        <w:t xml:space="preserve">uitspraken over gevangenisstraffen gaat het telkens over de zinvolheid van straffen. </w:t>
      </w:r>
      <w:r w:rsidR="00CB097A" w:rsidRPr="000437DB">
        <w:t>In de</w:t>
      </w:r>
      <w:r w:rsidRPr="000437DB">
        <w:t xml:space="preserve"> zaak </w:t>
      </w:r>
      <w:r w:rsidRPr="00A80264">
        <w:rPr>
          <w:i/>
        </w:rPr>
        <w:t>Vinter</w:t>
      </w:r>
      <w:r w:rsidRPr="00EF09C9">
        <w:t xml:space="preserve"> </w:t>
      </w:r>
      <w:r w:rsidR="0081570B" w:rsidRPr="00DC6EE1">
        <w:t>geeft</w:t>
      </w:r>
      <w:r w:rsidRPr="00DC6EE1">
        <w:t xml:space="preserve"> het Hof </w:t>
      </w:r>
      <w:r w:rsidR="0081570B" w:rsidRPr="00626EB7">
        <w:t xml:space="preserve">voor het eerst </w:t>
      </w:r>
      <w:r w:rsidRPr="009B6DCF">
        <w:t>nadrukkelijk aan dat straffen penologische doelen moet</w:t>
      </w:r>
      <w:r w:rsidR="001854C1" w:rsidRPr="00B01C64">
        <w:t>en hebben. Bij</w:t>
      </w:r>
      <w:r w:rsidRPr="000437DB">
        <w:t xml:space="preserve"> oudere zaken vind je die terminologie van legitieme penologische doelen niet terug. En </w:t>
      </w:r>
      <w:r w:rsidR="009603E4">
        <w:t>met die terminologie</w:t>
      </w:r>
      <w:r w:rsidRPr="000437DB">
        <w:t xml:space="preserve"> is </w:t>
      </w:r>
      <w:r w:rsidR="009603E4">
        <w:t>er</w:t>
      </w:r>
      <w:r w:rsidR="005E5CE3">
        <w:t xml:space="preserve"> </w:t>
      </w:r>
      <w:r w:rsidRPr="000437DB">
        <w:t>de noodzaak de vraag te stellen</w:t>
      </w:r>
      <w:r w:rsidR="001854C1" w:rsidRPr="000437DB">
        <w:t>:</w:t>
      </w:r>
      <w:r w:rsidRPr="000437DB">
        <w:t xml:space="preserve"> </w:t>
      </w:r>
      <w:r w:rsidR="0081570B" w:rsidRPr="000437DB">
        <w:t>“</w:t>
      </w:r>
      <w:r w:rsidR="0099252D" w:rsidRPr="000437DB">
        <w:t>W</w:t>
      </w:r>
      <w:r w:rsidRPr="000437DB">
        <w:t>at als de straf voortduurt en er zijn geen zinvolle penologische doelen meer</w:t>
      </w:r>
      <w:r w:rsidR="001854C1" w:rsidRPr="000437DB">
        <w:t>?</w:t>
      </w:r>
      <w:r w:rsidR="0081570B" w:rsidRPr="000437DB">
        <w:t>”</w:t>
      </w:r>
      <w:r w:rsidR="006A1C48">
        <w:t>.</w:t>
      </w:r>
      <w:r w:rsidR="0081570B" w:rsidRPr="000437DB">
        <w:t xml:space="preserve"> </w:t>
      </w:r>
      <w:r w:rsidRPr="000437DB">
        <w:t>Als die niet meer gediend worden, waartoe dient dan de verdere tenuitvoerlegging van een levenslange gev</w:t>
      </w:r>
      <w:r w:rsidR="001854C1" w:rsidRPr="000437DB">
        <w:t xml:space="preserve">angenisstraf? Dat kan zijn </w:t>
      </w:r>
      <w:r w:rsidR="009603E4">
        <w:t xml:space="preserve">gelegen in </w:t>
      </w:r>
      <w:r w:rsidR="001854C1" w:rsidRPr="000437DB">
        <w:t>het voo</w:t>
      </w:r>
      <w:r w:rsidRPr="000437DB">
        <w:t xml:space="preserve">rkomen dat een gevaarlijk persoon </w:t>
      </w:r>
      <w:r w:rsidR="0099252D" w:rsidRPr="000437DB">
        <w:t xml:space="preserve">weer vrijkomt en </w:t>
      </w:r>
      <w:r w:rsidRPr="000437DB">
        <w:t>ande</w:t>
      </w:r>
      <w:r w:rsidR="001854C1" w:rsidRPr="000437DB">
        <w:t>re mensen mogelijk kwaad doet</w:t>
      </w:r>
      <w:r w:rsidRPr="000437DB">
        <w:t xml:space="preserve">. Dat kan een goede reden zijn. Dat is ook de reden dat het Hof heeft gezegd: als een levenslange gevangenisstraf is opgelegd, </w:t>
      </w:r>
      <w:r w:rsidR="001854C1" w:rsidRPr="000437DB">
        <w:t>dan kan dat ook levenslang betekenen. Want er</w:t>
      </w:r>
      <w:r w:rsidRPr="000437DB">
        <w:t xml:space="preserve"> kan </w:t>
      </w:r>
      <w:r w:rsidR="003D32AE">
        <w:t xml:space="preserve">sprake zijn van </w:t>
      </w:r>
      <w:r w:rsidRPr="000437DB">
        <w:t xml:space="preserve">een persoon </w:t>
      </w:r>
      <w:r w:rsidR="009603E4">
        <w:t xml:space="preserve">die </w:t>
      </w:r>
      <w:r w:rsidRPr="000437DB">
        <w:t xml:space="preserve">zo gevaarlijk is </w:t>
      </w:r>
      <w:r w:rsidR="009603E4">
        <w:t xml:space="preserve">gebleven </w:t>
      </w:r>
      <w:r w:rsidRPr="000437DB">
        <w:t>dat hij niet op een andere manier tegemoet</w:t>
      </w:r>
      <w:r w:rsidR="001854C1" w:rsidRPr="000437DB">
        <w:t xml:space="preserve"> </w:t>
      </w:r>
      <w:r w:rsidRPr="000437DB">
        <w:t>getreden kan worden dan door hem vast te houden</w:t>
      </w:r>
      <w:r w:rsidR="0099252D" w:rsidRPr="000437DB">
        <w:t>. H</w:t>
      </w:r>
      <w:r w:rsidRPr="000437DB">
        <w:t xml:space="preserve">et oorspronkelijke vonnis van levenslang is dan de basis waarop dat kan. Maar je mag niet, zonder ooit te beoordelen of dat inderdaad zo is, die situatie maar </w:t>
      </w:r>
      <w:r w:rsidR="0099252D" w:rsidRPr="000437DB">
        <w:t xml:space="preserve">als </w:t>
      </w:r>
      <w:r w:rsidRPr="000437DB">
        <w:t xml:space="preserve">vanzelfsprekend aannemen. Het past bij de gedachte dat </w:t>
      </w:r>
      <w:r w:rsidR="001854C1" w:rsidRPr="000437DB">
        <w:t xml:space="preserve">je vanuit </w:t>
      </w:r>
      <w:r w:rsidRPr="000437DB">
        <w:t xml:space="preserve">de staat in beginsel geen leed toevoegt, en dat </w:t>
      </w:r>
      <w:r w:rsidR="0081570B" w:rsidRPr="000437DB">
        <w:t>eenieder in</w:t>
      </w:r>
      <w:r w:rsidRPr="000437DB">
        <w:t xml:space="preserve"> beginsel, wat iemand ook heeft gedaan, een burger blijft met rechten en plichten</w:t>
      </w:r>
      <w:r w:rsidR="0099252D" w:rsidRPr="000437DB">
        <w:t>. Dit geldt evenzeer voor levenslang gestraften</w:t>
      </w:r>
      <w:r w:rsidRPr="000437DB">
        <w:t>. Dan moet er een moment zijn waarop je beoordeelt</w:t>
      </w:r>
      <w:r w:rsidR="0099252D" w:rsidRPr="000437DB">
        <w:t xml:space="preserve"> of</w:t>
      </w:r>
      <w:r w:rsidRPr="000437DB">
        <w:t xml:space="preserve"> er nog zinvolle penologische doelen </w:t>
      </w:r>
      <w:r w:rsidR="0099252D" w:rsidRPr="000437DB">
        <w:t xml:space="preserve">met de uitvoering van de straf gediend worden of niet. Iemand die </w:t>
      </w:r>
      <w:r w:rsidRPr="000437DB">
        <w:t>tot levenslang v</w:t>
      </w:r>
      <w:r w:rsidR="009F221E" w:rsidRPr="000437DB">
        <w:t>e</w:t>
      </w:r>
      <w:r w:rsidRPr="000437DB">
        <w:t>roordeeld wordt, moet ook vanaf het begin af aan weten dat di</w:t>
      </w:r>
      <w:r w:rsidR="009F221E" w:rsidRPr="000437DB">
        <w:t>e mogelijkheid er is en moet e</w:t>
      </w:r>
      <w:r w:rsidRPr="000437DB">
        <w:t>r ook naartoe kunnen werken. Dat is de gedachte ach</w:t>
      </w:r>
      <w:r w:rsidR="0011066E" w:rsidRPr="000437DB">
        <w:t xml:space="preserve">ter de </w:t>
      </w:r>
      <w:r w:rsidR="0011066E" w:rsidRPr="00A80264">
        <w:rPr>
          <w:i/>
        </w:rPr>
        <w:t>Vinter</w:t>
      </w:r>
      <w:r w:rsidR="0011066E" w:rsidRPr="00EF09C9">
        <w:t xml:space="preserve">-uitspraak. Dus </w:t>
      </w:r>
      <w:r w:rsidR="0011066E" w:rsidRPr="00A80264">
        <w:rPr>
          <w:i/>
        </w:rPr>
        <w:t xml:space="preserve">de </w:t>
      </w:r>
      <w:r w:rsidRPr="00A80264">
        <w:rPr>
          <w:i/>
        </w:rPr>
        <w:t>facto</w:t>
      </w:r>
      <w:r w:rsidRPr="00EF09C9">
        <w:t xml:space="preserve"> moet er de mogelijkhe</w:t>
      </w:r>
      <w:r w:rsidR="009F221E" w:rsidRPr="00EF09C9">
        <w:t xml:space="preserve">id zijn ooit vrij te komen, </w:t>
      </w:r>
      <w:r w:rsidR="009F221E" w:rsidRPr="00A80264">
        <w:rPr>
          <w:i/>
        </w:rPr>
        <w:t>de j</w:t>
      </w:r>
      <w:r w:rsidRPr="00A80264">
        <w:rPr>
          <w:i/>
        </w:rPr>
        <w:t>ure</w:t>
      </w:r>
      <w:r w:rsidRPr="00EF09C9">
        <w:t xml:space="preserve"> moet er een duidelijke procedure beschreven zijn hoe dat dan tot stand kan komen. </w:t>
      </w:r>
      <w:r w:rsidR="0011066E" w:rsidRPr="00EF09C9">
        <w:t>Je kunt je afvragen</w:t>
      </w:r>
      <w:r w:rsidR="009F221E" w:rsidRPr="00EF09C9">
        <w:t>:</w:t>
      </w:r>
      <w:r w:rsidR="0011066E" w:rsidRPr="00DC6EE1">
        <w:t xml:space="preserve"> </w:t>
      </w:r>
      <w:r w:rsidR="0081570B" w:rsidRPr="00626EB7">
        <w:t>“</w:t>
      </w:r>
      <w:r w:rsidR="0099252D" w:rsidRPr="009B6DCF">
        <w:t>J</w:t>
      </w:r>
      <w:r w:rsidR="009F221E" w:rsidRPr="009B6DCF">
        <w:t xml:space="preserve">a, </w:t>
      </w:r>
      <w:r w:rsidR="0011066E" w:rsidRPr="00B01C64">
        <w:t>en de slachtoffers dan</w:t>
      </w:r>
      <w:r w:rsidR="009F221E" w:rsidRPr="00B01C64">
        <w:t>?</w:t>
      </w:r>
      <w:r w:rsidR="0081570B" w:rsidRPr="000437DB">
        <w:t>”</w:t>
      </w:r>
      <w:r w:rsidR="006A1C48">
        <w:t>.</w:t>
      </w:r>
      <w:r w:rsidR="009F221E" w:rsidRPr="000437DB">
        <w:t xml:space="preserve"> D</w:t>
      </w:r>
      <w:r w:rsidR="0011066E" w:rsidRPr="000437DB">
        <w:t xml:space="preserve">ie </w:t>
      </w:r>
      <w:r w:rsidR="0099252D" w:rsidRPr="000437DB">
        <w:t xml:space="preserve">hebben </w:t>
      </w:r>
      <w:r w:rsidR="0011066E" w:rsidRPr="000437DB">
        <w:t>een dierbaar persoon verloren</w:t>
      </w:r>
      <w:r w:rsidR="0099252D" w:rsidRPr="000437DB">
        <w:t>. S</w:t>
      </w:r>
      <w:r w:rsidR="0011066E" w:rsidRPr="000437DB">
        <w:t>taan die dan niet helemaal buiten spel? Slachtoffers hebben</w:t>
      </w:r>
      <w:r w:rsidR="009F221E" w:rsidRPr="000437DB">
        <w:t>,</w:t>
      </w:r>
      <w:r w:rsidR="0011066E" w:rsidRPr="000437DB">
        <w:t xml:space="preserve"> in de visie van het </w:t>
      </w:r>
      <w:r w:rsidR="00A27495">
        <w:t>H</w:t>
      </w:r>
      <w:r w:rsidR="0011066E" w:rsidRPr="000437DB">
        <w:t>of</w:t>
      </w:r>
      <w:r w:rsidR="009F221E" w:rsidRPr="000437DB">
        <w:t>,</w:t>
      </w:r>
      <w:r w:rsidR="0011066E" w:rsidRPr="000437DB">
        <w:t xml:space="preserve"> altijd een rol in het onderzoek naar de feiten waardoor ze iemand verloren hebben</w:t>
      </w:r>
      <w:r w:rsidR="0099252D" w:rsidRPr="000437DB">
        <w:t>. Ze hebben daarbij ook</w:t>
      </w:r>
      <w:r w:rsidR="0011066E" w:rsidRPr="000437DB">
        <w:t xml:space="preserve"> betekenis in de strafdoelen, maar het is niet zo dat slachtoffers de sleutel in handen hebben aangaande de bestraffing van de betrokkene, want dan zou </w:t>
      </w:r>
      <w:r w:rsidR="0099252D" w:rsidRPr="000437DB">
        <w:t>je deze</w:t>
      </w:r>
      <w:r w:rsidR="0011066E" w:rsidRPr="000437DB">
        <w:t xml:space="preserve"> uitsluitend </w:t>
      </w:r>
      <w:r w:rsidR="0081570B" w:rsidRPr="000437DB">
        <w:t xml:space="preserve">in </w:t>
      </w:r>
      <w:r w:rsidR="0011066E" w:rsidRPr="000437DB">
        <w:t xml:space="preserve">de sleutel van de mogelijke wraak plaatsen. Mijn opvatting is overigens dat slachtoffers </w:t>
      </w:r>
      <w:r w:rsidR="009F221E" w:rsidRPr="000437DB">
        <w:t xml:space="preserve">niet per definitie </w:t>
      </w:r>
      <w:r w:rsidR="0011066E" w:rsidRPr="000437DB">
        <w:t>alleen</w:t>
      </w:r>
      <w:r w:rsidR="009F221E" w:rsidRPr="000437DB">
        <w:t xml:space="preserve"> maar</w:t>
      </w:r>
      <w:r w:rsidR="0011066E" w:rsidRPr="000437DB">
        <w:t xml:space="preserve"> uit zijn op wraak, helemaal niet zelfs. </w:t>
      </w:r>
      <w:r w:rsidR="00922E63" w:rsidRPr="000437DB">
        <w:t>D</w:t>
      </w:r>
      <w:r w:rsidR="0011066E" w:rsidRPr="000437DB">
        <w:t xml:space="preserve">e weduwe van </w:t>
      </w:r>
      <w:r w:rsidR="00922E63" w:rsidRPr="000437DB">
        <w:t xml:space="preserve">Gerrit Jan Heijn bijvoorbeeld had er </w:t>
      </w:r>
      <w:r w:rsidR="0011066E" w:rsidRPr="000437DB">
        <w:t xml:space="preserve">wel degelijk vrede mee dat degene die </w:t>
      </w:r>
      <w:r w:rsidR="00922E63" w:rsidRPr="000437DB">
        <w:t xml:space="preserve">de moord op haar man gepleegd </w:t>
      </w:r>
      <w:r w:rsidR="00922E63" w:rsidRPr="000437DB">
        <w:lastRenderedPageBreak/>
        <w:t xml:space="preserve">had, </w:t>
      </w:r>
      <w:r w:rsidR="009F221E" w:rsidRPr="000437DB">
        <w:t>vrij</w:t>
      </w:r>
      <w:r w:rsidR="00783936">
        <w:t xml:space="preserve"> zou kunnen komen.</w:t>
      </w:r>
      <w:r w:rsidR="00922E63" w:rsidRPr="000437DB">
        <w:t xml:space="preserve"> Zij heeft ook een </w:t>
      </w:r>
      <w:r w:rsidR="009F221E" w:rsidRPr="000437DB">
        <w:t>rol vervuld b</w:t>
      </w:r>
      <w:r w:rsidR="00922E63" w:rsidRPr="000437DB">
        <w:t>innen het Forum Levenslang.</w:t>
      </w:r>
      <w:r w:rsidR="00922E63" w:rsidRPr="00EF09C9">
        <w:rPr>
          <w:rStyle w:val="Voetnootmarkering"/>
          <w:rFonts w:cstheme="minorHAnsi"/>
        </w:rPr>
        <w:footnoteReference w:id="10"/>
      </w:r>
      <w:r w:rsidR="00922E63" w:rsidRPr="00EF09C9">
        <w:t xml:space="preserve"> </w:t>
      </w:r>
      <w:r w:rsidR="009F221E" w:rsidRPr="00EF09C9">
        <w:t>D</w:t>
      </w:r>
      <w:r w:rsidR="0011066E" w:rsidRPr="00EF09C9">
        <w:t xml:space="preserve">us het idee dat slachtoffers alleen maar uit zijn op het langer laten vastzitten van mensen </w:t>
      </w:r>
      <w:r w:rsidR="0011066E" w:rsidRPr="00DC6EE1">
        <w:t>is</w:t>
      </w:r>
      <w:r w:rsidR="00BE08CC">
        <w:t>,</w:t>
      </w:r>
      <w:r w:rsidR="0011066E" w:rsidRPr="00DC6EE1">
        <w:t xml:space="preserve"> denk ik</w:t>
      </w:r>
      <w:r w:rsidR="00BE08CC">
        <w:t>,</w:t>
      </w:r>
      <w:r w:rsidR="0011066E" w:rsidRPr="00DC6EE1">
        <w:t xml:space="preserve"> niet juist. </w:t>
      </w:r>
      <w:r w:rsidR="00C05980">
        <w:t>I</w:t>
      </w:r>
      <w:r w:rsidR="0011066E" w:rsidRPr="00DC6EE1">
        <w:t xml:space="preserve">k vind dat de beleving </w:t>
      </w:r>
      <w:r w:rsidR="00922E63" w:rsidRPr="009B6DCF">
        <w:t xml:space="preserve">van </w:t>
      </w:r>
      <w:r w:rsidR="00204AB2">
        <w:t xml:space="preserve">nabestaanden van </w:t>
      </w:r>
      <w:r w:rsidR="00922E63" w:rsidRPr="009B6DCF">
        <w:t>slachtoffers</w:t>
      </w:r>
      <w:r w:rsidR="00204AB2">
        <w:t xml:space="preserve"> </w:t>
      </w:r>
      <w:r w:rsidR="00922E63" w:rsidRPr="009B6DCF">
        <w:t>wel van belang</w:t>
      </w:r>
      <w:r w:rsidR="00204AB2">
        <w:t xml:space="preserve"> kan</w:t>
      </w:r>
      <w:r w:rsidR="00922E63" w:rsidRPr="009B6DCF">
        <w:t xml:space="preserve"> zijn </w:t>
      </w:r>
      <w:r w:rsidR="00922E63" w:rsidRPr="00B01C64">
        <w:t xml:space="preserve">bij het antwoord op de vraag hoe er verder wordt omgegaan </w:t>
      </w:r>
      <w:r w:rsidR="0011066E" w:rsidRPr="000437DB">
        <w:t>met levenslang</w:t>
      </w:r>
      <w:r w:rsidR="00922E63" w:rsidRPr="000437DB">
        <w:t xml:space="preserve">. </w:t>
      </w:r>
      <w:r w:rsidR="0081570B" w:rsidRPr="000437DB">
        <w:t>H</w:t>
      </w:r>
      <w:r w:rsidR="00922E63" w:rsidRPr="000437DB">
        <w:t>ier wordt echter</w:t>
      </w:r>
      <w:r w:rsidR="00C05980">
        <w:t xml:space="preserve"> </w:t>
      </w:r>
      <w:r w:rsidR="00922E63" w:rsidRPr="000437DB">
        <w:t>verschillend over gedacht.</w:t>
      </w:r>
      <w:r w:rsidR="009F221E" w:rsidRPr="000437DB">
        <w:t xml:space="preserve"> W</w:t>
      </w:r>
      <w:r w:rsidR="0011066E" w:rsidRPr="000437DB">
        <w:t xml:space="preserve">anneer je bijvoorbeeld de </w:t>
      </w:r>
      <w:r w:rsidR="0011066E" w:rsidRPr="00A80264">
        <w:rPr>
          <w:i/>
        </w:rPr>
        <w:t>concurring opinion</w:t>
      </w:r>
      <w:r w:rsidR="0011066E" w:rsidRPr="00EF09C9">
        <w:t xml:space="preserve"> leest van </w:t>
      </w:r>
      <w:r w:rsidR="0081570B" w:rsidRPr="00EF09C9">
        <w:t xml:space="preserve">rechter </w:t>
      </w:r>
      <w:r w:rsidR="0011066E" w:rsidRPr="00EF09C9">
        <w:t>Pinto</w:t>
      </w:r>
      <w:r w:rsidR="00204AB2">
        <w:t xml:space="preserve"> de Albuquerque</w:t>
      </w:r>
      <w:r w:rsidR="0011066E" w:rsidRPr="00DC6EE1">
        <w:t xml:space="preserve"> onder het </w:t>
      </w:r>
      <w:r w:rsidR="00922E63" w:rsidRPr="00626EB7">
        <w:t>a</w:t>
      </w:r>
      <w:r w:rsidR="0011066E" w:rsidRPr="009B6DCF">
        <w:t xml:space="preserve">rrest </w:t>
      </w:r>
      <w:r w:rsidR="0011066E" w:rsidRPr="00A80264">
        <w:rPr>
          <w:i/>
        </w:rPr>
        <w:t>Murray</w:t>
      </w:r>
      <w:r w:rsidR="0026060F">
        <w:rPr>
          <w:i/>
        </w:rPr>
        <w:t xml:space="preserve"> tegen Nederland</w:t>
      </w:r>
      <w:r w:rsidR="0011066E" w:rsidRPr="00EF09C9">
        <w:t xml:space="preserve">, dan keert hij zich nadrukkelijk tegen </w:t>
      </w:r>
      <w:r w:rsidR="0081570B" w:rsidRPr="00DC6EE1">
        <w:t xml:space="preserve">het </w:t>
      </w:r>
      <w:r w:rsidR="0011066E" w:rsidRPr="00626EB7">
        <w:t>element in de Antilliaanse wetgeving</w:t>
      </w:r>
      <w:r w:rsidR="0011066E" w:rsidRPr="009B6DCF">
        <w:t xml:space="preserve"> </w:t>
      </w:r>
      <w:r w:rsidR="001702BB">
        <w:t>waarin</w:t>
      </w:r>
      <w:r w:rsidR="0011066E" w:rsidRPr="009B6DCF">
        <w:t xml:space="preserve"> </w:t>
      </w:r>
      <w:r w:rsidR="00204AB2">
        <w:t xml:space="preserve">nabestaanden van </w:t>
      </w:r>
      <w:r w:rsidR="0011066E" w:rsidRPr="009B6DCF">
        <w:t xml:space="preserve">slachtoffers </w:t>
      </w:r>
      <w:r w:rsidR="001702BB">
        <w:t xml:space="preserve">een rol wordt gegeven </w:t>
      </w:r>
      <w:r w:rsidR="0011066E" w:rsidRPr="009B6DCF">
        <w:t xml:space="preserve">bij de beoordeling of </w:t>
      </w:r>
      <w:r w:rsidR="0081570B" w:rsidRPr="009B6DCF">
        <w:t xml:space="preserve">een </w:t>
      </w:r>
      <w:r w:rsidR="0011066E" w:rsidRPr="009B6DCF">
        <w:t>levenslange gevangenisstraf verder geëxecuteerd moet worden of niet.</w:t>
      </w:r>
      <w:r w:rsidR="00922E63" w:rsidRPr="00EF09C9">
        <w:rPr>
          <w:rStyle w:val="Voetnootmarkering"/>
          <w:rFonts w:cstheme="minorHAnsi"/>
        </w:rPr>
        <w:footnoteReference w:id="11"/>
      </w:r>
    </w:p>
    <w:p w14:paraId="7D0B3FB8" w14:textId="77777777" w:rsidR="00EF09C9" w:rsidRPr="00EF09C9" w:rsidRDefault="00EF09C9" w:rsidP="00A80264">
      <w:pPr>
        <w:pStyle w:val="Geenafstand"/>
        <w:jc w:val="both"/>
      </w:pPr>
    </w:p>
    <w:p w14:paraId="33987752" w14:textId="77777777" w:rsidR="00EF09C9" w:rsidRDefault="00922E63" w:rsidP="00A80264">
      <w:pPr>
        <w:pStyle w:val="Geenafstand"/>
        <w:jc w:val="both"/>
      </w:pPr>
      <w:r w:rsidRPr="00A80264">
        <w:rPr>
          <w:rFonts w:cstheme="minorHAnsi"/>
          <w:i/>
        </w:rPr>
        <w:t>H</w:t>
      </w:r>
      <w:r w:rsidR="0011066E" w:rsidRPr="00A80264">
        <w:rPr>
          <w:rFonts w:cstheme="minorHAnsi"/>
          <w:i/>
        </w:rPr>
        <w:t xml:space="preserve">oe kijkt u vanuit die door het </w:t>
      </w:r>
      <w:r w:rsidR="007724AF">
        <w:rPr>
          <w:rFonts w:cstheme="minorHAnsi"/>
          <w:i/>
        </w:rPr>
        <w:t>Hof</w:t>
      </w:r>
      <w:r w:rsidR="0011066E" w:rsidRPr="00A80264">
        <w:rPr>
          <w:rFonts w:cstheme="minorHAnsi"/>
          <w:i/>
        </w:rPr>
        <w:t xml:space="preserve"> geformuleerde standaarden aan tegen de Nederlandse praktijk van oplegging en tenuitvoerlegging van levenslange gevangenisstraf?</w:t>
      </w:r>
      <w:r w:rsidR="00013C2B" w:rsidRPr="00A80264">
        <w:rPr>
          <w:rFonts w:cstheme="minorHAnsi"/>
          <w:i/>
        </w:rPr>
        <w:t xml:space="preserve"> </w:t>
      </w:r>
    </w:p>
    <w:p w14:paraId="7B2659D4" w14:textId="77777777" w:rsidR="00EF09C9" w:rsidRDefault="00EF09C9" w:rsidP="00A80264">
      <w:pPr>
        <w:pStyle w:val="Geenafstand"/>
        <w:jc w:val="both"/>
      </w:pPr>
    </w:p>
    <w:p w14:paraId="09512071" w14:textId="77777777" w:rsidR="0011066E" w:rsidRDefault="0011066E" w:rsidP="00A80264">
      <w:pPr>
        <w:pStyle w:val="Geenafstand"/>
        <w:jc w:val="both"/>
      </w:pPr>
      <w:r w:rsidRPr="00DC6EE1">
        <w:t xml:space="preserve">Het </w:t>
      </w:r>
      <w:r w:rsidR="007724AF">
        <w:t>Hof</w:t>
      </w:r>
      <w:r w:rsidRPr="00DC6EE1">
        <w:t xml:space="preserve"> heeft zich in de zaak </w:t>
      </w:r>
      <w:r w:rsidRPr="00A80264">
        <w:rPr>
          <w:i/>
        </w:rPr>
        <w:t xml:space="preserve">Murray </w:t>
      </w:r>
      <w:r w:rsidRPr="00DC6EE1">
        <w:t>niet geuit over</w:t>
      </w:r>
      <w:r w:rsidR="00E11783" w:rsidRPr="00DC6EE1">
        <w:t xml:space="preserve"> het</w:t>
      </w:r>
      <w:r w:rsidRPr="00626EB7">
        <w:t xml:space="preserve"> Nederlandse strafstelsel, zelfs niet over het Antilliaanse stelsel. Dat ging vooral om ee</w:t>
      </w:r>
      <w:r w:rsidRPr="009B6DCF">
        <w:t xml:space="preserve">n situatie die gegroeid was in de loop der jaren waarin volgens het </w:t>
      </w:r>
      <w:r w:rsidR="007724AF">
        <w:t>Hof</w:t>
      </w:r>
      <w:r w:rsidRPr="009B6DCF">
        <w:t xml:space="preserve"> niet die behandeling had plaatsgevonden </w:t>
      </w:r>
      <w:r w:rsidR="00922E63" w:rsidRPr="009B6DCF">
        <w:t xml:space="preserve">die noodzakelijk was </w:t>
      </w:r>
      <w:r w:rsidRPr="009B6DCF">
        <w:t>met het oog op een mogelijke terugke</w:t>
      </w:r>
      <w:r w:rsidR="00922E63" w:rsidRPr="00B01C64">
        <w:t>er in de samenleving</w:t>
      </w:r>
      <w:r w:rsidRPr="00B01C64">
        <w:t xml:space="preserve">. De Hoge Raad heeft na </w:t>
      </w:r>
      <w:r w:rsidRPr="00A80264">
        <w:rPr>
          <w:i/>
        </w:rPr>
        <w:t>Murray</w:t>
      </w:r>
      <w:r w:rsidRPr="00EF09C9">
        <w:t xml:space="preserve"> een uitspraak gewezen</w:t>
      </w:r>
      <w:r w:rsidR="009F221E" w:rsidRPr="00EF09C9">
        <w:t>,</w:t>
      </w:r>
      <w:r w:rsidRPr="00EF09C9">
        <w:t xml:space="preserve"> in oktober dit jaar, waarin een zaak is aangehouden.</w:t>
      </w:r>
      <w:r w:rsidR="002F6D4E" w:rsidRPr="00EF09C9">
        <w:rPr>
          <w:rStyle w:val="Voetnootmarkering"/>
          <w:rFonts w:cstheme="minorHAnsi"/>
        </w:rPr>
        <w:footnoteReference w:id="12"/>
      </w:r>
      <w:r w:rsidRPr="00EF09C9">
        <w:t xml:space="preserve"> </w:t>
      </w:r>
      <w:r w:rsidR="002F6D4E" w:rsidRPr="00EF09C9">
        <w:t>D</w:t>
      </w:r>
      <w:r w:rsidR="00204AB2">
        <w:t>e tenuitvoerlegging van levenslang</w:t>
      </w:r>
      <w:r w:rsidRPr="00EF09C9">
        <w:t xml:space="preserve"> is dus volop in ontwikkeling. Maar de Hoge Raad heeft wel uiteengezet dat</w:t>
      </w:r>
      <w:r w:rsidRPr="00DC6EE1">
        <w:t xml:space="preserve">, wil er sprake zijn van een rechtmatige tenuitvoerlegging, er </w:t>
      </w:r>
      <w:r w:rsidRPr="009B6DCF">
        <w:t>zicht moet zijn op een mogelijke vrijlating</w:t>
      </w:r>
      <w:r w:rsidR="00A27495">
        <w:t>. I</w:t>
      </w:r>
      <w:r w:rsidRPr="009B6DCF">
        <w:t xml:space="preserve">n de opvatting van de Hoge Raad </w:t>
      </w:r>
      <w:r w:rsidR="00A27495">
        <w:t xml:space="preserve">werd daar </w:t>
      </w:r>
      <w:r w:rsidR="002F6D4E" w:rsidRPr="000437DB">
        <w:t xml:space="preserve">op het moment </w:t>
      </w:r>
      <w:r w:rsidR="00204AB2">
        <w:t xml:space="preserve">kennelijk </w:t>
      </w:r>
      <w:r w:rsidRPr="000437DB">
        <w:t>nog ni</w:t>
      </w:r>
      <w:r w:rsidR="009F221E" w:rsidRPr="000437DB">
        <w:t>et volledig</w:t>
      </w:r>
      <w:r w:rsidR="002F6D4E" w:rsidRPr="000437DB">
        <w:t xml:space="preserve"> aan </w:t>
      </w:r>
      <w:r w:rsidR="009F221E" w:rsidRPr="000437DB">
        <w:t xml:space="preserve">voldaan. Dus </w:t>
      </w:r>
      <w:r w:rsidR="00A27495" w:rsidRPr="000437DB">
        <w:t>w</w:t>
      </w:r>
      <w:r w:rsidR="00A27495">
        <w:t xml:space="preserve">erd </w:t>
      </w:r>
      <w:r w:rsidRPr="000437DB">
        <w:t xml:space="preserve">er ruimte gelaten om tot ontwikkelingen te komen die op een later moment beoordeeld zullen worden door de Hoge Raad. Op </w:t>
      </w:r>
      <w:r w:rsidR="00E11783" w:rsidRPr="000437DB">
        <w:t xml:space="preserve">dit </w:t>
      </w:r>
      <w:r w:rsidRPr="000437DB">
        <w:t xml:space="preserve">moment kan ik er weinig meer over zeggen. Ik weet ook niet, eerlijk gezegd, wat het Hof zou zeggen van de huidige situatie. </w:t>
      </w:r>
      <w:r w:rsidR="009F221E" w:rsidRPr="000437DB">
        <w:t xml:space="preserve">Dat kan je pas zien wanneer dat </w:t>
      </w:r>
      <w:r w:rsidRPr="000437DB">
        <w:t xml:space="preserve">in een zaak echt helemaal voorligt. En dat is op dit moment niet het geval. In de zaak voor de Hoge Raad is wel van belang wat het Hof </w:t>
      </w:r>
      <w:r w:rsidR="00A27495" w:rsidRPr="000437DB">
        <w:t xml:space="preserve">als minimumgrens </w:t>
      </w:r>
      <w:r w:rsidRPr="000437DB">
        <w:t>stelt</w:t>
      </w:r>
      <w:r w:rsidR="00A27495">
        <w:t>. Maa</w:t>
      </w:r>
      <w:r w:rsidRPr="000437DB">
        <w:t>r verder geldt n</w:t>
      </w:r>
      <w:r w:rsidR="009F221E" w:rsidRPr="000437DB">
        <w:t>atuurlijk de opvatting van de Hoge Raad</w:t>
      </w:r>
      <w:r w:rsidRPr="000437DB">
        <w:t xml:space="preserve"> zelf, die de primaire hoeder is van de bescherming van mensenrechten, en die taak ook serieus neemt. </w:t>
      </w:r>
    </w:p>
    <w:p w14:paraId="08563D6F" w14:textId="77777777" w:rsidR="00EF09C9" w:rsidRPr="00DC6EE1" w:rsidRDefault="00EF09C9" w:rsidP="00A80264">
      <w:pPr>
        <w:pStyle w:val="Geenafstand"/>
        <w:jc w:val="both"/>
      </w:pPr>
    </w:p>
    <w:p w14:paraId="6F7F8F82" w14:textId="77777777" w:rsidR="00EF09C9" w:rsidRDefault="00382844" w:rsidP="00A80264">
      <w:pPr>
        <w:pStyle w:val="Geenafstand"/>
        <w:jc w:val="both"/>
      </w:pPr>
      <w:r w:rsidRPr="00A80264">
        <w:rPr>
          <w:b/>
        </w:rPr>
        <w:t xml:space="preserve">Het </w:t>
      </w:r>
      <w:r w:rsidR="009556D4">
        <w:rPr>
          <w:b/>
        </w:rPr>
        <w:t xml:space="preserve">Straatsburgse </w:t>
      </w:r>
      <w:r w:rsidRPr="00A80264">
        <w:rPr>
          <w:b/>
        </w:rPr>
        <w:t xml:space="preserve">Hof en het Hof van Justitie van de Europese Unie  </w:t>
      </w:r>
    </w:p>
    <w:p w14:paraId="0BB1534F" w14:textId="77777777" w:rsidR="00EF09C9" w:rsidRPr="00DC6EE1" w:rsidRDefault="00EF09C9" w:rsidP="00A80264">
      <w:pPr>
        <w:pStyle w:val="Geenafstand"/>
        <w:jc w:val="both"/>
      </w:pPr>
    </w:p>
    <w:p w14:paraId="2CD5B286" w14:textId="44DD4E51" w:rsidR="0011066E" w:rsidRPr="00A80264" w:rsidRDefault="00A27495" w:rsidP="00A80264">
      <w:pPr>
        <w:pStyle w:val="Geenafstand"/>
        <w:jc w:val="both"/>
        <w:rPr>
          <w:i/>
        </w:rPr>
      </w:pPr>
      <w:r>
        <w:rPr>
          <w:i/>
        </w:rPr>
        <w:t>Een andere kwestie is</w:t>
      </w:r>
      <w:r w:rsidR="0011066E" w:rsidRPr="00A80264">
        <w:rPr>
          <w:i/>
        </w:rPr>
        <w:t xml:space="preserve"> het Europese Unierecht</w:t>
      </w:r>
      <w:r>
        <w:rPr>
          <w:i/>
        </w:rPr>
        <w:t xml:space="preserve"> en</w:t>
      </w:r>
      <w:r w:rsidR="0011066E" w:rsidRPr="00A80264">
        <w:rPr>
          <w:i/>
        </w:rPr>
        <w:t xml:space="preserve"> de verhouding tussen het </w:t>
      </w:r>
      <w:r w:rsidR="007724AF">
        <w:rPr>
          <w:i/>
        </w:rPr>
        <w:t>Hof</w:t>
      </w:r>
      <w:r w:rsidR="0011066E" w:rsidRPr="00A80264">
        <w:rPr>
          <w:i/>
        </w:rPr>
        <w:t xml:space="preserve"> en het Hof van Justitie. </w:t>
      </w:r>
      <w:r>
        <w:rPr>
          <w:i/>
        </w:rPr>
        <w:t xml:space="preserve">Wij </w:t>
      </w:r>
      <w:r w:rsidR="009F221E" w:rsidRPr="00A80264">
        <w:rPr>
          <w:i/>
        </w:rPr>
        <w:t>heb</w:t>
      </w:r>
      <w:r>
        <w:rPr>
          <w:i/>
        </w:rPr>
        <w:t>ben</w:t>
      </w:r>
      <w:r w:rsidR="009F221E" w:rsidRPr="00A80264">
        <w:rPr>
          <w:i/>
        </w:rPr>
        <w:t xml:space="preserve"> uw ‘Z</w:t>
      </w:r>
      <w:r w:rsidR="0011066E" w:rsidRPr="00A80264">
        <w:rPr>
          <w:i/>
        </w:rPr>
        <w:t xml:space="preserve">icht op </w:t>
      </w:r>
      <w:r w:rsidR="009F221E" w:rsidRPr="00A80264">
        <w:rPr>
          <w:i/>
        </w:rPr>
        <w:t xml:space="preserve">Straatsburg’-stukken gelezen, </w:t>
      </w:r>
      <w:r w:rsidR="0011066E" w:rsidRPr="00A80264">
        <w:rPr>
          <w:i/>
        </w:rPr>
        <w:t xml:space="preserve">en wat </w:t>
      </w:r>
      <w:r>
        <w:rPr>
          <w:i/>
        </w:rPr>
        <w:t>ons</w:t>
      </w:r>
      <w:r w:rsidR="0011066E" w:rsidRPr="00A80264">
        <w:rPr>
          <w:i/>
        </w:rPr>
        <w:t xml:space="preserve"> opviel is dat </w:t>
      </w:r>
      <w:r w:rsidR="00C6712C" w:rsidRPr="00A80264">
        <w:rPr>
          <w:i/>
        </w:rPr>
        <w:t xml:space="preserve">u met geen woord rept over </w:t>
      </w:r>
      <w:r w:rsidR="0011066E" w:rsidRPr="00A80264">
        <w:rPr>
          <w:i/>
        </w:rPr>
        <w:t>die verhouding tussen h</w:t>
      </w:r>
      <w:r w:rsidR="004D2C11" w:rsidRPr="00A80264">
        <w:rPr>
          <w:i/>
        </w:rPr>
        <w:t xml:space="preserve">et </w:t>
      </w:r>
      <w:r w:rsidR="007724AF">
        <w:rPr>
          <w:i/>
        </w:rPr>
        <w:t>Hof</w:t>
      </w:r>
      <w:r w:rsidR="004D2C11" w:rsidRPr="00A80264">
        <w:rPr>
          <w:i/>
        </w:rPr>
        <w:t xml:space="preserve"> en het </w:t>
      </w:r>
      <w:r w:rsidR="00C6712C" w:rsidRPr="00A80264">
        <w:rPr>
          <w:i/>
        </w:rPr>
        <w:t xml:space="preserve">Hof </w:t>
      </w:r>
      <w:r w:rsidR="004D2C11" w:rsidRPr="00A80264">
        <w:rPr>
          <w:i/>
        </w:rPr>
        <w:t>van Justitie</w:t>
      </w:r>
      <w:r w:rsidR="0058714A">
        <w:rPr>
          <w:i/>
        </w:rPr>
        <w:t>,</w:t>
      </w:r>
      <w:r w:rsidR="00E11783" w:rsidRPr="00A80264">
        <w:rPr>
          <w:i/>
        </w:rPr>
        <w:t xml:space="preserve"> </w:t>
      </w:r>
      <w:r w:rsidR="00C6712C" w:rsidRPr="00A80264">
        <w:rPr>
          <w:rFonts w:eastAsia="Times New Roman"/>
          <w:i/>
          <w:lang w:eastAsia="nl-NL"/>
        </w:rPr>
        <w:t xml:space="preserve">ondanks </w:t>
      </w:r>
      <w:r w:rsidR="004D2C11" w:rsidRPr="00A80264">
        <w:rPr>
          <w:i/>
        </w:rPr>
        <w:t>het wel</w:t>
      </w:r>
      <w:r w:rsidR="009F221E" w:rsidRPr="00A80264">
        <w:rPr>
          <w:i/>
        </w:rPr>
        <w:t xml:space="preserve">bekende, </w:t>
      </w:r>
      <w:r w:rsidR="00E11783" w:rsidRPr="00A80264">
        <w:rPr>
          <w:i/>
        </w:rPr>
        <w:t>fel bekritiseerde</w:t>
      </w:r>
      <w:r w:rsidR="004D2C11" w:rsidRPr="00A80264">
        <w:rPr>
          <w:i/>
        </w:rPr>
        <w:t xml:space="preserve"> </w:t>
      </w:r>
      <w:r w:rsidR="00C6712C" w:rsidRPr="00A80264">
        <w:rPr>
          <w:i/>
        </w:rPr>
        <w:t xml:space="preserve">Advies </w:t>
      </w:r>
      <w:r w:rsidR="004D2C11" w:rsidRPr="00A80264">
        <w:rPr>
          <w:i/>
        </w:rPr>
        <w:t>2</w:t>
      </w:r>
      <w:r w:rsidR="009F221E" w:rsidRPr="00A80264">
        <w:rPr>
          <w:i/>
        </w:rPr>
        <w:t>/</w:t>
      </w:r>
      <w:r w:rsidR="004D2C11" w:rsidRPr="00A80264">
        <w:rPr>
          <w:i/>
        </w:rPr>
        <w:t>13</w:t>
      </w:r>
      <w:r w:rsidR="0058714A">
        <w:rPr>
          <w:i/>
        </w:rPr>
        <w:t xml:space="preserve"> van het Hof van Justitie</w:t>
      </w:r>
      <w:r w:rsidR="004D2C11" w:rsidRPr="00A80264">
        <w:rPr>
          <w:i/>
        </w:rPr>
        <w:t>, dat in december 2014 is uit</w:t>
      </w:r>
      <w:r w:rsidR="009F221E" w:rsidRPr="00A80264">
        <w:rPr>
          <w:i/>
        </w:rPr>
        <w:t xml:space="preserve">gekomen. En als </w:t>
      </w:r>
      <w:r>
        <w:rPr>
          <w:i/>
        </w:rPr>
        <w:t>wij</w:t>
      </w:r>
      <w:r w:rsidRPr="00A80264">
        <w:rPr>
          <w:i/>
        </w:rPr>
        <w:t xml:space="preserve"> </w:t>
      </w:r>
      <w:r w:rsidR="009F221E" w:rsidRPr="00A80264">
        <w:rPr>
          <w:i/>
        </w:rPr>
        <w:t>uw ‘Zicht</w:t>
      </w:r>
      <w:r w:rsidR="00E11783" w:rsidRPr="00A80264">
        <w:rPr>
          <w:i/>
        </w:rPr>
        <w:t>en</w:t>
      </w:r>
      <w:r w:rsidR="009F221E" w:rsidRPr="00A80264">
        <w:rPr>
          <w:i/>
        </w:rPr>
        <w:t xml:space="preserve"> op S</w:t>
      </w:r>
      <w:r w:rsidR="004D2C11" w:rsidRPr="00A80264">
        <w:rPr>
          <w:i/>
        </w:rPr>
        <w:t>traatsburg</w:t>
      </w:r>
      <w:r w:rsidR="009F221E" w:rsidRPr="00A80264">
        <w:rPr>
          <w:i/>
        </w:rPr>
        <w:t>’</w:t>
      </w:r>
      <w:r w:rsidR="004D2C11" w:rsidRPr="00A80264">
        <w:rPr>
          <w:i/>
        </w:rPr>
        <w:t xml:space="preserve"> erop nasla</w:t>
      </w:r>
      <w:r w:rsidR="00C05980">
        <w:rPr>
          <w:i/>
        </w:rPr>
        <w:t>an</w:t>
      </w:r>
      <w:r w:rsidR="004D2C11" w:rsidRPr="00A80264">
        <w:rPr>
          <w:i/>
        </w:rPr>
        <w:t xml:space="preserve"> dan lijkt het zo’n beetje </w:t>
      </w:r>
      <w:r w:rsidR="0058714A">
        <w:rPr>
          <w:i/>
        </w:rPr>
        <w:t>‘</w:t>
      </w:r>
      <w:r w:rsidR="004D2C11" w:rsidRPr="00A80264">
        <w:rPr>
          <w:i/>
        </w:rPr>
        <w:t>business as usual</w:t>
      </w:r>
      <w:r w:rsidR="0058714A">
        <w:rPr>
          <w:i/>
        </w:rPr>
        <w:t>’</w:t>
      </w:r>
      <w:r w:rsidR="004D2C11" w:rsidRPr="00A80264">
        <w:rPr>
          <w:i/>
        </w:rPr>
        <w:t xml:space="preserve"> te zijn in </w:t>
      </w:r>
      <w:r w:rsidR="009F221E" w:rsidRPr="00A80264">
        <w:rPr>
          <w:i/>
        </w:rPr>
        <w:t>S</w:t>
      </w:r>
      <w:r w:rsidR="004D2C11" w:rsidRPr="00A80264">
        <w:rPr>
          <w:i/>
        </w:rPr>
        <w:t xml:space="preserve">traatsburg, terwijl </w:t>
      </w:r>
      <w:r w:rsidR="00C6712C" w:rsidRPr="00A80264">
        <w:rPr>
          <w:i/>
        </w:rPr>
        <w:t xml:space="preserve">dat Advies </w:t>
      </w:r>
      <w:r w:rsidR="004D2C11" w:rsidRPr="00A80264">
        <w:rPr>
          <w:i/>
        </w:rPr>
        <w:t>toch bij velen als een dreun aankwam.</w:t>
      </w:r>
      <w:r w:rsidR="008D60F2" w:rsidRPr="00A80264">
        <w:rPr>
          <w:rStyle w:val="Voetnootmarkering"/>
          <w:rFonts w:cstheme="minorHAnsi"/>
          <w:b/>
          <w:i/>
        </w:rPr>
        <w:footnoteReference w:id="13"/>
      </w:r>
      <w:r w:rsidR="004D2C11" w:rsidRPr="00A80264">
        <w:rPr>
          <w:i/>
        </w:rPr>
        <w:t xml:space="preserve"> </w:t>
      </w:r>
      <w:r>
        <w:rPr>
          <w:i/>
        </w:rPr>
        <w:t>Onze</w:t>
      </w:r>
      <w:r w:rsidRPr="00A80264">
        <w:rPr>
          <w:i/>
        </w:rPr>
        <w:t xml:space="preserve"> </w:t>
      </w:r>
      <w:r w:rsidR="004D2C11" w:rsidRPr="00A80264">
        <w:rPr>
          <w:i/>
        </w:rPr>
        <w:t>vraag is dus</w:t>
      </w:r>
      <w:r w:rsidR="009F221E" w:rsidRPr="00A80264">
        <w:rPr>
          <w:i/>
        </w:rPr>
        <w:t>:</w:t>
      </w:r>
      <w:r w:rsidR="004D2C11" w:rsidRPr="00A80264">
        <w:rPr>
          <w:i/>
        </w:rPr>
        <w:t xml:space="preserve"> klopt dat beeld</w:t>
      </w:r>
      <w:r w:rsidR="009F221E" w:rsidRPr="00A80264">
        <w:rPr>
          <w:i/>
        </w:rPr>
        <w:t>,</w:t>
      </w:r>
      <w:r w:rsidR="004D2C11" w:rsidRPr="00A80264">
        <w:rPr>
          <w:i/>
        </w:rPr>
        <w:t xml:space="preserve"> of heeft u toch wel ster</w:t>
      </w:r>
      <w:r w:rsidR="009F221E" w:rsidRPr="00A80264">
        <w:rPr>
          <w:i/>
        </w:rPr>
        <w:t>ke gevoelens over dit advies</w:t>
      </w:r>
      <w:r w:rsidR="00E11783" w:rsidRPr="00A80264">
        <w:rPr>
          <w:i/>
        </w:rPr>
        <w:t>?</w:t>
      </w:r>
      <w:r w:rsidR="00013C2B" w:rsidRPr="00A80264">
        <w:rPr>
          <w:i/>
        </w:rPr>
        <w:t xml:space="preserve"> </w:t>
      </w:r>
    </w:p>
    <w:p w14:paraId="1D2E9AB2" w14:textId="77777777" w:rsidR="00EF09C9" w:rsidRPr="00A80264" w:rsidRDefault="00EF09C9" w:rsidP="00A80264">
      <w:pPr>
        <w:pStyle w:val="Geenafstand"/>
        <w:jc w:val="both"/>
      </w:pPr>
    </w:p>
    <w:p w14:paraId="1FF1543D" w14:textId="3C8923C2" w:rsidR="002C6B99" w:rsidRPr="00EF09C9" w:rsidRDefault="004D2C11" w:rsidP="00A80264">
      <w:pPr>
        <w:jc w:val="both"/>
        <w:rPr>
          <w:rFonts w:cstheme="minorHAnsi"/>
        </w:rPr>
      </w:pPr>
      <w:r w:rsidRPr="00DC6EE1">
        <w:rPr>
          <w:rFonts w:cstheme="minorHAnsi"/>
        </w:rPr>
        <w:t>Nou, het is mij</w:t>
      </w:r>
      <w:r w:rsidR="00C6712C" w:rsidRPr="00DC6EE1">
        <w:rPr>
          <w:rFonts w:cstheme="minorHAnsi"/>
        </w:rPr>
        <w:t xml:space="preserve"> bekend</w:t>
      </w:r>
      <w:r w:rsidRPr="00626EB7">
        <w:rPr>
          <w:rFonts w:cstheme="minorHAnsi"/>
        </w:rPr>
        <w:t xml:space="preserve"> </w:t>
      </w:r>
      <w:r w:rsidR="009F221E" w:rsidRPr="009B6DCF">
        <w:rPr>
          <w:rFonts w:cstheme="minorHAnsi"/>
        </w:rPr>
        <w:t>dat het in S</w:t>
      </w:r>
      <w:r w:rsidRPr="009B6DCF">
        <w:rPr>
          <w:rFonts w:cstheme="minorHAnsi"/>
        </w:rPr>
        <w:t>traatsburg als een dreun</w:t>
      </w:r>
      <w:r w:rsidR="009F221E" w:rsidRPr="009B6DCF">
        <w:rPr>
          <w:rFonts w:cstheme="minorHAnsi"/>
        </w:rPr>
        <w:t xml:space="preserve"> is aangekomen, dat is door </w:t>
      </w:r>
      <w:r w:rsidR="002C6B99" w:rsidRPr="00B01C64">
        <w:rPr>
          <w:rFonts w:cstheme="minorHAnsi"/>
        </w:rPr>
        <w:t>toenmalig</w:t>
      </w:r>
      <w:r w:rsidR="009F221E" w:rsidRPr="00B01C64">
        <w:rPr>
          <w:rFonts w:cstheme="minorHAnsi"/>
        </w:rPr>
        <w:t xml:space="preserve"> Pr</w:t>
      </w:r>
      <w:r w:rsidRPr="00A90B65">
        <w:rPr>
          <w:rFonts w:cstheme="minorHAnsi"/>
        </w:rPr>
        <w:t xml:space="preserve">esident </w:t>
      </w:r>
      <w:r w:rsidR="002C6B99" w:rsidRPr="00A90B65">
        <w:rPr>
          <w:rFonts w:cstheme="minorHAnsi"/>
        </w:rPr>
        <w:t xml:space="preserve">Dean Spielmann </w:t>
      </w:r>
      <w:r w:rsidR="00204AB2">
        <w:rPr>
          <w:rFonts w:cstheme="minorHAnsi"/>
        </w:rPr>
        <w:t xml:space="preserve">ook </w:t>
      </w:r>
      <w:r w:rsidRPr="00A90B65">
        <w:rPr>
          <w:rFonts w:cstheme="minorHAnsi"/>
        </w:rPr>
        <w:t xml:space="preserve">gezegd bij gelegenheid </w:t>
      </w:r>
      <w:r w:rsidR="00204AB2">
        <w:rPr>
          <w:rFonts w:cstheme="minorHAnsi"/>
        </w:rPr>
        <w:t>van zijn</w:t>
      </w:r>
      <w:r w:rsidRPr="00A90B65">
        <w:rPr>
          <w:rFonts w:cstheme="minorHAnsi"/>
        </w:rPr>
        <w:t xml:space="preserve"> </w:t>
      </w:r>
      <w:r w:rsidR="00E11783" w:rsidRPr="00A80264">
        <w:rPr>
          <w:rFonts w:cstheme="minorHAnsi"/>
          <w:i/>
        </w:rPr>
        <w:t>solemn speech</w:t>
      </w:r>
      <w:r w:rsidR="00E11783" w:rsidRPr="00EF09C9">
        <w:rPr>
          <w:rFonts w:cstheme="minorHAnsi"/>
        </w:rPr>
        <w:t xml:space="preserve"> </w:t>
      </w:r>
      <w:r w:rsidR="00204AB2">
        <w:rPr>
          <w:rFonts w:cstheme="minorHAnsi"/>
        </w:rPr>
        <w:t xml:space="preserve">bij de </w:t>
      </w:r>
      <w:r w:rsidR="0058714A">
        <w:rPr>
          <w:rFonts w:cstheme="minorHAnsi"/>
        </w:rPr>
        <w:t>o</w:t>
      </w:r>
      <w:r w:rsidR="00204AB2">
        <w:rPr>
          <w:rFonts w:cstheme="minorHAnsi"/>
        </w:rPr>
        <w:t xml:space="preserve">pening van het </w:t>
      </w:r>
      <w:r w:rsidR="0058714A">
        <w:rPr>
          <w:rFonts w:cstheme="minorHAnsi"/>
        </w:rPr>
        <w:t>gerechtelijk</w:t>
      </w:r>
      <w:r w:rsidR="00204AB2">
        <w:rPr>
          <w:rFonts w:cstheme="minorHAnsi"/>
        </w:rPr>
        <w:t xml:space="preserve"> </w:t>
      </w:r>
      <w:r w:rsidR="0058714A">
        <w:rPr>
          <w:rFonts w:cstheme="minorHAnsi"/>
        </w:rPr>
        <w:t>j</w:t>
      </w:r>
      <w:r w:rsidR="00204AB2">
        <w:rPr>
          <w:rFonts w:cstheme="minorHAnsi"/>
        </w:rPr>
        <w:t xml:space="preserve">aar </w:t>
      </w:r>
      <w:r w:rsidRPr="00EF09C9">
        <w:rPr>
          <w:rFonts w:cstheme="minorHAnsi"/>
        </w:rPr>
        <w:t>in januari</w:t>
      </w:r>
      <w:r w:rsidR="002C6B99" w:rsidRPr="00EF09C9">
        <w:rPr>
          <w:rFonts w:cstheme="minorHAnsi"/>
        </w:rPr>
        <w:t xml:space="preserve"> 2015</w:t>
      </w:r>
      <w:r w:rsidRPr="00EF09C9">
        <w:rPr>
          <w:rFonts w:cstheme="minorHAnsi"/>
        </w:rPr>
        <w:t xml:space="preserve">, volgend op dat </w:t>
      </w:r>
      <w:r w:rsidR="00E11783" w:rsidRPr="00DC6EE1">
        <w:rPr>
          <w:rFonts w:cstheme="minorHAnsi"/>
        </w:rPr>
        <w:t>Advies</w:t>
      </w:r>
      <w:r w:rsidRPr="00626EB7">
        <w:rPr>
          <w:rFonts w:cstheme="minorHAnsi"/>
        </w:rPr>
        <w:t>.</w:t>
      </w:r>
      <w:r w:rsidR="00C6712C" w:rsidRPr="00EF09C9">
        <w:rPr>
          <w:rStyle w:val="Voetnootmarkering"/>
          <w:rFonts w:cstheme="minorHAnsi"/>
        </w:rPr>
        <w:footnoteReference w:id="14"/>
      </w:r>
      <w:r w:rsidRPr="00EF09C9">
        <w:rPr>
          <w:rFonts w:cstheme="minorHAnsi"/>
        </w:rPr>
        <w:t xml:space="preserve"> Het is voor zover ik weet </w:t>
      </w:r>
      <w:r w:rsidR="002C6B99" w:rsidRPr="00EF09C9">
        <w:rPr>
          <w:rFonts w:cstheme="minorHAnsi"/>
        </w:rPr>
        <w:t xml:space="preserve">inderdaad </w:t>
      </w:r>
      <w:r w:rsidRPr="00EF09C9">
        <w:rPr>
          <w:rFonts w:cstheme="minorHAnsi"/>
        </w:rPr>
        <w:t>zo dat de meeste rechters</w:t>
      </w:r>
      <w:r w:rsidR="002C6B99" w:rsidRPr="00DC6EE1">
        <w:rPr>
          <w:rFonts w:cstheme="minorHAnsi"/>
        </w:rPr>
        <w:t xml:space="preserve"> van het </w:t>
      </w:r>
      <w:r w:rsidR="007724AF">
        <w:rPr>
          <w:rFonts w:cstheme="minorHAnsi"/>
        </w:rPr>
        <w:t>Hof</w:t>
      </w:r>
      <w:r w:rsidRPr="00DC6EE1">
        <w:rPr>
          <w:rFonts w:cstheme="minorHAnsi"/>
        </w:rPr>
        <w:t xml:space="preserve"> zich daar</w:t>
      </w:r>
      <w:r w:rsidR="002C6B99" w:rsidRPr="00626EB7">
        <w:rPr>
          <w:rFonts w:cstheme="minorHAnsi"/>
        </w:rPr>
        <w:t xml:space="preserve"> verder</w:t>
      </w:r>
      <w:r w:rsidRPr="009B6DCF">
        <w:rPr>
          <w:rFonts w:cstheme="minorHAnsi"/>
        </w:rPr>
        <w:t xml:space="preserve"> publiekelijk</w:t>
      </w:r>
      <w:r w:rsidR="00E11783" w:rsidRPr="009B6DCF">
        <w:rPr>
          <w:rFonts w:cstheme="minorHAnsi"/>
        </w:rPr>
        <w:t xml:space="preserve"> </w:t>
      </w:r>
      <w:r w:rsidRPr="00B01C64">
        <w:rPr>
          <w:rFonts w:cstheme="minorHAnsi"/>
        </w:rPr>
        <w:t xml:space="preserve">nauwelijks of niet over hebben geuit. Dus </w:t>
      </w:r>
      <w:r w:rsidRPr="00B01C64">
        <w:rPr>
          <w:rFonts w:cstheme="minorHAnsi"/>
        </w:rPr>
        <w:lastRenderedPageBreak/>
        <w:t xml:space="preserve">dat er een brede verontwaardiging of teleurstelling </w:t>
      </w:r>
      <w:r w:rsidR="00204AB2">
        <w:rPr>
          <w:rFonts w:cstheme="minorHAnsi"/>
        </w:rPr>
        <w:t xml:space="preserve">door het Hof </w:t>
      </w:r>
      <w:r w:rsidRPr="00B01C64">
        <w:rPr>
          <w:rFonts w:cstheme="minorHAnsi"/>
        </w:rPr>
        <w:t>zou zijn geuit</w:t>
      </w:r>
      <w:r w:rsidR="0058714A">
        <w:rPr>
          <w:rFonts w:cstheme="minorHAnsi"/>
        </w:rPr>
        <w:t>,</w:t>
      </w:r>
      <w:r w:rsidR="002C6B99" w:rsidRPr="00A90B65">
        <w:rPr>
          <w:rFonts w:cstheme="minorHAnsi"/>
        </w:rPr>
        <w:t xml:space="preserve"> klopt niet helemaal. Naast </w:t>
      </w:r>
      <w:r w:rsidRPr="00A90B65">
        <w:rPr>
          <w:rFonts w:cstheme="minorHAnsi"/>
        </w:rPr>
        <w:t>die speech</w:t>
      </w:r>
      <w:r w:rsidR="002C6B99" w:rsidRPr="00A90B65">
        <w:rPr>
          <w:rFonts w:cstheme="minorHAnsi"/>
        </w:rPr>
        <w:t xml:space="preserve">, waarin Spielmann </w:t>
      </w:r>
      <w:r w:rsidRPr="00A90B65">
        <w:rPr>
          <w:rFonts w:cstheme="minorHAnsi"/>
        </w:rPr>
        <w:t>zei dat het een grote teleurstelling was</w:t>
      </w:r>
      <w:r w:rsidR="00C05980">
        <w:rPr>
          <w:rFonts w:cstheme="minorHAnsi"/>
        </w:rPr>
        <w:t>,</w:t>
      </w:r>
      <w:r w:rsidR="00E11783" w:rsidRPr="00A90B65">
        <w:rPr>
          <w:rFonts w:cstheme="minorHAnsi"/>
        </w:rPr>
        <w:t xml:space="preserve"> heeft</w:t>
      </w:r>
      <w:r w:rsidR="009F221E" w:rsidRPr="00A90B65">
        <w:rPr>
          <w:rFonts w:cstheme="minorHAnsi"/>
        </w:rPr>
        <w:t xml:space="preserve"> hij </w:t>
      </w:r>
      <w:r w:rsidR="002C6B99" w:rsidRPr="00A90B65">
        <w:rPr>
          <w:rFonts w:cstheme="minorHAnsi"/>
        </w:rPr>
        <w:t xml:space="preserve">er </w:t>
      </w:r>
      <w:r w:rsidR="009F221E" w:rsidRPr="00A90B65">
        <w:rPr>
          <w:rFonts w:cstheme="minorHAnsi"/>
        </w:rPr>
        <w:t>nog</w:t>
      </w:r>
      <w:r w:rsidR="002C6B99" w:rsidRPr="00A90B65">
        <w:rPr>
          <w:rFonts w:cstheme="minorHAnsi"/>
        </w:rPr>
        <w:t xml:space="preserve"> iets</w:t>
      </w:r>
      <w:r w:rsidR="009F221E" w:rsidRPr="00A90B65">
        <w:rPr>
          <w:rFonts w:cstheme="minorHAnsi"/>
        </w:rPr>
        <w:t xml:space="preserve"> in een </w:t>
      </w:r>
      <w:r w:rsidRPr="00A90B65">
        <w:rPr>
          <w:rFonts w:cstheme="minorHAnsi"/>
        </w:rPr>
        <w:t xml:space="preserve">rede in Engeland over gezegd, maar verder is </w:t>
      </w:r>
      <w:r w:rsidR="00C05980">
        <w:rPr>
          <w:rFonts w:cstheme="minorHAnsi"/>
        </w:rPr>
        <w:t>er</w:t>
      </w:r>
      <w:r w:rsidRPr="00A90B65">
        <w:rPr>
          <w:rFonts w:cstheme="minorHAnsi"/>
        </w:rPr>
        <w:t xml:space="preserve"> eigenlijk </w:t>
      </w:r>
      <w:r w:rsidR="00B372A3">
        <w:rPr>
          <w:rFonts w:cstheme="minorHAnsi"/>
        </w:rPr>
        <w:t xml:space="preserve">vooral </w:t>
      </w:r>
      <w:r w:rsidRPr="00A90B65">
        <w:rPr>
          <w:rFonts w:cstheme="minorHAnsi"/>
        </w:rPr>
        <w:t xml:space="preserve">een groot stilzwijgen geweest vanuit het </w:t>
      </w:r>
      <w:r w:rsidR="00A27495">
        <w:rPr>
          <w:rFonts w:cstheme="minorHAnsi"/>
        </w:rPr>
        <w:t>Hof</w:t>
      </w:r>
      <w:r w:rsidRPr="00A90B65">
        <w:rPr>
          <w:rFonts w:cstheme="minorHAnsi"/>
        </w:rPr>
        <w:t xml:space="preserve">. </w:t>
      </w:r>
      <w:r w:rsidR="00A27495">
        <w:rPr>
          <w:rFonts w:cstheme="minorHAnsi"/>
        </w:rPr>
        <w:t>I</w:t>
      </w:r>
      <w:r w:rsidRPr="00A90B65">
        <w:rPr>
          <w:rFonts w:cstheme="minorHAnsi"/>
        </w:rPr>
        <w:t xml:space="preserve">k heb me er ook niet </w:t>
      </w:r>
      <w:r w:rsidR="00B372A3">
        <w:rPr>
          <w:rFonts w:cstheme="minorHAnsi"/>
        </w:rPr>
        <w:t>nadrukkelijk</w:t>
      </w:r>
      <w:r w:rsidRPr="00A90B65">
        <w:rPr>
          <w:rFonts w:cstheme="minorHAnsi"/>
        </w:rPr>
        <w:t xml:space="preserve"> over geuit. Achteraf gesproken heeft het mij eerlijk gezegd niet helemaal verbaasd dat </w:t>
      </w:r>
      <w:r w:rsidR="00B372A3">
        <w:rPr>
          <w:rFonts w:cstheme="minorHAnsi"/>
        </w:rPr>
        <w:t>het</w:t>
      </w:r>
      <w:r w:rsidR="00E11783" w:rsidRPr="00A90B65">
        <w:rPr>
          <w:rFonts w:cstheme="minorHAnsi"/>
        </w:rPr>
        <w:t xml:space="preserve"> Advies</w:t>
      </w:r>
      <w:r w:rsidR="00B372A3">
        <w:rPr>
          <w:rFonts w:cstheme="minorHAnsi"/>
        </w:rPr>
        <w:t xml:space="preserve"> van het Hof van Justitie</w:t>
      </w:r>
      <w:r w:rsidRPr="00A90B65">
        <w:rPr>
          <w:rFonts w:cstheme="minorHAnsi"/>
        </w:rPr>
        <w:t xml:space="preserve"> deze strekking zou krijgen. Voor een deel vind ik de technische bezwaren en problemen die worden opgeworpen w</w:t>
      </w:r>
      <w:r w:rsidR="009F221E" w:rsidRPr="00A90B65">
        <w:rPr>
          <w:rFonts w:cstheme="minorHAnsi"/>
        </w:rPr>
        <w:t xml:space="preserve">el hout snijden. </w:t>
      </w:r>
      <w:r w:rsidR="00A27495">
        <w:rPr>
          <w:rFonts w:cstheme="minorHAnsi"/>
        </w:rPr>
        <w:t>I</w:t>
      </w:r>
      <w:r w:rsidRPr="00A90B65">
        <w:rPr>
          <w:rFonts w:cstheme="minorHAnsi"/>
        </w:rPr>
        <w:t xml:space="preserve">k heb </w:t>
      </w:r>
      <w:r w:rsidR="00B372A3">
        <w:rPr>
          <w:rFonts w:cstheme="minorHAnsi"/>
        </w:rPr>
        <w:t>daar</w:t>
      </w:r>
      <w:r w:rsidRPr="00A90B65">
        <w:rPr>
          <w:rFonts w:cstheme="minorHAnsi"/>
        </w:rPr>
        <w:t xml:space="preserve"> </w:t>
      </w:r>
      <w:r w:rsidR="00A27495">
        <w:rPr>
          <w:rFonts w:cstheme="minorHAnsi"/>
        </w:rPr>
        <w:t xml:space="preserve">nog wel </w:t>
      </w:r>
      <w:r w:rsidRPr="00A90B65">
        <w:rPr>
          <w:rFonts w:cstheme="minorHAnsi"/>
        </w:rPr>
        <w:t>over geschreven</w:t>
      </w:r>
      <w:r w:rsidR="009F221E" w:rsidRPr="00A90B65">
        <w:rPr>
          <w:rFonts w:cstheme="minorHAnsi"/>
        </w:rPr>
        <w:t xml:space="preserve"> naar aanleiding van </w:t>
      </w:r>
      <w:r w:rsidR="00391F7F" w:rsidRPr="00A90B65">
        <w:rPr>
          <w:rFonts w:cstheme="minorHAnsi"/>
        </w:rPr>
        <w:t xml:space="preserve">een </w:t>
      </w:r>
      <w:r w:rsidR="00B372A3">
        <w:rPr>
          <w:rFonts w:cstheme="minorHAnsi"/>
        </w:rPr>
        <w:t xml:space="preserve">bijeenkomst voor </w:t>
      </w:r>
      <w:r w:rsidR="0033769F">
        <w:rPr>
          <w:rFonts w:cstheme="minorHAnsi"/>
        </w:rPr>
        <w:t>cassatiea</w:t>
      </w:r>
      <w:r w:rsidR="0033769F" w:rsidRPr="0033769F">
        <w:t>dvocaten</w:t>
      </w:r>
      <w:r w:rsidR="00B372A3" w:rsidRPr="0033769F">
        <w:t xml:space="preserve"> met oud-rechter</w:t>
      </w:r>
      <w:r w:rsidR="002C6B99" w:rsidRPr="0033769F">
        <w:t xml:space="preserve"> </w:t>
      </w:r>
      <w:r w:rsidRPr="00147597">
        <w:t xml:space="preserve">Timmermans, die vroeger in het </w:t>
      </w:r>
      <w:r w:rsidR="002C6B99" w:rsidRPr="0033769F">
        <w:t xml:space="preserve">Hof </w:t>
      </w:r>
      <w:r w:rsidR="00391F7F" w:rsidRPr="001741CA">
        <w:t xml:space="preserve">van </w:t>
      </w:r>
      <w:r w:rsidR="002C6B99" w:rsidRPr="001741CA">
        <w:t>J</w:t>
      </w:r>
      <w:r w:rsidR="00391F7F" w:rsidRPr="001741CA">
        <w:t xml:space="preserve">ustitie </w:t>
      </w:r>
      <w:r w:rsidR="002C6B99" w:rsidRPr="001741CA">
        <w:t>zat</w:t>
      </w:r>
      <w:r w:rsidR="0058714A">
        <w:t>,</w:t>
      </w:r>
      <w:r w:rsidR="00B372A3" w:rsidRPr="001741CA">
        <w:t xml:space="preserve"> en de hoogleraar Marc Loth, oud-raadsheer in de Hoge Raad</w:t>
      </w:r>
      <w:r w:rsidRPr="00A90B65">
        <w:rPr>
          <w:rFonts w:cstheme="minorHAnsi"/>
        </w:rPr>
        <w:t>.</w:t>
      </w:r>
      <w:r w:rsidR="002C6B99" w:rsidRPr="00EF09C9">
        <w:rPr>
          <w:rStyle w:val="Voetnootmarkering"/>
          <w:rFonts w:cstheme="minorHAnsi"/>
        </w:rPr>
        <w:footnoteReference w:id="15"/>
      </w:r>
      <w:r w:rsidRPr="00EF09C9">
        <w:rPr>
          <w:rFonts w:cstheme="minorHAnsi"/>
        </w:rPr>
        <w:t xml:space="preserve"> Er zit een probleem in d</w:t>
      </w:r>
      <w:r w:rsidR="009F221E" w:rsidRPr="00EF09C9">
        <w:rPr>
          <w:rFonts w:cstheme="minorHAnsi"/>
        </w:rPr>
        <w:t xml:space="preserve">ie toetredingsdiscussie, </w:t>
      </w:r>
      <w:r w:rsidR="00A27495">
        <w:rPr>
          <w:rFonts w:cstheme="minorHAnsi"/>
        </w:rPr>
        <w:t>namelijk</w:t>
      </w:r>
      <w:r w:rsidRPr="00DC6EE1">
        <w:rPr>
          <w:rFonts w:cstheme="minorHAnsi"/>
        </w:rPr>
        <w:t xml:space="preserve"> dat de soevereiniteit van de </w:t>
      </w:r>
      <w:r w:rsidR="00311EF3">
        <w:rPr>
          <w:rFonts w:cstheme="minorHAnsi"/>
        </w:rPr>
        <w:t>staten</w:t>
      </w:r>
      <w:r w:rsidR="00311EF3" w:rsidRPr="00DC6EE1">
        <w:rPr>
          <w:rFonts w:cstheme="minorHAnsi"/>
        </w:rPr>
        <w:t xml:space="preserve"> </w:t>
      </w:r>
      <w:r w:rsidRPr="00DC6EE1">
        <w:rPr>
          <w:rFonts w:cstheme="minorHAnsi"/>
        </w:rPr>
        <w:t>minder</w:t>
      </w:r>
      <w:r w:rsidR="00311EF3">
        <w:rPr>
          <w:rFonts w:cstheme="minorHAnsi"/>
        </w:rPr>
        <w:t xml:space="preserve"> groot</w:t>
      </w:r>
      <w:r w:rsidRPr="00DC6EE1">
        <w:rPr>
          <w:rFonts w:cstheme="minorHAnsi"/>
        </w:rPr>
        <w:t xml:space="preserve"> wordt naarmate er meer door </w:t>
      </w:r>
      <w:r w:rsidR="00E11783" w:rsidRPr="009B6DCF">
        <w:rPr>
          <w:rFonts w:cstheme="minorHAnsi"/>
        </w:rPr>
        <w:t>EU-</w:t>
      </w:r>
      <w:r w:rsidRPr="009B6DCF">
        <w:rPr>
          <w:rFonts w:cstheme="minorHAnsi"/>
        </w:rPr>
        <w:t>recht wordt bestreken</w:t>
      </w:r>
      <w:r w:rsidR="002C6B99" w:rsidRPr="009B6DCF">
        <w:rPr>
          <w:rFonts w:cstheme="minorHAnsi"/>
        </w:rPr>
        <w:t xml:space="preserve">. </w:t>
      </w:r>
      <w:r w:rsidR="002C6B99" w:rsidRPr="00B01C64">
        <w:rPr>
          <w:rFonts w:cstheme="minorHAnsi"/>
        </w:rPr>
        <w:t xml:space="preserve">Die ontwikkeling </w:t>
      </w:r>
      <w:r w:rsidR="002C6B99" w:rsidRPr="00A90B65">
        <w:rPr>
          <w:rFonts w:cstheme="minorHAnsi"/>
        </w:rPr>
        <w:t xml:space="preserve">gaat ten koste van </w:t>
      </w:r>
      <w:r w:rsidR="00E11783" w:rsidRPr="00A90B65">
        <w:rPr>
          <w:rFonts w:cstheme="minorHAnsi"/>
        </w:rPr>
        <w:t xml:space="preserve">het </w:t>
      </w:r>
      <w:r w:rsidR="002C6B99" w:rsidRPr="00A90B65">
        <w:rPr>
          <w:rFonts w:cstheme="minorHAnsi"/>
        </w:rPr>
        <w:t>individueel klachtrecht</w:t>
      </w:r>
      <w:r w:rsidRPr="00A90B65">
        <w:rPr>
          <w:rFonts w:cstheme="minorHAnsi"/>
        </w:rPr>
        <w:t xml:space="preserve">, zolang dat beperkt is tot alle zaken met uitzondering van </w:t>
      </w:r>
      <w:r w:rsidR="00A27495">
        <w:rPr>
          <w:rFonts w:cstheme="minorHAnsi"/>
        </w:rPr>
        <w:t xml:space="preserve">het </w:t>
      </w:r>
      <w:r w:rsidRPr="00A90B65">
        <w:rPr>
          <w:rFonts w:cstheme="minorHAnsi"/>
        </w:rPr>
        <w:t>EU</w:t>
      </w:r>
      <w:r w:rsidR="00E11783" w:rsidRPr="00A90B65">
        <w:rPr>
          <w:rFonts w:cstheme="minorHAnsi"/>
        </w:rPr>
        <w:t>-</w:t>
      </w:r>
      <w:r w:rsidRPr="00A90B65">
        <w:rPr>
          <w:rFonts w:cstheme="minorHAnsi"/>
        </w:rPr>
        <w:t>recht. Dat is</w:t>
      </w:r>
      <w:r w:rsidR="00311EF3">
        <w:rPr>
          <w:rFonts w:cstheme="minorHAnsi"/>
        </w:rPr>
        <w:t>,</w:t>
      </w:r>
      <w:r w:rsidRPr="00A90B65">
        <w:rPr>
          <w:rFonts w:cstheme="minorHAnsi"/>
        </w:rPr>
        <w:t xml:space="preserve"> denk ik</w:t>
      </w:r>
      <w:r w:rsidR="00311EF3">
        <w:rPr>
          <w:rFonts w:cstheme="minorHAnsi"/>
        </w:rPr>
        <w:t>,</w:t>
      </w:r>
      <w:r w:rsidRPr="00A90B65">
        <w:rPr>
          <w:rFonts w:cstheme="minorHAnsi"/>
        </w:rPr>
        <w:t xml:space="preserve"> het probleem. In theorie kun je wel klagen over ontwikkelingen van EU</w:t>
      </w:r>
      <w:r w:rsidR="00E11783" w:rsidRPr="00A90B65">
        <w:rPr>
          <w:rFonts w:cstheme="minorHAnsi"/>
        </w:rPr>
        <w:t>-</w:t>
      </w:r>
      <w:r w:rsidR="002C6B99" w:rsidRPr="00A90B65">
        <w:rPr>
          <w:rFonts w:cstheme="minorHAnsi"/>
        </w:rPr>
        <w:t>recht</w:t>
      </w:r>
      <w:r w:rsidRPr="00A90B65">
        <w:rPr>
          <w:rFonts w:cstheme="minorHAnsi"/>
        </w:rPr>
        <w:t xml:space="preserve"> die strijdig zijn met mensenrechte</w:t>
      </w:r>
      <w:r w:rsidR="002C6B99" w:rsidRPr="00A90B65">
        <w:rPr>
          <w:rFonts w:cstheme="minorHAnsi"/>
        </w:rPr>
        <w:t>n</w:t>
      </w:r>
      <w:r w:rsidRPr="00A90B65">
        <w:rPr>
          <w:rFonts w:cstheme="minorHAnsi"/>
        </w:rPr>
        <w:t xml:space="preserve"> door een klacht in te dienen tegen alle lidstaten van de EU die tegelijkertijd oo</w:t>
      </w:r>
      <w:r w:rsidR="003F3DB1" w:rsidRPr="00A90B65">
        <w:rPr>
          <w:rFonts w:cstheme="minorHAnsi"/>
        </w:rPr>
        <w:t xml:space="preserve">k partij zijn bij het </w:t>
      </w:r>
      <w:r w:rsidR="002C6B99" w:rsidRPr="00A90B65">
        <w:rPr>
          <w:rFonts w:cstheme="minorHAnsi"/>
        </w:rPr>
        <w:t>EVRM. D</w:t>
      </w:r>
      <w:r w:rsidRPr="00A90B65">
        <w:rPr>
          <w:rFonts w:cstheme="minorHAnsi"/>
        </w:rPr>
        <w:t xml:space="preserve">at is </w:t>
      </w:r>
      <w:r w:rsidR="00A27495">
        <w:rPr>
          <w:rFonts w:cstheme="minorHAnsi"/>
        </w:rPr>
        <w:t xml:space="preserve">wel </w:t>
      </w:r>
      <w:r w:rsidRPr="00A90B65">
        <w:rPr>
          <w:rFonts w:cstheme="minorHAnsi"/>
        </w:rPr>
        <w:t>een tamelijk omslachtig</w:t>
      </w:r>
      <w:r w:rsidR="00A40EA7" w:rsidRPr="00A90B65">
        <w:rPr>
          <w:rFonts w:cstheme="minorHAnsi"/>
        </w:rPr>
        <w:t xml:space="preserve">e procedure en die is vooralsnog niet succesvol geweest, en zou vooralsnog stuiten op de </w:t>
      </w:r>
      <w:r w:rsidR="00E11783" w:rsidRPr="00A80264">
        <w:rPr>
          <w:rFonts w:cstheme="minorHAnsi"/>
          <w:i/>
        </w:rPr>
        <w:t>Bosphorus</w:t>
      </w:r>
      <w:r w:rsidR="00E11783" w:rsidRPr="00EF09C9">
        <w:rPr>
          <w:rFonts w:cstheme="minorHAnsi"/>
        </w:rPr>
        <w:t>-</w:t>
      </w:r>
      <w:r w:rsidR="003F3DB1" w:rsidRPr="00EF09C9">
        <w:rPr>
          <w:rFonts w:cstheme="minorHAnsi"/>
        </w:rPr>
        <w:t>doctrine.</w:t>
      </w:r>
      <w:r w:rsidR="00321DCF" w:rsidRPr="00EF09C9">
        <w:rPr>
          <w:rStyle w:val="Voetnootmarkering"/>
          <w:rFonts w:cstheme="minorHAnsi"/>
        </w:rPr>
        <w:footnoteReference w:id="16"/>
      </w:r>
      <w:r w:rsidR="003F3DB1" w:rsidRPr="00EF09C9">
        <w:rPr>
          <w:rFonts w:cstheme="minorHAnsi"/>
        </w:rPr>
        <w:t xml:space="preserve"> </w:t>
      </w:r>
    </w:p>
    <w:p w14:paraId="08397D22" w14:textId="63169116" w:rsidR="004D2C11" w:rsidRPr="009B6DCF" w:rsidRDefault="003F3DB1" w:rsidP="00A80264">
      <w:pPr>
        <w:jc w:val="both"/>
        <w:rPr>
          <w:rFonts w:cstheme="minorHAnsi"/>
        </w:rPr>
      </w:pPr>
      <w:r w:rsidRPr="00EF09C9">
        <w:rPr>
          <w:rFonts w:cstheme="minorHAnsi"/>
        </w:rPr>
        <w:t>Dus, één,</w:t>
      </w:r>
      <w:r w:rsidR="00A40EA7" w:rsidRPr="00EF09C9">
        <w:rPr>
          <w:rFonts w:cstheme="minorHAnsi"/>
        </w:rPr>
        <w:t xml:space="preserve"> er was een soort algemeen stilzwijgen vanuit de gedachte</w:t>
      </w:r>
      <w:r w:rsidR="00A40EA7" w:rsidRPr="00DC6EE1">
        <w:rPr>
          <w:rFonts w:cstheme="minorHAnsi"/>
        </w:rPr>
        <w:t>, en dat is natuurlijk wel onderling besproken</w:t>
      </w:r>
      <w:r w:rsidR="00311EF3">
        <w:rPr>
          <w:rFonts w:cstheme="minorHAnsi"/>
        </w:rPr>
        <w:t>:</w:t>
      </w:r>
      <w:r w:rsidR="00A40EA7" w:rsidRPr="00DC6EE1">
        <w:rPr>
          <w:rFonts w:cstheme="minorHAnsi"/>
        </w:rPr>
        <w:t xml:space="preserve"> wij moeten </w:t>
      </w:r>
      <w:r w:rsidR="00A40EA7" w:rsidRPr="00626EB7">
        <w:rPr>
          <w:rFonts w:cstheme="minorHAnsi"/>
        </w:rPr>
        <w:t xml:space="preserve">niet heftig reageren op </w:t>
      </w:r>
      <w:r w:rsidR="00E11783" w:rsidRPr="009B6DCF">
        <w:rPr>
          <w:rFonts w:cstheme="minorHAnsi"/>
        </w:rPr>
        <w:t>dit Advies</w:t>
      </w:r>
      <w:r w:rsidR="002C6B99" w:rsidRPr="00B01C64">
        <w:rPr>
          <w:rFonts w:cstheme="minorHAnsi"/>
        </w:rPr>
        <w:t xml:space="preserve">. </w:t>
      </w:r>
      <w:r w:rsidR="00E11783" w:rsidRPr="00A90B65">
        <w:rPr>
          <w:rFonts w:cstheme="minorHAnsi"/>
        </w:rPr>
        <w:t>Dit Advies</w:t>
      </w:r>
      <w:r w:rsidRPr="00A90B65">
        <w:rPr>
          <w:rFonts w:cstheme="minorHAnsi"/>
        </w:rPr>
        <w:t xml:space="preserve"> van het Hof van J</w:t>
      </w:r>
      <w:r w:rsidR="00A40EA7" w:rsidRPr="00A90B65">
        <w:rPr>
          <w:rFonts w:cstheme="minorHAnsi"/>
        </w:rPr>
        <w:t xml:space="preserve">ustitie raakt vooral een probleem van de Europese Unie, dat is </w:t>
      </w:r>
      <w:r w:rsidRPr="00A90B65">
        <w:rPr>
          <w:rFonts w:cstheme="minorHAnsi"/>
        </w:rPr>
        <w:t xml:space="preserve">primair </w:t>
      </w:r>
      <w:r w:rsidR="002C6B99" w:rsidRPr="00A90B65">
        <w:rPr>
          <w:rFonts w:cstheme="minorHAnsi"/>
        </w:rPr>
        <w:t>hun</w:t>
      </w:r>
      <w:r w:rsidRPr="00A90B65">
        <w:rPr>
          <w:rFonts w:cstheme="minorHAnsi"/>
        </w:rPr>
        <w:t xml:space="preserve"> probleem</w:t>
      </w:r>
      <w:r w:rsidR="002C6B99" w:rsidRPr="00A90B65">
        <w:rPr>
          <w:rFonts w:cstheme="minorHAnsi"/>
        </w:rPr>
        <w:t xml:space="preserve"> en</w:t>
      </w:r>
      <w:r w:rsidRPr="00A90B65">
        <w:rPr>
          <w:rFonts w:cstheme="minorHAnsi"/>
        </w:rPr>
        <w:t xml:space="preserve"> </w:t>
      </w:r>
      <w:r w:rsidR="00A40EA7" w:rsidRPr="00A90B65">
        <w:rPr>
          <w:rFonts w:cstheme="minorHAnsi"/>
        </w:rPr>
        <w:t xml:space="preserve">niet een </w:t>
      </w:r>
      <w:r w:rsidRPr="00A90B65">
        <w:rPr>
          <w:rFonts w:cstheme="minorHAnsi"/>
        </w:rPr>
        <w:t>S</w:t>
      </w:r>
      <w:r w:rsidR="00A40EA7" w:rsidRPr="00A90B65">
        <w:rPr>
          <w:rFonts w:cstheme="minorHAnsi"/>
        </w:rPr>
        <w:t>traatsburgs probleem</w:t>
      </w:r>
      <w:r w:rsidR="002C6B99" w:rsidRPr="00A90B65">
        <w:rPr>
          <w:rFonts w:cstheme="minorHAnsi"/>
        </w:rPr>
        <w:t xml:space="preserve">. </w:t>
      </w:r>
      <w:r w:rsidR="008D60F2" w:rsidRPr="00A90B65">
        <w:rPr>
          <w:rFonts w:cstheme="minorHAnsi"/>
        </w:rPr>
        <w:t>En, twee, w</w:t>
      </w:r>
      <w:r w:rsidR="00A40EA7" w:rsidRPr="00A90B65">
        <w:rPr>
          <w:rFonts w:cstheme="minorHAnsi"/>
        </w:rPr>
        <w:t>e moeten geleidelijk doorgaan met de ontwik</w:t>
      </w:r>
      <w:r w:rsidRPr="00A90B65">
        <w:rPr>
          <w:rFonts w:cstheme="minorHAnsi"/>
        </w:rPr>
        <w:t>keling van goede verhoudingen, t</w:t>
      </w:r>
      <w:r w:rsidR="00A40EA7" w:rsidRPr="00A90B65">
        <w:rPr>
          <w:rFonts w:cstheme="minorHAnsi"/>
        </w:rPr>
        <w:t xml:space="preserve">en behoeve van </w:t>
      </w:r>
      <w:r w:rsidR="008D60F2" w:rsidRPr="00A90B65">
        <w:rPr>
          <w:rFonts w:cstheme="minorHAnsi"/>
        </w:rPr>
        <w:t xml:space="preserve">de </w:t>
      </w:r>
      <w:r w:rsidR="00A40EA7" w:rsidRPr="00A90B65">
        <w:rPr>
          <w:rFonts w:cstheme="minorHAnsi"/>
        </w:rPr>
        <w:t>rechtszekerheid en een goede rechtsontwikkeling. Het was na</w:t>
      </w:r>
      <w:r w:rsidRPr="00A90B65">
        <w:rPr>
          <w:rFonts w:cstheme="minorHAnsi"/>
        </w:rPr>
        <w:t>tuurlijk ook een moment dat D</w:t>
      </w:r>
      <w:r w:rsidR="00A40EA7" w:rsidRPr="00A90B65">
        <w:rPr>
          <w:rFonts w:cstheme="minorHAnsi"/>
        </w:rPr>
        <w:t>ean Spielmann naar het eind van zijn presidentschap gi</w:t>
      </w:r>
      <w:r w:rsidRPr="00A90B65">
        <w:rPr>
          <w:rFonts w:cstheme="minorHAnsi"/>
        </w:rPr>
        <w:t>ng</w:t>
      </w:r>
      <w:r w:rsidR="00E11783" w:rsidRPr="00A90B65">
        <w:rPr>
          <w:rFonts w:cstheme="minorHAnsi"/>
        </w:rPr>
        <w:t>,</w:t>
      </w:r>
      <w:r w:rsidRPr="00A90B65">
        <w:rPr>
          <w:rFonts w:cstheme="minorHAnsi"/>
        </w:rPr>
        <w:t xml:space="preserve"> </w:t>
      </w:r>
      <w:r w:rsidR="008D60F2" w:rsidRPr="00A90B65">
        <w:rPr>
          <w:rFonts w:cstheme="minorHAnsi"/>
        </w:rPr>
        <w:t>net als</w:t>
      </w:r>
      <w:r w:rsidRPr="00A90B65">
        <w:rPr>
          <w:rFonts w:cstheme="minorHAnsi"/>
        </w:rPr>
        <w:t xml:space="preserve"> </w:t>
      </w:r>
      <w:r w:rsidR="00A27495">
        <w:rPr>
          <w:rFonts w:cstheme="minorHAnsi"/>
        </w:rPr>
        <w:t xml:space="preserve">Vassilios </w:t>
      </w:r>
      <w:r w:rsidRPr="00A90B65">
        <w:rPr>
          <w:rFonts w:cstheme="minorHAnsi"/>
        </w:rPr>
        <w:t>Skouris bij het Europese Hof van J</w:t>
      </w:r>
      <w:r w:rsidR="00A40EA7" w:rsidRPr="00A90B65">
        <w:rPr>
          <w:rFonts w:cstheme="minorHAnsi"/>
        </w:rPr>
        <w:t>us</w:t>
      </w:r>
      <w:r w:rsidRPr="00A90B65">
        <w:rPr>
          <w:rFonts w:cstheme="minorHAnsi"/>
        </w:rPr>
        <w:t>t</w:t>
      </w:r>
      <w:r w:rsidR="00A40EA7" w:rsidRPr="00A90B65">
        <w:rPr>
          <w:rFonts w:cstheme="minorHAnsi"/>
        </w:rPr>
        <w:t>itie</w:t>
      </w:r>
      <w:r w:rsidR="008D60F2" w:rsidRPr="00A90B65">
        <w:rPr>
          <w:rFonts w:cstheme="minorHAnsi"/>
        </w:rPr>
        <w:t>. D</w:t>
      </w:r>
      <w:r w:rsidR="00A40EA7" w:rsidRPr="00A90B65">
        <w:rPr>
          <w:rFonts w:cstheme="minorHAnsi"/>
        </w:rPr>
        <w:t>us da</w:t>
      </w:r>
      <w:r w:rsidR="008D60F2" w:rsidRPr="00A90B65">
        <w:rPr>
          <w:rFonts w:cstheme="minorHAnsi"/>
        </w:rPr>
        <w:t>arna</w:t>
      </w:r>
      <w:r w:rsidR="00A40EA7" w:rsidRPr="00A90B65">
        <w:rPr>
          <w:rFonts w:cstheme="minorHAnsi"/>
        </w:rPr>
        <w:t xml:space="preserve"> kreeg je </w:t>
      </w:r>
      <w:r w:rsidR="00B372A3">
        <w:rPr>
          <w:rFonts w:cstheme="minorHAnsi"/>
        </w:rPr>
        <w:t xml:space="preserve">de nieuwe presidenten </w:t>
      </w:r>
      <w:r w:rsidR="00A40EA7" w:rsidRPr="00A90B65">
        <w:rPr>
          <w:rFonts w:cstheme="minorHAnsi"/>
        </w:rPr>
        <w:t>Koen Lenaerts in Luxembur</w:t>
      </w:r>
      <w:r w:rsidRPr="00A90B65">
        <w:rPr>
          <w:rFonts w:cstheme="minorHAnsi"/>
        </w:rPr>
        <w:t xml:space="preserve">g en Guido Raimondi bij ons </w:t>
      </w:r>
      <w:r w:rsidR="00E11783" w:rsidRPr="00A90B65">
        <w:rPr>
          <w:rFonts w:cstheme="minorHAnsi"/>
        </w:rPr>
        <w:t>Hof</w:t>
      </w:r>
      <w:r w:rsidRPr="00A90B65">
        <w:rPr>
          <w:rFonts w:cstheme="minorHAnsi"/>
        </w:rPr>
        <w:t xml:space="preserve">, </w:t>
      </w:r>
      <w:r w:rsidR="00A40EA7" w:rsidRPr="00A90B65">
        <w:rPr>
          <w:rFonts w:cstheme="minorHAnsi"/>
        </w:rPr>
        <w:t>en die hebben de dialoog weer opgepakt</w:t>
      </w:r>
      <w:r w:rsidR="008D60F2" w:rsidRPr="00A90B65">
        <w:rPr>
          <w:rFonts w:cstheme="minorHAnsi"/>
        </w:rPr>
        <w:t>. I</w:t>
      </w:r>
      <w:r w:rsidR="00A40EA7" w:rsidRPr="00A90B65">
        <w:rPr>
          <w:rFonts w:cstheme="minorHAnsi"/>
        </w:rPr>
        <w:t>k ben zelf lid geweest van een delegatie die op bezoek is geweest</w:t>
      </w:r>
      <w:r w:rsidR="00E11783" w:rsidRPr="00A90B65">
        <w:rPr>
          <w:rFonts w:cstheme="minorHAnsi"/>
        </w:rPr>
        <w:t xml:space="preserve"> in Luxemburg</w:t>
      </w:r>
      <w:r w:rsidR="00A40EA7" w:rsidRPr="00A90B65">
        <w:rPr>
          <w:rFonts w:cstheme="minorHAnsi"/>
        </w:rPr>
        <w:t>, en er is een gesprek gaande over onderwerpen die beide instituten raken</w:t>
      </w:r>
      <w:r w:rsidR="00A27495">
        <w:rPr>
          <w:rFonts w:cstheme="minorHAnsi"/>
        </w:rPr>
        <w:t>. D</w:t>
      </w:r>
      <w:r w:rsidR="00A40EA7" w:rsidRPr="00A90B65">
        <w:rPr>
          <w:rFonts w:cstheme="minorHAnsi"/>
        </w:rPr>
        <w:t>at is natuurlijk ook zichtbaar in de rechtspraak</w:t>
      </w:r>
      <w:r w:rsidRPr="00A90B65">
        <w:rPr>
          <w:rFonts w:cstheme="minorHAnsi"/>
        </w:rPr>
        <w:t xml:space="preserve">. </w:t>
      </w:r>
      <w:r w:rsidR="008D60F2" w:rsidRPr="00A80264">
        <w:rPr>
          <w:rFonts w:cstheme="minorHAnsi"/>
          <w:i/>
        </w:rPr>
        <w:t>Avotiņš</w:t>
      </w:r>
      <w:r w:rsidR="008D60F2" w:rsidRPr="00A80264">
        <w:rPr>
          <w:rFonts w:cstheme="minorHAnsi"/>
        </w:rPr>
        <w:t xml:space="preserve"> </w:t>
      </w:r>
      <w:r w:rsidR="00E11783" w:rsidRPr="00EF09C9">
        <w:rPr>
          <w:rFonts w:cstheme="minorHAnsi"/>
          <w:i/>
        </w:rPr>
        <w:t xml:space="preserve">tegen </w:t>
      </w:r>
      <w:r w:rsidR="008D60F2" w:rsidRPr="00A80264">
        <w:rPr>
          <w:rFonts w:cstheme="minorHAnsi"/>
          <w:i/>
        </w:rPr>
        <w:t>Letland</w:t>
      </w:r>
      <w:r w:rsidR="00311EF3">
        <w:rPr>
          <w:rFonts w:cstheme="minorHAnsi"/>
        </w:rPr>
        <w:t xml:space="preserve">, beslist door </w:t>
      </w:r>
      <w:r w:rsidR="00A40EA7" w:rsidRPr="00EF09C9">
        <w:rPr>
          <w:rFonts w:cstheme="minorHAnsi"/>
        </w:rPr>
        <w:t xml:space="preserve">de </w:t>
      </w:r>
      <w:r w:rsidR="008D60F2" w:rsidRPr="00DC6EE1">
        <w:rPr>
          <w:rFonts w:cstheme="minorHAnsi"/>
        </w:rPr>
        <w:t xml:space="preserve">Grote </w:t>
      </w:r>
      <w:r w:rsidR="008D60F2" w:rsidRPr="009B6DCF">
        <w:rPr>
          <w:rFonts w:cstheme="minorHAnsi"/>
        </w:rPr>
        <w:t>Kamer</w:t>
      </w:r>
      <w:r w:rsidR="00311EF3">
        <w:rPr>
          <w:rFonts w:cstheme="minorHAnsi"/>
        </w:rPr>
        <w:t>,</w:t>
      </w:r>
      <w:r w:rsidR="008D60F2" w:rsidRPr="009B6DCF">
        <w:rPr>
          <w:rFonts w:cstheme="minorHAnsi"/>
        </w:rPr>
        <w:t xml:space="preserve"> </w:t>
      </w:r>
      <w:r w:rsidR="00A40EA7" w:rsidRPr="009B6DCF">
        <w:rPr>
          <w:rFonts w:cstheme="minorHAnsi"/>
        </w:rPr>
        <w:t xml:space="preserve">raakt aan een punt van </w:t>
      </w:r>
      <w:r w:rsidR="00AE0DB5" w:rsidRPr="00B01C64">
        <w:rPr>
          <w:rFonts w:cstheme="minorHAnsi"/>
        </w:rPr>
        <w:t>EU-</w:t>
      </w:r>
      <w:r w:rsidR="00A40EA7" w:rsidRPr="00B01C64">
        <w:rPr>
          <w:rFonts w:cstheme="minorHAnsi"/>
        </w:rPr>
        <w:t>recht en</w:t>
      </w:r>
      <w:r w:rsidRPr="00B01C64">
        <w:rPr>
          <w:rFonts w:cstheme="minorHAnsi"/>
        </w:rPr>
        <w:t xml:space="preserve"> een</w:t>
      </w:r>
      <w:r w:rsidR="00A40EA7" w:rsidRPr="00A90B65">
        <w:rPr>
          <w:rFonts w:cstheme="minorHAnsi"/>
        </w:rPr>
        <w:t xml:space="preserve"> </w:t>
      </w:r>
      <w:r w:rsidRPr="00A90B65">
        <w:rPr>
          <w:rFonts w:cstheme="minorHAnsi"/>
        </w:rPr>
        <w:t>mogelijk kwetsbaar punt in de S</w:t>
      </w:r>
      <w:r w:rsidR="00A40EA7" w:rsidRPr="00A90B65">
        <w:rPr>
          <w:rFonts w:cstheme="minorHAnsi"/>
        </w:rPr>
        <w:t>traatsburgse jurisprudentie</w:t>
      </w:r>
      <w:r w:rsidR="008D60F2" w:rsidRPr="00A90B65">
        <w:rPr>
          <w:rFonts w:cstheme="minorHAnsi"/>
        </w:rPr>
        <w:t>.</w:t>
      </w:r>
      <w:r w:rsidR="008D60F2" w:rsidRPr="00EF09C9">
        <w:rPr>
          <w:rStyle w:val="Voetnootmarkering"/>
          <w:rFonts w:cstheme="minorHAnsi"/>
        </w:rPr>
        <w:footnoteReference w:id="17"/>
      </w:r>
      <w:r w:rsidR="008D60F2" w:rsidRPr="00EF09C9">
        <w:rPr>
          <w:rFonts w:cstheme="minorHAnsi"/>
        </w:rPr>
        <w:t xml:space="preserve"> M</w:t>
      </w:r>
      <w:r w:rsidR="00A40EA7" w:rsidRPr="00EF09C9">
        <w:rPr>
          <w:rFonts w:cstheme="minorHAnsi"/>
        </w:rPr>
        <w:t xml:space="preserve">aar wezenlijk is de opstelling van </w:t>
      </w:r>
      <w:r w:rsidRPr="00DC6EE1">
        <w:rPr>
          <w:rFonts w:cstheme="minorHAnsi"/>
        </w:rPr>
        <w:t>S</w:t>
      </w:r>
      <w:r w:rsidR="00A40EA7" w:rsidRPr="00DC6EE1">
        <w:rPr>
          <w:rFonts w:cstheme="minorHAnsi"/>
        </w:rPr>
        <w:t>traatsburg, althans in mijn ogen, nog niet veranderd. Maar er zijn aanwijzingen dat er nog steeds een zekere kwetsbaarheid ligt op het punt van bescherming van mensenrechten in het EU</w:t>
      </w:r>
      <w:r w:rsidR="00AE0DB5" w:rsidRPr="009B6DCF">
        <w:rPr>
          <w:rFonts w:cstheme="minorHAnsi"/>
        </w:rPr>
        <w:t>-</w:t>
      </w:r>
      <w:r w:rsidR="00A40EA7" w:rsidRPr="009B6DCF">
        <w:rPr>
          <w:rFonts w:cstheme="minorHAnsi"/>
        </w:rPr>
        <w:t xml:space="preserve">recht die vraagt om een oplossing. </w:t>
      </w:r>
    </w:p>
    <w:p w14:paraId="20823415" w14:textId="77777777" w:rsidR="00EF09C9" w:rsidRDefault="00550242" w:rsidP="00A80264">
      <w:pPr>
        <w:pStyle w:val="Geenafstand"/>
        <w:jc w:val="both"/>
      </w:pPr>
      <w:r w:rsidRPr="00A80264">
        <w:rPr>
          <w:i/>
        </w:rPr>
        <w:t>U noemt al ve</w:t>
      </w:r>
      <w:r w:rsidR="003F3DB1" w:rsidRPr="00A80264">
        <w:rPr>
          <w:i/>
        </w:rPr>
        <w:t>el</w:t>
      </w:r>
      <w:r w:rsidR="008D60F2" w:rsidRPr="00A80264">
        <w:rPr>
          <w:i/>
        </w:rPr>
        <w:t xml:space="preserve"> belangrijke</w:t>
      </w:r>
      <w:r w:rsidR="003F3DB1" w:rsidRPr="00A80264">
        <w:rPr>
          <w:i/>
        </w:rPr>
        <w:t xml:space="preserve"> punten. Misschien eerst even</w:t>
      </w:r>
      <w:r w:rsidR="00AE0DB5" w:rsidRPr="00A80264">
        <w:rPr>
          <w:i/>
        </w:rPr>
        <w:t xml:space="preserve"> terug:</w:t>
      </w:r>
      <w:r w:rsidR="003F3DB1" w:rsidRPr="00A80264">
        <w:rPr>
          <w:i/>
        </w:rPr>
        <w:t xml:space="preserve"> u heeft het </w:t>
      </w:r>
      <w:r w:rsidR="008D60F2" w:rsidRPr="00A80264">
        <w:rPr>
          <w:i/>
        </w:rPr>
        <w:t>er</w:t>
      </w:r>
      <w:r w:rsidR="003F3DB1" w:rsidRPr="00A80264">
        <w:rPr>
          <w:i/>
        </w:rPr>
        <w:t>over</w:t>
      </w:r>
      <w:r w:rsidRPr="00A80264">
        <w:rPr>
          <w:i/>
        </w:rPr>
        <w:t xml:space="preserve"> dat u in </w:t>
      </w:r>
      <w:r w:rsidR="00AE0DB5" w:rsidRPr="00A80264">
        <w:rPr>
          <w:i/>
        </w:rPr>
        <w:t xml:space="preserve">een </w:t>
      </w:r>
      <w:r w:rsidRPr="00A80264">
        <w:rPr>
          <w:i/>
        </w:rPr>
        <w:t xml:space="preserve">delegatie zat. </w:t>
      </w:r>
      <w:r w:rsidR="00A27495">
        <w:rPr>
          <w:i/>
        </w:rPr>
        <w:t xml:space="preserve">Wij </w:t>
      </w:r>
      <w:r w:rsidRPr="00A80264">
        <w:rPr>
          <w:i/>
        </w:rPr>
        <w:t>heb</w:t>
      </w:r>
      <w:r w:rsidR="00A27495">
        <w:rPr>
          <w:i/>
        </w:rPr>
        <w:t>ben</w:t>
      </w:r>
      <w:r w:rsidRPr="00A80264">
        <w:rPr>
          <w:i/>
        </w:rPr>
        <w:t xml:space="preserve"> proberen na te gaan </w:t>
      </w:r>
      <w:r w:rsidR="00AE0DB5" w:rsidRPr="00A80264">
        <w:rPr>
          <w:i/>
        </w:rPr>
        <w:t xml:space="preserve">wanneer </w:t>
      </w:r>
      <w:r w:rsidRPr="00A80264">
        <w:rPr>
          <w:i/>
        </w:rPr>
        <w:t xml:space="preserve">die formele contacten tussen het Hof van Justitie en het </w:t>
      </w:r>
      <w:r w:rsidR="007724AF">
        <w:rPr>
          <w:i/>
        </w:rPr>
        <w:t>Hof</w:t>
      </w:r>
      <w:r w:rsidRPr="00A80264">
        <w:rPr>
          <w:i/>
        </w:rPr>
        <w:t xml:space="preserve"> </w:t>
      </w:r>
      <w:r w:rsidR="00AE0DB5" w:rsidRPr="00A80264">
        <w:rPr>
          <w:i/>
        </w:rPr>
        <w:t xml:space="preserve">weer </w:t>
      </w:r>
      <w:r w:rsidRPr="00A80264">
        <w:rPr>
          <w:i/>
        </w:rPr>
        <w:t>zij</w:t>
      </w:r>
      <w:r w:rsidR="003F3DB1" w:rsidRPr="00A80264">
        <w:rPr>
          <w:i/>
        </w:rPr>
        <w:t xml:space="preserve">n hervat, en naar </w:t>
      </w:r>
      <w:r w:rsidR="00A27495">
        <w:rPr>
          <w:i/>
        </w:rPr>
        <w:t>wij</w:t>
      </w:r>
      <w:r w:rsidR="003F3DB1" w:rsidRPr="00A80264">
        <w:rPr>
          <w:i/>
        </w:rPr>
        <w:t xml:space="preserve"> men</w:t>
      </w:r>
      <w:r w:rsidR="00A27495">
        <w:rPr>
          <w:i/>
        </w:rPr>
        <w:t>en</w:t>
      </w:r>
      <w:r w:rsidRPr="00A80264">
        <w:rPr>
          <w:i/>
        </w:rPr>
        <w:t xml:space="preserve"> is er pas in maart 2016, dus anderhalf jaa</w:t>
      </w:r>
      <w:r w:rsidR="003F3DB1" w:rsidRPr="00A80264">
        <w:rPr>
          <w:i/>
        </w:rPr>
        <w:t xml:space="preserve">r na </w:t>
      </w:r>
      <w:r w:rsidR="008D60F2" w:rsidRPr="00A80264">
        <w:rPr>
          <w:i/>
        </w:rPr>
        <w:t>A</w:t>
      </w:r>
      <w:r w:rsidR="003F3DB1" w:rsidRPr="00A80264">
        <w:rPr>
          <w:i/>
        </w:rPr>
        <w:t>dvies</w:t>
      </w:r>
      <w:r w:rsidR="008D60F2" w:rsidRPr="00A80264">
        <w:rPr>
          <w:i/>
        </w:rPr>
        <w:t xml:space="preserve"> 2/13</w:t>
      </w:r>
      <w:r w:rsidR="00AE0DB5" w:rsidRPr="00A80264">
        <w:rPr>
          <w:i/>
        </w:rPr>
        <w:t>,</w:t>
      </w:r>
      <w:r w:rsidR="008D60F2" w:rsidRPr="00A80264">
        <w:rPr>
          <w:i/>
        </w:rPr>
        <w:t xml:space="preserve"> een</w:t>
      </w:r>
      <w:r w:rsidRPr="00A80264">
        <w:rPr>
          <w:i/>
        </w:rPr>
        <w:t xml:space="preserve"> delegatie</w:t>
      </w:r>
      <w:r w:rsidR="008D60F2" w:rsidRPr="00A80264">
        <w:rPr>
          <w:i/>
        </w:rPr>
        <w:t xml:space="preserve"> op bezoek</w:t>
      </w:r>
      <w:r w:rsidRPr="00A80264">
        <w:rPr>
          <w:i/>
        </w:rPr>
        <w:t xml:space="preserve"> geweest.</w:t>
      </w:r>
      <w:r w:rsidR="008D60F2" w:rsidRPr="00A80264">
        <w:rPr>
          <w:rStyle w:val="Voetnootmarkering"/>
          <w:rFonts w:cstheme="minorHAnsi"/>
          <w:b/>
          <w:i/>
        </w:rPr>
        <w:footnoteReference w:id="18"/>
      </w:r>
      <w:r w:rsidRPr="00A80264">
        <w:rPr>
          <w:i/>
        </w:rPr>
        <w:t xml:space="preserve"> Terwijl </w:t>
      </w:r>
      <w:r w:rsidR="008D60F2" w:rsidRPr="00A80264">
        <w:rPr>
          <w:i/>
        </w:rPr>
        <w:t xml:space="preserve">dit </w:t>
      </w:r>
      <w:r w:rsidRPr="00A80264">
        <w:rPr>
          <w:i/>
        </w:rPr>
        <w:t>voorheen</w:t>
      </w:r>
      <w:r w:rsidR="003F3DB1" w:rsidRPr="00A80264">
        <w:rPr>
          <w:i/>
        </w:rPr>
        <w:t xml:space="preserve"> zeker één, maar vaak</w:t>
      </w:r>
      <w:r w:rsidRPr="00A80264">
        <w:rPr>
          <w:i/>
        </w:rPr>
        <w:t xml:space="preserve"> twee keer </w:t>
      </w:r>
      <w:r w:rsidR="003F3DB1" w:rsidRPr="00A80264">
        <w:rPr>
          <w:i/>
        </w:rPr>
        <w:t>per jaar</w:t>
      </w:r>
      <w:r w:rsidR="008D60F2" w:rsidRPr="00A80264">
        <w:rPr>
          <w:i/>
        </w:rPr>
        <w:t xml:space="preserve"> </w:t>
      </w:r>
      <w:r w:rsidR="00AE0DB5" w:rsidRPr="00A80264">
        <w:rPr>
          <w:i/>
        </w:rPr>
        <w:t>plaatsvond</w:t>
      </w:r>
      <w:r w:rsidRPr="00A80264">
        <w:rPr>
          <w:i/>
        </w:rPr>
        <w:t xml:space="preserve">. </w:t>
      </w:r>
    </w:p>
    <w:p w14:paraId="3E14BBFB" w14:textId="77777777" w:rsidR="00550242" w:rsidRPr="00A80264" w:rsidRDefault="00550242" w:rsidP="00A80264">
      <w:pPr>
        <w:pStyle w:val="Geenafstand"/>
        <w:jc w:val="both"/>
      </w:pPr>
    </w:p>
    <w:p w14:paraId="3C7C686C" w14:textId="77777777" w:rsidR="00550242" w:rsidRDefault="00550242" w:rsidP="00A80264">
      <w:pPr>
        <w:pStyle w:val="Geenafstand"/>
        <w:jc w:val="both"/>
      </w:pPr>
      <w:r w:rsidRPr="00DC6EE1">
        <w:t>Het stemt wel overeen met mijn beeld, ja.</w:t>
      </w:r>
    </w:p>
    <w:p w14:paraId="0BBEC1B7" w14:textId="77777777" w:rsidR="00EF09C9" w:rsidRPr="00DC6EE1" w:rsidRDefault="00EF09C9" w:rsidP="00A80264">
      <w:pPr>
        <w:pStyle w:val="Geenafstand"/>
        <w:jc w:val="both"/>
      </w:pPr>
    </w:p>
    <w:p w14:paraId="301A5216" w14:textId="77777777" w:rsidR="00EF09C9" w:rsidRDefault="00550242" w:rsidP="00A80264">
      <w:pPr>
        <w:pStyle w:val="Geenafstand"/>
        <w:jc w:val="both"/>
        <w:rPr>
          <w:i/>
        </w:rPr>
      </w:pPr>
      <w:r w:rsidRPr="00A80264">
        <w:rPr>
          <w:i/>
        </w:rPr>
        <w:t>En informele contacten, stonden die dan ook op een lager pitje dan voorheen?</w:t>
      </w:r>
      <w:r w:rsidR="00013C2B" w:rsidRPr="00A80264">
        <w:rPr>
          <w:i/>
        </w:rPr>
        <w:t xml:space="preserve"> </w:t>
      </w:r>
    </w:p>
    <w:p w14:paraId="7CCBF034" w14:textId="77777777" w:rsidR="00EF09C9" w:rsidRDefault="00EF09C9" w:rsidP="00A80264">
      <w:pPr>
        <w:pStyle w:val="Geenafstand"/>
        <w:jc w:val="both"/>
        <w:rPr>
          <w:i/>
        </w:rPr>
      </w:pPr>
    </w:p>
    <w:p w14:paraId="36CAEF68" w14:textId="67C530B6" w:rsidR="00550242" w:rsidRDefault="00550242" w:rsidP="00A80264">
      <w:pPr>
        <w:pStyle w:val="Geenafstand"/>
        <w:jc w:val="both"/>
      </w:pPr>
      <w:r w:rsidRPr="00DC6EE1">
        <w:t xml:space="preserve">Dat kan ik moeilijk zeggen. Trouwens, dat </w:t>
      </w:r>
      <w:r w:rsidR="008D60F2" w:rsidRPr="00626EB7">
        <w:t>bezoek</w:t>
      </w:r>
      <w:r w:rsidRPr="009B6DCF">
        <w:t xml:space="preserve"> heeft wel een min of m</w:t>
      </w:r>
      <w:r w:rsidR="003F3DB1" w:rsidRPr="009B6DCF">
        <w:t>eer formeel karakter</w:t>
      </w:r>
      <w:r w:rsidR="00311EF3">
        <w:t>;</w:t>
      </w:r>
      <w:r w:rsidRPr="00B01C64">
        <w:t xml:space="preserve"> er </w:t>
      </w:r>
      <w:r w:rsidR="00DC5B33">
        <w:t>wordt</w:t>
      </w:r>
      <w:r w:rsidRPr="00B01C64">
        <w:t xml:space="preserve"> ook naar verwezen in de motivering </w:t>
      </w:r>
      <w:r w:rsidRPr="00EF09C9">
        <w:t>voor de toetreding</w:t>
      </w:r>
      <w:r w:rsidR="003F3DB1" w:rsidRPr="00EF09C9">
        <w:t xml:space="preserve"> zoals die in </w:t>
      </w:r>
      <w:r w:rsidR="002D34D9">
        <w:t xml:space="preserve">een verklaring bij </w:t>
      </w:r>
      <w:r w:rsidR="003F3DB1" w:rsidRPr="00EF09C9">
        <w:t xml:space="preserve">het </w:t>
      </w:r>
      <w:r w:rsidR="008D60F2" w:rsidRPr="00EF09C9">
        <w:t xml:space="preserve">Verdrag </w:t>
      </w:r>
      <w:r w:rsidR="003F3DB1" w:rsidRPr="00EF09C9">
        <w:t xml:space="preserve">van </w:t>
      </w:r>
      <w:r w:rsidR="003F3DB1" w:rsidRPr="00EF09C9">
        <w:lastRenderedPageBreak/>
        <w:t>Li</w:t>
      </w:r>
      <w:r w:rsidRPr="00DC6EE1">
        <w:t>ssabon staat.</w:t>
      </w:r>
      <w:r w:rsidR="002D34D9">
        <w:rPr>
          <w:rStyle w:val="Voetnootmarkering"/>
        </w:rPr>
        <w:footnoteReference w:id="19"/>
      </w:r>
      <w:r w:rsidRPr="00DC6EE1">
        <w:t xml:space="preserve"> </w:t>
      </w:r>
      <w:r w:rsidR="00DC5B33">
        <w:t>D</w:t>
      </w:r>
      <w:r w:rsidRPr="00DC6EE1">
        <w:t xml:space="preserve">aar staat nog dat verwacht werd dat de toetreding zou leiden tot een versterking van de dialoog. </w:t>
      </w:r>
      <w:r w:rsidR="003F3DB1" w:rsidRPr="009B6DCF">
        <w:t xml:space="preserve">Daarmee heeft </w:t>
      </w:r>
      <w:r w:rsidR="00B41228">
        <w:t>de dialoog</w:t>
      </w:r>
      <w:r w:rsidR="003F3DB1" w:rsidRPr="009B6DCF">
        <w:t xml:space="preserve"> al een zeker formeel karakter. </w:t>
      </w:r>
      <w:r w:rsidRPr="00B01C64">
        <w:t>Kijk, informele contacten die zijn er natuurlijk</w:t>
      </w:r>
      <w:r w:rsidR="00B41228">
        <w:t xml:space="preserve"> ook</w:t>
      </w:r>
      <w:r w:rsidRPr="00B01C64">
        <w:t xml:space="preserve">. Een flink aantal rechters binnen het </w:t>
      </w:r>
      <w:r w:rsidR="00AE0DB5" w:rsidRPr="00B01C64">
        <w:t>H</w:t>
      </w:r>
      <w:r w:rsidRPr="00B01C64">
        <w:t xml:space="preserve">of van </w:t>
      </w:r>
      <w:r w:rsidR="003F3DB1" w:rsidRPr="000437DB">
        <w:t xml:space="preserve">Straatsburg kent rechters in Luxemburg. Sommige rechters </w:t>
      </w:r>
      <w:r w:rsidRPr="000437DB">
        <w:t xml:space="preserve">hebben </w:t>
      </w:r>
      <w:r w:rsidR="00321DCF" w:rsidRPr="000437DB">
        <w:t xml:space="preserve">eerder met deze rechters </w:t>
      </w:r>
      <w:r w:rsidRPr="000437DB">
        <w:t>als nabije collega</w:t>
      </w:r>
      <w:r w:rsidR="00321DCF" w:rsidRPr="000437DB">
        <w:t>’</w:t>
      </w:r>
      <w:r w:rsidRPr="000437DB">
        <w:t xml:space="preserve">s gewerkt. Ik heb geen volledig overzicht daarover, maar die </w:t>
      </w:r>
      <w:r w:rsidR="00AE0DB5" w:rsidRPr="000437DB">
        <w:t xml:space="preserve">contacten </w:t>
      </w:r>
      <w:r w:rsidRPr="000437DB">
        <w:t xml:space="preserve">zijn wel gebleven. </w:t>
      </w:r>
    </w:p>
    <w:p w14:paraId="224F2DA4" w14:textId="77777777" w:rsidR="00EF09C9" w:rsidRPr="00A80264" w:rsidRDefault="00EF09C9" w:rsidP="00A80264">
      <w:pPr>
        <w:pStyle w:val="Geenafstand"/>
        <w:jc w:val="both"/>
        <w:rPr>
          <w:i/>
        </w:rPr>
      </w:pPr>
    </w:p>
    <w:p w14:paraId="524C1C30" w14:textId="77777777" w:rsidR="00EF09C9" w:rsidRPr="00DC6EE1" w:rsidRDefault="00EF09C9" w:rsidP="00A80264">
      <w:pPr>
        <w:pStyle w:val="Geenafstand"/>
        <w:jc w:val="both"/>
      </w:pPr>
    </w:p>
    <w:p w14:paraId="4CE23866" w14:textId="4B47B13C" w:rsidR="00EF09C9" w:rsidRPr="00A80264" w:rsidRDefault="00311EF3" w:rsidP="00A80264">
      <w:pPr>
        <w:pStyle w:val="Geenafstand"/>
        <w:jc w:val="both"/>
        <w:rPr>
          <w:i/>
        </w:rPr>
      </w:pPr>
      <w:r>
        <w:rPr>
          <w:i/>
        </w:rPr>
        <w:t>Met betrekking tot</w:t>
      </w:r>
      <w:r w:rsidRPr="00A80264">
        <w:rPr>
          <w:i/>
        </w:rPr>
        <w:t xml:space="preserve"> </w:t>
      </w:r>
      <w:r w:rsidR="00AE0DB5" w:rsidRPr="00A80264">
        <w:rPr>
          <w:i/>
        </w:rPr>
        <w:t>d</w:t>
      </w:r>
      <w:r w:rsidR="00A4719F" w:rsidRPr="00A80264">
        <w:rPr>
          <w:i/>
        </w:rPr>
        <w:t xml:space="preserve">e </w:t>
      </w:r>
      <w:r w:rsidR="00321DCF" w:rsidRPr="00A80264">
        <w:rPr>
          <w:i/>
        </w:rPr>
        <w:t xml:space="preserve">zaak </w:t>
      </w:r>
      <w:r w:rsidR="003F3DB1" w:rsidRPr="00A80264">
        <w:rPr>
          <w:i/>
        </w:rPr>
        <w:t xml:space="preserve">die u </w:t>
      </w:r>
      <w:r w:rsidR="00DC5B33">
        <w:rPr>
          <w:i/>
        </w:rPr>
        <w:t xml:space="preserve">eerder </w:t>
      </w:r>
      <w:r w:rsidR="003F3DB1" w:rsidRPr="00A80264">
        <w:rPr>
          <w:i/>
        </w:rPr>
        <w:t>noem</w:t>
      </w:r>
      <w:r w:rsidR="00DC5B33">
        <w:rPr>
          <w:i/>
        </w:rPr>
        <w:t>de</w:t>
      </w:r>
      <w:r w:rsidR="003F3DB1" w:rsidRPr="00A80264">
        <w:rPr>
          <w:i/>
        </w:rPr>
        <w:t xml:space="preserve">, </w:t>
      </w:r>
      <w:r w:rsidR="00321DCF" w:rsidRPr="00A80264">
        <w:rPr>
          <w:i/>
        </w:rPr>
        <w:t>Avotiņš</w:t>
      </w:r>
      <w:r w:rsidR="00A4719F" w:rsidRPr="00A80264">
        <w:rPr>
          <w:i/>
        </w:rPr>
        <w:t xml:space="preserve">, werd </w:t>
      </w:r>
      <w:r w:rsidR="00AE0DB5" w:rsidRPr="00A80264">
        <w:rPr>
          <w:i/>
        </w:rPr>
        <w:t xml:space="preserve">in </w:t>
      </w:r>
      <w:r w:rsidR="00A4719F" w:rsidRPr="00A80264">
        <w:rPr>
          <w:i/>
        </w:rPr>
        <w:t xml:space="preserve">de literatuur </w:t>
      </w:r>
      <w:r w:rsidR="003F3DB1" w:rsidRPr="00A80264">
        <w:rPr>
          <w:i/>
        </w:rPr>
        <w:t xml:space="preserve">erg gespeculeerd </w:t>
      </w:r>
      <w:r w:rsidR="00321DCF" w:rsidRPr="00A80264">
        <w:rPr>
          <w:i/>
        </w:rPr>
        <w:t>of</w:t>
      </w:r>
      <w:r w:rsidR="003F3DB1" w:rsidRPr="00A80264">
        <w:rPr>
          <w:i/>
        </w:rPr>
        <w:t xml:space="preserve"> het</w:t>
      </w:r>
      <w:r w:rsidR="00DC5B33">
        <w:rPr>
          <w:i/>
        </w:rPr>
        <w:t xml:space="preserve"> Hof in die zaak het</w:t>
      </w:r>
      <w:r w:rsidR="003F3DB1" w:rsidRPr="00A80264">
        <w:rPr>
          <w:i/>
        </w:rPr>
        <w:t xml:space="preserve"> B</w:t>
      </w:r>
      <w:r w:rsidR="00A4719F" w:rsidRPr="00A80264">
        <w:rPr>
          <w:i/>
        </w:rPr>
        <w:t>osphorus</w:t>
      </w:r>
      <w:r>
        <w:rPr>
          <w:i/>
        </w:rPr>
        <w:t>-</w:t>
      </w:r>
      <w:r w:rsidR="00A4719F" w:rsidRPr="00A80264">
        <w:rPr>
          <w:i/>
        </w:rPr>
        <w:t xml:space="preserve">vermoeden van gelijkwaardige mensenrechtenbescherming misschien aan de kant </w:t>
      </w:r>
      <w:r w:rsidR="00AE0DB5" w:rsidRPr="00A80264">
        <w:rPr>
          <w:i/>
        </w:rPr>
        <w:t xml:space="preserve">zou zetten </w:t>
      </w:r>
      <w:r w:rsidR="00A4719F" w:rsidRPr="00A80264">
        <w:rPr>
          <w:i/>
        </w:rPr>
        <w:t>als een soort van tegenreactie</w:t>
      </w:r>
      <w:r w:rsidR="00321DCF" w:rsidRPr="00A80264">
        <w:rPr>
          <w:i/>
        </w:rPr>
        <w:t xml:space="preserve"> op Advies 2/13</w:t>
      </w:r>
      <w:r w:rsidR="00A4719F" w:rsidRPr="00A80264">
        <w:rPr>
          <w:i/>
        </w:rPr>
        <w:t xml:space="preserve">. </w:t>
      </w:r>
      <w:r w:rsidR="00321DCF" w:rsidRPr="00A80264">
        <w:rPr>
          <w:i/>
        </w:rPr>
        <w:t>Z</w:t>
      </w:r>
      <w:r w:rsidR="00A4719F" w:rsidRPr="00A80264">
        <w:rPr>
          <w:i/>
        </w:rPr>
        <w:t xml:space="preserve">oals u zelf zegt, </w:t>
      </w:r>
      <w:r w:rsidR="00AE0DB5" w:rsidRPr="00A80264">
        <w:rPr>
          <w:i/>
        </w:rPr>
        <w:t xml:space="preserve">heeft </w:t>
      </w:r>
      <w:r w:rsidR="00A4719F" w:rsidRPr="00A80264">
        <w:rPr>
          <w:i/>
        </w:rPr>
        <w:t xml:space="preserve">het </w:t>
      </w:r>
      <w:r w:rsidR="003F3DB1" w:rsidRPr="00A80264">
        <w:rPr>
          <w:i/>
        </w:rPr>
        <w:t>S</w:t>
      </w:r>
      <w:r w:rsidR="00A4719F" w:rsidRPr="00A80264">
        <w:rPr>
          <w:i/>
        </w:rPr>
        <w:t>traatsburgs</w:t>
      </w:r>
      <w:r w:rsidR="00321DCF" w:rsidRPr="00A80264">
        <w:rPr>
          <w:i/>
        </w:rPr>
        <w:t>e</w:t>
      </w:r>
      <w:r w:rsidR="00A4719F" w:rsidRPr="00A80264">
        <w:rPr>
          <w:i/>
        </w:rPr>
        <w:t xml:space="preserve"> </w:t>
      </w:r>
      <w:r w:rsidR="00AE0DB5" w:rsidRPr="00A80264">
        <w:rPr>
          <w:i/>
        </w:rPr>
        <w:t xml:space="preserve">Hof </w:t>
      </w:r>
      <w:r w:rsidR="00A4719F" w:rsidRPr="00A80264">
        <w:rPr>
          <w:i/>
        </w:rPr>
        <w:t>dat niet g</w:t>
      </w:r>
      <w:r w:rsidR="003F3DB1" w:rsidRPr="00A80264">
        <w:rPr>
          <w:i/>
        </w:rPr>
        <w:t xml:space="preserve">edaan. </w:t>
      </w:r>
      <w:r w:rsidR="00DC5B33">
        <w:rPr>
          <w:i/>
        </w:rPr>
        <w:t>Twee van ons</w:t>
      </w:r>
      <w:r w:rsidR="00321DCF" w:rsidRPr="00A80264">
        <w:rPr>
          <w:i/>
        </w:rPr>
        <w:t xml:space="preserve"> </w:t>
      </w:r>
      <w:r w:rsidR="003F3DB1" w:rsidRPr="00A80264">
        <w:rPr>
          <w:i/>
        </w:rPr>
        <w:t xml:space="preserve">hebben </w:t>
      </w:r>
      <w:r w:rsidR="00DC5B33" w:rsidRPr="002E2AFA">
        <w:rPr>
          <w:i/>
        </w:rPr>
        <w:t>Avotiņš</w:t>
      </w:r>
      <w:r w:rsidR="00DC5B33">
        <w:rPr>
          <w:i/>
        </w:rPr>
        <w:t xml:space="preserve"> </w:t>
      </w:r>
      <w:r w:rsidR="00A4719F" w:rsidRPr="00A80264">
        <w:rPr>
          <w:i/>
        </w:rPr>
        <w:t xml:space="preserve">vrij uitvoerig </w:t>
      </w:r>
      <w:r w:rsidR="003F3DB1" w:rsidRPr="00A80264">
        <w:rPr>
          <w:i/>
        </w:rPr>
        <w:t>bediscussieerd</w:t>
      </w:r>
      <w:r w:rsidR="00A4719F" w:rsidRPr="00A80264">
        <w:rPr>
          <w:i/>
        </w:rPr>
        <w:t xml:space="preserve"> en volgens </w:t>
      </w:r>
      <w:r w:rsidR="00321DCF" w:rsidRPr="00A80264">
        <w:rPr>
          <w:i/>
        </w:rPr>
        <w:t xml:space="preserve">ons </w:t>
      </w:r>
      <w:r w:rsidR="00A4719F" w:rsidRPr="00A80264">
        <w:rPr>
          <w:i/>
        </w:rPr>
        <w:t xml:space="preserve">zitten er toch elementen in die uitspraak waaruit zou kunnen worden afgeleid dat het </w:t>
      </w:r>
      <w:r w:rsidR="007724AF">
        <w:rPr>
          <w:i/>
        </w:rPr>
        <w:t>Hof</w:t>
      </w:r>
      <w:r w:rsidR="00A4719F" w:rsidRPr="00A80264">
        <w:rPr>
          <w:i/>
        </w:rPr>
        <w:t xml:space="preserve"> misschien strenger is </w:t>
      </w:r>
      <w:r w:rsidR="00321DCF" w:rsidRPr="00A80264">
        <w:rPr>
          <w:i/>
        </w:rPr>
        <w:t xml:space="preserve">geworden </w:t>
      </w:r>
      <w:r w:rsidR="00A4719F" w:rsidRPr="00A80264">
        <w:rPr>
          <w:i/>
        </w:rPr>
        <w:t>richting de EU</w:t>
      </w:r>
      <w:r w:rsidR="00321DCF" w:rsidRPr="00A80264">
        <w:rPr>
          <w:i/>
        </w:rPr>
        <w:t xml:space="preserve"> dan voorheen</w:t>
      </w:r>
      <w:r w:rsidR="00A4719F" w:rsidRPr="00A80264">
        <w:rPr>
          <w:i/>
        </w:rPr>
        <w:t>.</w:t>
      </w:r>
      <w:r w:rsidR="00DC5B33">
        <w:rPr>
          <w:rStyle w:val="Voetnootmarkering"/>
          <w:i/>
        </w:rPr>
        <w:footnoteReference w:id="20"/>
      </w:r>
      <w:r w:rsidR="00A4719F" w:rsidRPr="00A80264">
        <w:rPr>
          <w:i/>
        </w:rPr>
        <w:t xml:space="preserve"> Zo toetst het </w:t>
      </w:r>
      <w:r w:rsidR="007724AF">
        <w:rPr>
          <w:i/>
        </w:rPr>
        <w:t>Hof</w:t>
      </w:r>
      <w:r w:rsidR="00A4719F" w:rsidRPr="00A80264">
        <w:rPr>
          <w:i/>
        </w:rPr>
        <w:t xml:space="preserve"> wat strenger of het vermoeden van gelijkwaardige bescherming ook</w:t>
      </w:r>
      <w:r w:rsidR="003F3DB1" w:rsidRPr="00A80264">
        <w:rPr>
          <w:i/>
        </w:rPr>
        <w:t xml:space="preserve"> </w:t>
      </w:r>
      <w:r w:rsidR="00A4719F" w:rsidRPr="00A80264">
        <w:rPr>
          <w:i/>
        </w:rPr>
        <w:t xml:space="preserve">opgaat voor de </w:t>
      </w:r>
      <w:r w:rsidR="003F3DB1" w:rsidRPr="00A80264">
        <w:rPr>
          <w:i/>
        </w:rPr>
        <w:t xml:space="preserve">concrete </w:t>
      </w:r>
      <w:r w:rsidR="00A4719F" w:rsidRPr="00A80264">
        <w:rPr>
          <w:i/>
        </w:rPr>
        <w:t>Letse casus</w:t>
      </w:r>
      <w:r w:rsidR="00321DCF" w:rsidRPr="00A80264">
        <w:rPr>
          <w:i/>
        </w:rPr>
        <w:t xml:space="preserve">. En </w:t>
      </w:r>
      <w:r w:rsidR="00A4719F" w:rsidRPr="00A80264">
        <w:rPr>
          <w:i/>
        </w:rPr>
        <w:t xml:space="preserve">in onze optiek laat het </w:t>
      </w:r>
      <w:r w:rsidR="007724AF">
        <w:rPr>
          <w:i/>
        </w:rPr>
        <w:t>Hof</w:t>
      </w:r>
      <w:r w:rsidR="00A4719F" w:rsidRPr="00A80264">
        <w:rPr>
          <w:i/>
        </w:rPr>
        <w:t xml:space="preserve"> ook in wat meer duidelijke bewoordingen blijken dat het beginsel van wederzijds vertrouwen, een hoeksteen van het Unierecht, geen vrijbrief mag zijn om al te gemakkelijk voorbij te gaan aan die mensenrechten.</w:t>
      </w:r>
    </w:p>
    <w:p w14:paraId="1D9A8E87" w14:textId="77777777" w:rsidR="00EF09C9" w:rsidRDefault="00EF09C9" w:rsidP="00A80264">
      <w:pPr>
        <w:pStyle w:val="Geenafstand"/>
        <w:jc w:val="both"/>
      </w:pPr>
    </w:p>
    <w:p w14:paraId="4D5A92FB" w14:textId="217DC465" w:rsidR="00EF09C9" w:rsidRDefault="00A4719F" w:rsidP="00A80264">
      <w:pPr>
        <w:pStyle w:val="Geenafstand"/>
        <w:jc w:val="both"/>
      </w:pPr>
      <w:r w:rsidRPr="00DC6EE1">
        <w:rPr>
          <w:rFonts w:cstheme="minorHAnsi"/>
        </w:rPr>
        <w:t xml:space="preserve">Nou kijk, dat zat ook al in </w:t>
      </w:r>
      <w:r w:rsidRPr="00A80264">
        <w:rPr>
          <w:rFonts w:cstheme="minorHAnsi"/>
          <w:i/>
        </w:rPr>
        <w:t>Bosphorus</w:t>
      </w:r>
      <w:r w:rsidR="00DC5B33">
        <w:rPr>
          <w:rFonts w:cstheme="minorHAnsi"/>
        </w:rPr>
        <w:t>. H</w:t>
      </w:r>
      <w:r w:rsidRPr="00EF09C9">
        <w:rPr>
          <w:rFonts w:cstheme="minorHAnsi"/>
        </w:rPr>
        <w:t xml:space="preserve">et had gekund wanneer je de lijn van </w:t>
      </w:r>
      <w:r w:rsidRPr="00A80264">
        <w:rPr>
          <w:rFonts w:cstheme="minorHAnsi"/>
          <w:i/>
        </w:rPr>
        <w:t>Bosphorus</w:t>
      </w:r>
      <w:r w:rsidRPr="00EF09C9">
        <w:rPr>
          <w:rFonts w:cstheme="minorHAnsi"/>
        </w:rPr>
        <w:t xml:space="preserve"> </w:t>
      </w:r>
      <w:r w:rsidR="00C87E0A">
        <w:rPr>
          <w:rFonts w:cstheme="minorHAnsi"/>
        </w:rPr>
        <w:t xml:space="preserve">heel </w:t>
      </w:r>
      <w:r w:rsidR="00580FE2">
        <w:rPr>
          <w:rFonts w:cstheme="minorHAnsi"/>
        </w:rPr>
        <w:t>strikt</w:t>
      </w:r>
      <w:r w:rsidR="00C87E0A">
        <w:rPr>
          <w:rFonts w:cstheme="minorHAnsi"/>
        </w:rPr>
        <w:t xml:space="preserve"> </w:t>
      </w:r>
      <w:r w:rsidRPr="00EF09C9">
        <w:rPr>
          <w:rFonts w:cstheme="minorHAnsi"/>
        </w:rPr>
        <w:t>volgt, dat je zegt</w:t>
      </w:r>
      <w:r w:rsidR="00DC5B33">
        <w:rPr>
          <w:rFonts w:cstheme="minorHAnsi"/>
        </w:rPr>
        <w:t xml:space="preserve"> dat</w:t>
      </w:r>
      <w:r w:rsidRPr="00EF09C9">
        <w:rPr>
          <w:rFonts w:cstheme="minorHAnsi"/>
        </w:rPr>
        <w:t xml:space="preserve"> als er geen prejudiciële vraag is gesteld</w:t>
      </w:r>
      <w:r w:rsidR="00AE0DB5" w:rsidRPr="00EF09C9">
        <w:rPr>
          <w:rFonts w:cstheme="minorHAnsi"/>
        </w:rPr>
        <w:t>,</w:t>
      </w:r>
      <w:r w:rsidRPr="00DC6EE1">
        <w:rPr>
          <w:rFonts w:cstheme="minorHAnsi"/>
        </w:rPr>
        <w:t xml:space="preserve"> de </w:t>
      </w:r>
      <w:r w:rsidRPr="00A80264">
        <w:rPr>
          <w:rFonts w:cstheme="minorHAnsi"/>
          <w:i/>
        </w:rPr>
        <w:t>Bosphorus</w:t>
      </w:r>
      <w:r w:rsidR="00AE0DB5" w:rsidRPr="00EF09C9">
        <w:rPr>
          <w:rFonts w:cstheme="minorHAnsi"/>
        </w:rPr>
        <w:t>-</w:t>
      </w:r>
      <w:r w:rsidRPr="00EF09C9">
        <w:rPr>
          <w:rFonts w:cstheme="minorHAnsi"/>
        </w:rPr>
        <w:t>doctrine sowieso al niet</w:t>
      </w:r>
      <w:r w:rsidR="00311EF3">
        <w:rPr>
          <w:rFonts w:cstheme="minorHAnsi"/>
        </w:rPr>
        <w:t xml:space="preserve"> geldt</w:t>
      </w:r>
      <w:r w:rsidRPr="00EF09C9">
        <w:rPr>
          <w:rFonts w:cstheme="minorHAnsi"/>
        </w:rPr>
        <w:t xml:space="preserve">. </w:t>
      </w:r>
      <w:r w:rsidR="000228F2" w:rsidRPr="00EF09C9">
        <w:rPr>
          <w:rFonts w:cstheme="minorHAnsi"/>
        </w:rPr>
        <w:t>Maar dat wordt genuanceerd</w:t>
      </w:r>
      <w:r w:rsidR="00B372A3">
        <w:rPr>
          <w:rFonts w:cstheme="minorHAnsi"/>
        </w:rPr>
        <w:t xml:space="preserve"> door van die voorwaarde geen formalisme te maken dat in stelling zou kunnen worden gebracht als er geen zinvol doel wordt gediend</w:t>
      </w:r>
      <w:r w:rsidR="000228F2" w:rsidRPr="00EF09C9">
        <w:rPr>
          <w:rFonts w:cstheme="minorHAnsi"/>
        </w:rPr>
        <w:t>. Dus ook</w:t>
      </w:r>
      <w:r w:rsidR="003F3DB1" w:rsidRPr="00DC6EE1">
        <w:rPr>
          <w:rFonts w:cstheme="minorHAnsi"/>
        </w:rPr>
        <w:t xml:space="preserve"> </w:t>
      </w:r>
      <w:r w:rsidR="000228F2" w:rsidRPr="00DC6EE1">
        <w:rPr>
          <w:rFonts w:cstheme="minorHAnsi"/>
        </w:rPr>
        <w:t>al doet zic</w:t>
      </w:r>
      <w:r w:rsidR="000228F2" w:rsidRPr="00626EB7">
        <w:rPr>
          <w:rFonts w:cstheme="minorHAnsi"/>
        </w:rPr>
        <w:t xml:space="preserve">h </w:t>
      </w:r>
      <w:r w:rsidR="00311EF3">
        <w:rPr>
          <w:rFonts w:cstheme="minorHAnsi"/>
        </w:rPr>
        <w:t>de</w:t>
      </w:r>
      <w:r w:rsidR="00311EF3" w:rsidRPr="00626EB7">
        <w:rPr>
          <w:rFonts w:cstheme="minorHAnsi"/>
        </w:rPr>
        <w:t xml:space="preserve"> </w:t>
      </w:r>
      <w:r w:rsidR="000228F2" w:rsidRPr="00626EB7">
        <w:rPr>
          <w:rFonts w:cstheme="minorHAnsi"/>
        </w:rPr>
        <w:t>situatie voor</w:t>
      </w:r>
      <w:r w:rsidR="00311EF3">
        <w:rPr>
          <w:rFonts w:cstheme="minorHAnsi"/>
        </w:rPr>
        <w:t xml:space="preserve"> dat </w:t>
      </w:r>
      <w:r w:rsidR="00B372A3">
        <w:rPr>
          <w:rFonts w:cstheme="minorHAnsi"/>
        </w:rPr>
        <w:t xml:space="preserve">er geen prejudiciële vraag </w:t>
      </w:r>
      <w:r w:rsidR="00311EF3">
        <w:rPr>
          <w:rFonts w:cstheme="minorHAnsi"/>
        </w:rPr>
        <w:t xml:space="preserve">is </w:t>
      </w:r>
      <w:r w:rsidR="00B372A3">
        <w:rPr>
          <w:rFonts w:cstheme="minorHAnsi"/>
        </w:rPr>
        <w:t>gesteld</w:t>
      </w:r>
      <w:r w:rsidR="000228F2" w:rsidRPr="00626EB7">
        <w:rPr>
          <w:rFonts w:cstheme="minorHAnsi"/>
        </w:rPr>
        <w:t xml:space="preserve">, dan nog komt het </w:t>
      </w:r>
      <w:r w:rsidR="00321DCF" w:rsidRPr="009B6DCF">
        <w:rPr>
          <w:rFonts w:cstheme="minorHAnsi"/>
        </w:rPr>
        <w:t xml:space="preserve">Hof </w:t>
      </w:r>
      <w:r w:rsidR="000228F2" w:rsidRPr="009B6DCF">
        <w:rPr>
          <w:rFonts w:cstheme="minorHAnsi"/>
        </w:rPr>
        <w:t xml:space="preserve">uiteindelijk tot </w:t>
      </w:r>
      <w:r w:rsidR="000228F2" w:rsidRPr="00B01C64">
        <w:rPr>
          <w:rFonts w:cstheme="minorHAnsi"/>
        </w:rPr>
        <w:t xml:space="preserve">handhaving van de toepassing van het </w:t>
      </w:r>
      <w:r w:rsidR="00C87E0A">
        <w:rPr>
          <w:rFonts w:cstheme="minorHAnsi"/>
        </w:rPr>
        <w:t>vermoeden</w:t>
      </w:r>
      <w:r w:rsidR="003F3DB1" w:rsidRPr="00B01C64">
        <w:rPr>
          <w:rFonts w:cstheme="minorHAnsi"/>
        </w:rPr>
        <w:t xml:space="preserve"> van gelijkwaardige bescherming</w:t>
      </w:r>
      <w:r w:rsidR="00321DCF" w:rsidRPr="00A90B65">
        <w:rPr>
          <w:rFonts w:cstheme="minorHAnsi"/>
        </w:rPr>
        <w:t>. I</w:t>
      </w:r>
      <w:r w:rsidR="000228F2" w:rsidRPr="00A90B65">
        <w:rPr>
          <w:rFonts w:cstheme="minorHAnsi"/>
        </w:rPr>
        <w:t>nteressant is ook dat het springende punt in</w:t>
      </w:r>
      <w:r w:rsidR="003F3DB1" w:rsidRPr="00A90B65">
        <w:rPr>
          <w:rFonts w:cstheme="minorHAnsi"/>
        </w:rPr>
        <w:t xml:space="preserve"> </w:t>
      </w:r>
      <w:r w:rsidR="00321DCF" w:rsidRPr="00A90B65">
        <w:rPr>
          <w:rFonts w:cstheme="minorHAnsi"/>
        </w:rPr>
        <w:t xml:space="preserve">deze </w:t>
      </w:r>
      <w:r w:rsidR="003F3DB1" w:rsidRPr="00A90B65">
        <w:rPr>
          <w:rFonts w:cstheme="minorHAnsi"/>
        </w:rPr>
        <w:t>zaak lijkt te zijn wat de C</w:t>
      </w:r>
      <w:r w:rsidR="000228F2" w:rsidRPr="00A90B65">
        <w:rPr>
          <w:rFonts w:cstheme="minorHAnsi"/>
        </w:rPr>
        <w:t>ommissie heeft aangedragen</w:t>
      </w:r>
      <w:r w:rsidR="00321DCF" w:rsidRPr="00A90B65">
        <w:rPr>
          <w:rFonts w:cstheme="minorHAnsi"/>
        </w:rPr>
        <w:t xml:space="preserve"> met betrekking tot het beginsel van wederzijds vertrouwen</w:t>
      </w:r>
      <w:r w:rsidR="000228F2" w:rsidRPr="00A90B65">
        <w:rPr>
          <w:rFonts w:cstheme="minorHAnsi"/>
        </w:rPr>
        <w:t xml:space="preserve">. </w:t>
      </w:r>
      <w:r w:rsidR="00311EF3">
        <w:rPr>
          <w:rFonts w:cstheme="minorHAnsi"/>
        </w:rPr>
        <w:t>Het</w:t>
      </w:r>
      <w:r w:rsidR="00311EF3" w:rsidRPr="00A90B65">
        <w:rPr>
          <w:rFonts w:cstheme="minorHAnsi"/>
        </w:rPr>
        <w:t xml:space="preserve"> </w:t>
      </w:r>
      <w:r w:rsidR="000228F2" w:rsidRPr="00A90B65">
        <w:rPr>
          <w:rFonts w:cstheme="minorHAnsi"/>
        </w:rPr>
        <w:t>is eigenlijk een zeker eerbetoon</w:t>
      </w:r>
      <w:r w:rsidR="00321DCF" w:rsidRPr="00A90B65">
        <w:rPr>
          <w:rFonts w:cstheme="minorHAnsi"/>
        </w:rPr>
        <w:t xml:space="preserve"> van het </w:t>
      </w:r>
      <w:r w:rsidR="007724AF">
        <w:rPr>
          <w:rFonts w:cstheme="minorHAnsi"/>
        </w:rPr>
        <w:t>Hof</w:t>
      </w:r>
      <w:r w:rsidR="000228F2" w:rsidRPr="00A90B65">
        <w:rPr>
          <w:rFonts w:cstheme="minorHAnsi"/>
        </w:rPr>
        <w:t xml:space="preserve"> aan het Unierecht </w:t>
      </w:r>
      <w:r w:rsidR="00311EF3">
        <w:rPr>
          <w:rFonts w:cstheme="minorHAnsi"/>
        </w:rPr>
        <w:t>dat het</w:t>
      </w:r>
      <w:r w:rsidR="00311EF3" w:rsidRPr="00A90B65">
        <w:rPr>
          <w:rFonts w:cstheme="minorHAnsi"/>
        </w:rPr>
        <w:t xml:space="preserve"> </w:t>
      </w:r>
      <w:r w:rsidR="00321DCF" w:rsidRPr="00A90B65">
        <w:rPr>
          <w:rFonts w:cstheme="minorHAnsi"/>
        </w:rPr>
        <w:t>hier</w:t>
      </w:r>
      <w:r w:rsidR="000228F2" w:rsidRPr="00A90B65">
        <w:rPr>
          <w:rFonts w:cstheme="minorHAnsi"/>
        </w:rPr>
        <w:t xml:space="preserve"> beteken</w:t>
      </w:r>
      <w:r w:rsidR="003F3DB1" w:rsidRPr="00A90B65">
        <w:rPr>
          <w:rFonts w:cstheme="minorHAnsi"/>
        </w:rPr>
        <w:t xml:space="preserve">is </w:t>
      </w:r>
      <w:r w:rsidR="00311EF3">
        <w:rPr>
          <w:rFonts w:cstheme="minorHAnsi"/>
        </w:rPr>
        <w:t>aan hecht</w:t>
      </w:r>
      <w:r w:rsidR="00321DCF" w:rsidRPr="00A90B65">
        <w:rPr>
          <w:rFonts w:cstheme="minorHAnsi"/>
        </w:rPr>
        <w:t>.</w:t>
      </w:r>
      <w:r w:rsidR="003F3DB1" w:rsidRPr="00A90B65">
        <w:rPr>
          <w:rFonts w:cstheme="minorHAnsi"/>
        </w:rPr>
        <w:t xml:space="preserve"> </w:t>
      </w:r>
      <w:r w:rsidR="00321DCF" w:rsidRPr="00A90B65">
        <w:rPr>
          <w:rFonts w:cstheme="minorHAnsi"/>
        </w:rPr>
        <w:t>I</w:t>
      </w:r>
      <w:r w:rsidR="003F3DB1" w:rsidRPr="00A90B65">
        <w:rPr>
          <w:rFonts w:cstheme="minorHAnsi"/>
        </w:rPr>
        <w:t>k geloof dat het S</w:t>
      </w:r>
      <w:r w:rsidR="000228F2" w:rsidRPr="00A90B65">
        <w:rPr>
          <w:rFonts w:cstheme="minorHAnsi"/>
        </w:rPr>
        <w:t xml:space="preserve">traatsburgse </w:t>
      </w:r>
      <w:r w:rsidR="00AE0DB5" w:rsidRPr="00A90B65">
        <w:rPr>
          <w:rFonts w:cstheme="minorHAnsi"/>
        </w:rPr>
        <w:t xml:space="preserve">Hof </w:t>
      </w:r>
      <w:r w:rsidR="000228F2" w:rsidRPr="00A90B65">
        <w:rPr>
          <w:rFonts w:cstheme="minorHAnsi"/>
        </w:rPr>
        <w:t xml:space="preserve">de hoogste </w:t>
      </w:r>
      <w:r w:rsidR="00321DCF" w:rsidRPr="00A90B65">
        <w:rPr>
          <w:rFonts w:cstheme="minorHAnsi"/>
        </w:rPr>
        <w:t xml:space="preserve">Letse </w:t>
      </w:r>
      <w:r w:rsidR="000228F2" w:rsidRPr="00A90B65">
        <w:rPr>
          <w:rFonts w:cstheme="minorHAnsi"/>
        </w:rPr>
        <w:t xml:space="preserve">rechter die </w:t>
      </w:r>
      <w:r w:rsidR="003F3DB1" w:rsidRPr="00A90B65">
        <w:rPr>
          <w:rFonts w:cstheme="minorHAnsi"/>
        </w:rPr>
        <w:t>zich ermee bezig heeft gehouden</w:t>
      </w:r>
      <w:r w:rsidR="000228F2" w:rsidRPr="00A90B65">
        <w:rPr>
          <w:rFonts w:cstheme="minorHAnsi"/>
        </w:rPr>
        <w:t xml:space="preserve"> verwijt al te gemakkelijk te hebben aangenomen dat er wel </w:t>
      </w:r>
      <w:r w:rsidR="00321DCF" w:rsidRPr="00A90B65">
        <w:rPr>
          <w:rFonts w:cstheme="minorHAnsi"/>
        </w:rPr>
        <w:t xml:space="preserve">een </w:t>
      </w:r>
      <w:r w:rsidR="000228F2" w:rsidRPr="00A90B65">
        <w:rPr>
          <w:rFonts w:cstheme="minorHAnsi"/>
        </w:rPr>
        <w:t>mogelijkheid was tot tegenspraak</w:t>
      </w:r>
      <w:r w:rsidR="00321DCF" w:rsidRPr="00A90B65">
        <w:rPr>
          <w:rFonts w:cstheme="minorHAnsi"/>
        </w:rPr>
        <w:t xml:space="preserve"> </w:t>
      </w:r>
      <w:r w:rsidR="00AE0DB5" w:rsidRPr="00A90B65">
        <w:rPr>
          <w:rFonts w:cstheme="minorHAnsi"/>
        </w:rPr>
        <w:t>in Cyprus</w:t>
      </w:r>
      <w:r w:rsidR="00AE0DB5" w:rsidRPr="00A90B65" w:rsidDel="00AE0DB5">
        <w:rPr>
          <w:rFonts w:cstheme="minorHAnsi"/>
        </w:rPr>
        <w:t xml:space="preserve"> </w:t>
      </w:r>
      <w:r w:rsidR="00AE0DB5" w:rsidRPr="00A90B65">
        <w:rPr>
          <w:rFonts w:cstheme="minorHAnsi"/>
        </w:rPr>
        <w:t>als de klager</w:t>
      </w:r>
      <w:r w:rsidR="00321DCF" w:rsidRPr="00A90B65">
        <w:rPr>
          <w:rFonts w:cstheme="minorHAnsi"/>
        </w:rPr>
        <w:t xml:space="preserve"> dat</w:t>
      </w:r>
      <w:r w:rsidR="003F3DB1" w:rsidRPr="00A90B65">
        <w:rPr>
          <w:rFonts w:cstheme="minorHAnsi"/>
        </w:rPr>
        <w:t xml:space="preserve"> had gewild.</w:t>
      </w:r>
      <w:r w:rsidR="000228F2" w:rsidRPr="00A90B65">
        <w:rPr>
          <w:rFonts w:cstheme="minorHAnsi"/>
        </w:rPr>
        <w:t xml:space="preserve"> </w:t>
      </w:r>
      <w:r w:rsidR="002425DB" w:rsidRPr="00A90B65">
        <w:rPr>
          <w:rFonts w:cstheme="minorHAnsi"/>
        </w:rPr>
        <w:t>H</w:t>
      </w:r>
      <w:r w:rsidR="000228F2" w:rsidRPr="00A90B65">
        <w:rPr>
          <w:rFonts w:cstheme="minorHAnsi"/>
        </w:rPr>
        <w:t xml:space="preserve">et </w:t>
      </w:r>
      <w:r w:rsidR="002425DB" w:rsidRPr="00A90B65">
        <w:rPr>
          <w:rFonts w:cstheme="minorHAnsi"/>
        </w:rPr>
        <w:t>H</w:t>
      </w:r>
      <w:r w:rsidR="000228F2" w:rsidRPr="00A90B65">
        <w:rPr>
          <w:rFonts w:cstheme="minorHAnsi"/>
        </w:rPr>
        <w:t xml:space="preserve">of zegt </w:t>
      </w:r>
      <w:r w:rsidR="002425DB" w:rsidRPr="00A90B65">
        <w:rPr>
          <w:rFonts w:cstheme="minorHAnsi"/>
        </w:rPr>
        <w:t xml:space="preserve">vervolgens dat dit </w:t>
      </w:r>
      <w:r w:rsidR="000228F2" w:rsidRPr="00A90B65">
        <w:rPr>
          <w:rFonts w:cstheme="minorHAnsi"/>
        </w:rPr>
        <w:t xml:space="preserve">er eigenlijk niet toe </w:t>
      </w:r>
      <w:r w:rsidR="002425DB" w:rsidRPr="00A90B65">
        <w:rPr>
          <w:rFonts w:cstheme="minorHAnsi"/>
        </w:rPr>
        <w:t xml:space="preserve">doet </w:t>
      </w:r>
      <w:r w:rsidR="000228F2" w:rsidRPr="00A90B65">
        <w:rPr>
          <w:rFonts w:cstheme="minorHAnsi"/>
        </w:rPr>
        <w:t>in de bijzondere omstandigheden van de zaak</w:t>
      </w:r>
      <w:r w:rsidR="002425DB" w:rsidRPr="00A90B65">
        <w:rPr>
          <w:rFonts w:cstheme="minorHAnsi"/>
        </w:rPr>
        <w:t xml:space="preserve"> en verwijst </w:t>
      </w:r>
      <w:r w:rsidR="000228F2" w:rsidRPr="00A90B65">
        <w:rPr>
          <w:rFonts w:cstheme="minorHAnsi"/>
        </w:rPr>
        <w:t xml:space="preserve">naar wat de </w:t>
      </w:r>
      <w:r w:rsidR="003F3DB1" w:rsidRPr="00A90B65">
        <w:rPr>
          <w:rFonts w:cstheme="minorHAnsi"/>
        </w:rPr>
        <w:t>C</w:t>
      </w:r>
      <w:r w:rsidR="000228F2" w:rsidRPr="00A90B65">
        <w:rPr>
          <w:rFonts w:cstheme="minorHAnsi"/>
        </w:rPr>
        <w:t>ommissie heeft gezegd</w:t>
      </w:r>
      <w:r w:rsidR="00AE0DB5" w:rsidRPr="00A90B65">
        <w:rPr>
          <w:rFonts w:cstheme="minorHAnsi"/>
        </w:rPr>
        <w:t>,</w:t>
      </w:r>
      <w:r w:rsidR="000228F2" w:rsidRPr="00A90B65">
        <w:rPr>
          <w:rFonts w:cstheme="minorHAnsi"/>
        </w:rPr>
        <w:t xml:space="preserve"> namelijk dat er geruime tijd </w:t>
      </w:r>
      <w:r w:rsidR="00AE0DB5" w:rsidRPr="00A90B65">
        <w:rPr>
          <w:rFonts w:cstheme="minorHAnsi"/>
        </w:rPr>
        <w:t xml:space="preserve">de </w:t>
      </w:r>
      <w:r w:rsidR="000228F2" w:rsidRPr="00A90B65">
        <w:rPr>
          <w:rFonts w:cstheme="minorHAnsi"/>
        </w:rPr>
        <w:t xml:space="preserve">mogelijkheid is geweest om dat bezwaar </w:t>
      </w:r>
      <w:r w:rsidR="002425DB" w:rsidRPr="00A90B65">
        <w:rPr>
          <w:rFonts w:cstheme="minorHAnsi"/>
        </w:rPr>
        <w:t>te maken</w:t>
      </w:r>
      <w:r w:rsidR="000228F2" w:rsidRPr="00A90B65">
        <w:rPr>
          <w:rFonts w:cstheme="minorHAnsi"/>
        </w:rPr>
        <w:t xml:space="preserve"> in Cyprus. </w:t>
      </w:r>
      <w:r w:rsidR="002425DB" w:rsidRPr="00A90B65">
        <w:rPr>
          <w:rFonts w:cstheme="minorHAnsi"/>
        </w:rPr>
        <w:t xml:space="preserve">Dit </w:t>
      </w:r>
      <w:r w:rsidR="000228F2" w:rsidRPr="00A90B65">
        <w:rPr>
          <w:rFonts w:cstheme="minorHAnsi"/>
        </w:rPr>
        <w:t xml:space="preserve">is </w:t>
      </w:r>
      <w:r w:rsidR="002425DB" w:rsidRPr="00A90B65">
        <w:rPr>
          <w:rFonts w:cstheme="minorHAnsi"/>
        </w:rPr>
        <w:t>dus</w:t>
      </w:r>
      <w:r w:rsidR="00DC5B33" w:rsidRPr="00A90B65">
        <w:rPr>
          <w:rFonts w:cstheme="minorHAnsi"/>
        </w:rPr>
        <w:t>, tenminste vanuit het Unierecht bezien</w:t>
      </w:r>
      <w:r w:rsidR="00DC5B33">
        <w:rPr>
          <w:rFonts w:cstheme="minorHAnsi"/>
        </w:rPr>
        <w:t>,</w:t>
      </w:r>
      <w:r w:rsidR="00DC5B33" w:rsidRPr="00A90B65">
        <w:rPr>
          <w:rFonts w:cstheme="minorHAnsi"/>
        </w:rPr>
        <w:t xml:space="preserve"> </w:t>
      </w:r>
      <w:r w:rsidR="000228F2" w:rsidRPr="00A90B65">
        <w:rPr>
          <w:rFonts w:cstheme="minorHAnsi"/>
        </w:rPr>
        <w:t>een goede samenwerking</w:t>
      </w:r>
      <w:r w:rsidR="00DC5B33">
        <w:rPr>
          <w:rFonts w:cstheme="minorHAnsi"/>
        </w:rPr>
        <w:t xml:space="preserve"> </w:t>
      </w:r>
      <w:r w:rsidR="000228F2" w:rsidRPr="00A90B65">
        <w:rPr>
          <w:rFonts w:cstheme="minorHAnsi"/>
        </w:rPr>
        <w:t>tussen het stelsel van re</w:t>
      </w:r>
      <w:r w:rsidR="003F3DB1" w:rsidRPr="00A90B65">
        <w:rPr>
          <w:rFonts w:cstheme="minorHAnsi"/>
        </w:rPr>
        <w:t>chtsbescherming onder</w:t>
      </w:r>
      <w:r w:rsidR="000228F2" w:rsidRPr="00A90B65">
        <w:rPr>
          <w:rFonts w:cstheme="minorHAnsi"/>
        </w:rPr>
        <w:t xml:space="preserve"> </w:t>
      </w:r>
      <w:r w:rsidR="00AE0DB5" w:rsidRPr="00A90B65">
        <w:rPr>
          <w:rFonts w:cstheme="minorHAnsi"/>
        </w:rPr>
        <w:t xml:space="preserve">het </w:t>
      </w:r>
      <w:r w:rsidR="00DC5B33">
        <w:rPr>
          <w:rFonts w:cstheme="minorHAnsi"/>
        </w:rPr>
        <w:t>EVRM</w:t>
      </w:r>
      <w:r w:rsidR="002425DB" w:rsidRPr="00A90B65">
        <w:rPr>
          <w:rFonts w:cstheme="minorHAnsi"/>
        </w:rPr>
        <w:t xml:space="preserve"> en</w:t>
      </w:r>
      <w:r w:rsidR="000228F2" w:rsidRPr="00A90B65">
        <w:rPr>
          <w:rFonts w:cstheme="minorHAnsi"/>
        </w:rPr>
        <w:t xml:space="preserve"> het Unierecht. Maar ik ben het er wel mee eens</w:t>
      </w:r>
      <w:r w:rsidR="002425DB" w:rsidRPr="00A90B65">
        <w:rPr>
          <w:rFonts w:cstheme="minorHAnsi"/>
        </w:rPr>
        <w:t xml:space="preserve"> dat</w:t>
      </w:r>
      <w:r w:rsidR="000228F2" w:rsidRPr="00A90B65">
        <w:rPr>
          <w:rFonts w:cstheme="minorHAnsi"/>
        </w:rPr>
        <w:t xml:space="preserve"> er elementen in </w:t>
      </w:r>
      <w:r w:rsidR="002425DB" w:rsidRPr="00A90B65">
        <w:rPr>
          <w:rFonts w:cstheme="minorHAnsi"/>
        </w:rPr>
        <w:t xml:space="preserve">zitten </w:t>
      </w:r>
      <w:r w:rsidR="000228F2" w:rsidRPr="00A90B65">
        <w:rPr>
          <w:rFonts w:cstheme="minorHAnsi"/>
        </w:rPr>
        <w:t>die niet de garantie geven dat het zo blijft</w:t>
      </w:r>
      <w:r w:rsidR="00DC5B33">
        <w:rPr>
          <w:rFonts w:cstheme="minorHAnsi"/>
        </w:rPr>
        <w:t>. M</w:t>
      </w:r>
      <w:r w:rsidR="002425DB" w:rsidRPr="00A90B65">
        <w:rPr>
          <w:rFonts w:cstheme="minorHAnsi"/>
        </w:rPr>
        <w:t>aar</w:t>
      </w:r>
      <w:r w:rsidR="000228F2" w:rsidRPr="00A90B65">
        <w:rPr>
          <w:rFonts w:cstheme="minorHAnsi"/>
        </w:rPr>
        <w:t xml:space="preserve"> die zaten er eigenlijk al van </w:t>
      </w:r>
      <w:r w:rsidR="002425DB" w:rsidRPr="00A90B65">
        <w:rPr>
          <w:rFonts w:cstheme="minorHAnsi"/>
        </w:rPr>
        <w:t xml:space="preserve">het </w:t>
      </w:r>
      <w:r w:rsidR="000228F2" w:rsidRPr="00A90B65">
        <w:rPr>
          <w:rFonts w:cstheme="minorHAnsi"/>
        </w:rPr>
        <w:t>begin af aan</w:t>
      </w:r>
      <w:r w:rsidR="002425DB" w:rsidRPr="00A90B65">
        <w:rPr>
          <w:rFonts w:cstheme="minorHAnsi"/>
        </w:rPr>
        <w:t xml:space="preserve"> </w:t>
      </w:r>
      <w:r w:rsidR="000228F2" w:rsidRPr="00A90B65">
        <w:rPr>
          <w:rFonts w:cstheme="minorHAnsi"/>
        </w:rPr>
        <w:t>in. Wa</w:t>
      </w:r>
      <w:r w:rsidR="00CE0DCE" w:rsidRPr="00A90B65">
        <w:rPr>
          <w:rFonts w:cstheme="minorHAnsi"/>
        </w:rPr>
        <w:t xml:space="preserve">nt </w:t>
      </w:r>
      <w:r w:rsidR="002425DB" w:rsidRPr="00A90B65">
        <w:rPr>
          <w:rFonts w:cstheme="minorHAnsi"/>
        </w:rPr>
        <w:t>ten tijde van</w:t>
      </w:r>
      <w:r w:rsidR="00CE0DCE" w:rsidRPr="00A90B65">
        <w:rPr>
          <w:rFonts w:cstheme="minorHAnsi"/>
        </w:rPr>
        <w:t xml:space="preserve"> </w:t>
      </w:r>
      <w:r w:rsidR="00CE0DCE" w:rsidRPr="00A80264">
        <w:rPr>
          <w:rFonts w:cstheme="minorHAnsi"/>
          <w:i/>
        </w:rPr>
        <w:t>Bosphorus</w:t>
      </w:r>
      <w:r w:rsidR="00CE0DCE" w:rsidRPr="00EF09C9">
        <w:rPr>
          <w:rFonts w:cstheme="minorHAnsi"/>
        </w:rPr>
        <w:t xml:space="preserve"> was er </w:t>
      </w:r>
      <w:r w:rsidR="00CE0DCE" w:rsidRPr="00DC6EE1">
        <w:rPr>
          <w:rFonts w:cstheme="minorHAnsi"/>
        </w:rPr>
        <w:t xml:space="preserve">nog sprake van een </w:t>
      </w:r>
      <w:r w:rsidR="002425DB" w:rsidRPr="00DC6EE1">
        <w:rPr>
          <w:rFonts w:cstheme="minorHAnsi"/>
        </w:rPr>
        <w:t xml:space="preserve">Europese </w:t>
      </w:r>
      <w:r w:rsidR="002425DB" w:rsidRPr="009B6DCF">
        <w:rPr>
          <w:rFonts w:cstheme="minorHAnsi"/>
        </w:rPr>
        <w:t>G</w:t>
      </w:r>
      <w:r w:rsidR="00CE0DCE" w:rsidRPr="009B6DCF">
        <w:rPr>
          <w:rFonts w:cstheme="minorHAnsi"/>
        </w:rPr>
        <w:t>rondwet</w:t>
      </w:r>
      <w:r w:rsidR="00F16C56" w:rsidRPr="00A90B65">
        <w:rPr>
          <w:rFonts w:cstheme="minorHAnsi"/>
        </w:rPr>
        <w:t xml:space="preserve">. Dus </w:t>
      </w:r>
      <w:r w:rsidR="00CE0DCE" w:rsidRPr="00A90B65">
        <w:rPr>
          <w:rFonts w:cstheme="minorHAnsi"/>
        </w:rPr>
        <w:t xml:space="preserve">had je kunnen zeggen: </w:t>
      </w:r>
      <w:r w:rsidR="00AE0DB5" w:rsidRPr="00A90B65">
        <w:rPr>
          <w:rFonts w:cstheme="minorHAnsi"/>
        </w:rPr>
        <w:t>“N</w:t>
      </w:r>
      <w:r w:rsidR="00CE0DCE" w:rsidRPr="00A90B65">
        <w:rPr>
          <w:rFonts w:cstheme="minorHAnsi"/>
        </w:rPr>
        <w:t xml:space="preserve">a dat afstoten van die echte constitutionele </w:t>
      </w:r>
      <w:r w:rsidR="002425DB" w:rsidRPr="00A90B65">
        <w:rPr>
          <w:rFonts w:cstheme="minorHAnsi"/>
        </w:rPr>
        <w:t>grondrechten</w:t>
      </w:r>
      <w:r w:rsidR="00CE0DCE" w:rsidRPr="00A90B65">
        <w:rPr>
          <w:rFonts w:cstheme="minorHAnsi"/>
        </w:rPr>
        <w:t>bescherming binnen Europa zou het best eens kunnen zijn d</w:t>
      </w:r>
      <w:r w:rsidR="00F16C56" w:rsidRPr="00A90B65">
        <w:rPr>
          <w:rFonts w:cstheme="minorHAnsi"/>
        </w:rPr>
        <w:t xml:space="preserve">at </w:t>
      </w:r>
      <w:r w:rsidR="00F16C56" w:rsidRPr="00A80264">
        <w:rPr>
          <w:rFonts w:cstheme="minorHAnsi"/>
          <w:i/>
        </w:rPr>
        <w:t>Bosphorus</w:t>
      </w:r>
      <w:r w:rsidR="00F16C56" w:rsidRPr="00EF09C9">
        <w:rPr>
          <w:rFonts w:cstheme="minorHAnsi"/>
        </w:rPr>
        <w:t xml:space="preserve"> onderuit zou</w:t>
      </w:r>
      <w:r w:rsidR="00CE0DCE" w:rsidRPr="00EF09C9">
        <w:rPr>
          <w:rFonts w:cstheme="minorHAnsi"/>
        </w:rPr>
        <w:t xml:space="preserve"> gaan.</w:t>
      </w:r>
      <w:r w:rsidR="00AE0DB5" w:rsidRPr="00EF09C9">
        <w:rPr>
          <w:rFonts w:cstheme="minorHAnsi"/>
        </w:rPr>
        <w:t>”</w:t>
      </w:r>
      <w:r w:rsidR="002425DB" w:rsidRPr="00EF09C9">
        <w:rPr>
          <w:rFonts w:cstheme="minorHAnsi"/>
        </w:rPr>
        <w:t xml:space="preserve"> Dat </w:t>
      </w:r>
      <w:r w:rsidR="002425DB" w:rsidRPr="00DC6EE1">
        <w:rPr>
          <w:rFonts w:cstheme="minorHAnsi"/>
        </w:rPr>
        <w:t>i</w:t>
      </w:r>
      <w:r w:rsidR="00CE0DCE" w:rsidRPr="00626EB7">
        <w:rPr>
          <w:rFonts w:cstheme="minorHAnsi"/>
        </w:rPr>
        <w:t xml:space="preserve">s niet gebeurd. Sommige critici zullen zeggen: </w:t>
      </w:r>
      <w:r w:rsidR="00AE0DB5" w:rsidRPr="009B6DCF">
        <w:rPr>
          <w:rFonts w:cstheme="minorHAnsi"/>
        </w:rPr>
        <w:t>“N</w:t>
      </w:r>
      <w:r w:rsidR="00CE0DCE" w:rsidRPr="00B01C64">
        <w:rPr>
          <w:rFonts w:cstheme="minorHAnsi"/>
        </w:rPr>
        <w:t xml:space="preserve">ou, </w:t>
      </w:r>
      <w:r w:rsidR="00F16C56" w:rsidRPr="00B01C64">
        <w:rPr>
          <w:rFonts w:cstheme="minorHAnsi"/>
        </w:rPr>
        <w:t>Europees Hof, jullie moeten wel</w:t>
      </w:r>
      <w:r w:rsidR="00CE0DCE" w:rsidRPr="00B01C64">
        <w:rPr>
          <w:rFonts w:cstheme="minorHAnsi"/>
        </w:rPr>
        <w:t>eens oppassen, anders word je helemaal aan de kant geschoven door de Unie.</w:t>
      </w:r>
      <w:r w:rsidR="00AE0DB5" w:rsidRPr="00A90B65">
        <w:rPr>
          <w:rFonts w:cstheme="minorHAnsi"/>
        </w:rPr>
        <w:t>”</w:t>
      </w:r>
      <w:r w:rsidR="00CE0DCE" w:rsidRPr="00A90B65">
        <w:rPr>
          <w:rFonts w:cstheme="minorHAnsi"/>
        </w:rPr>
        <w:t xml:space="preserve"> Ik denk dat dat niet het geval is. Er zijn ook tekenen dat het </w:t>
      </w:r>
      <w:r w:rsidR="00024939" w:rsidRPr="00A90B65">
        <w:rPr>
          <w:rFonts w:cstheme="minorHAnsi"/>
        </w:rPr>
        <w:t>H</w:t>
      </w:r>
      <w:r w:rsidR="00CE0DCE" w:rsidRPr="00A90B65">
        <w:rPr>
          <w:rFonts w:cstheme="minorHAnsi"/>
        </w:rPr>
        <w:t>of van Justitie zelf in die interactie de rechtsbescherming sterker is gaan dienen. Bijvoorbeeld in d</w:t>
      </w:r>
      <w:r w:rsidR="00F16C56" w:rsidRPr="00A90B65">
        <w:rPr>
          <w:rFonts w:cstheme="minorHAnsi"/>
        </w:rPr>
        <w:t xml:space="preserve">e sfeer van </w:t>
      </w:r>
      <w:r w:rsidR="002425DB" w:rsidRPr="00A90B65">
        <w:rPr>
          <w:rFonts w:cstheme="minorHAnsi"/>
        </w:rPr>
        <w:t xml:space="preserve">het </w:t>
      </w:r>
      <w:r w:rsidR="00F16C56" w:rsidRPr="00A90B65">
        <w:rPr>
          <w:rFonts w:cstheme="minorHAnsi"/>
        </w:rPr>
        <w:t>Europese arrestatie</w:t>
      </w:r>
      <w:r w:rsidR="00CE0DCE" w:rsidRPr="00A90B65">
        <w:rPr>
          <w:rFonts w:cstheme="minorHAnsi"/>
        </w:rPr>
        <w:t>bevel</w:t>
      </w:r>
      <w:r w:rsidR="002425DB" w:rsidRPr="00A90B65">
        <w:rPr>
          <w:rFonts w:cstheme="minorHAnsi"/>
        </w:rPr>
        <w:t xml:space="preserve"> is er een</w:t>
      </w:r>
      <w:r w:rsidR="00CE0DCE" w:rsidRPr="00A90B65">
        <w:rPr>
          <w:rFonts w:cstheme="minorHAnsi"/>
        </w:rPr>
        <w:t xml:space="preserve"> Duitse zaak,</w:t>
      </w:r>
      <w:r w:rsidR="002425DB" w:rsidRPr="00A90B65">
        <w:rPr>
          <w:rFonts w:cstheme="minorHAnsi"/>
        </w:rPr>
        <w:t xml:space="preserve"> </w:t>
      </w:r>
      <w:r w:rsidR="002425DB" w:rsidRPr="00A90B65">
        <w:rPr>
          <w:rFonts w:cstheme="minorHAnsi"/>
          <w:i/>
        </w:rPr>
        <w:t>Aranyosi,</w:t>
      </w:r>
      <w:r w:rsidR="00CE0DCE" w:rsidRPr="00A90B65">
        <w:rPr>
          <w:rFonts w:cstheme="minorHAnsi"/>
        </w:rPr>
        <w:t xml:space="preserve"> waarin toch gedacht werd: dat zou </w:t>
      </w:r>
      <w:r w:rsidR="00CE0DCE" w:rsidRPr="00A90B65">
        <w:rPr>
          <w:rFonts w:cstheme="minorHAnsi"/>
        </w:rPr>
        <w:lastRenderedPageBreak/>
        <w:t xml:space="preserve">wel eens tot een </w:t>
      </w:r>
      <w:r w:rsidR="00CE0DCE" w:rsidRPr="00A80264">
        <w:rPr>
          <w:rFonts w:cstheme="minorHAnsi"/>
          <w:i/>
        </w:rPr>
        <w:t>Melloni</w:t>
      </w:r>
      <w:r w:rsidR="00CE0DCE" w:rsidRPr="00EF09C9">
        <w:rPr>
          <w:rFonts w:cstheme="minorHAnsi"/>
        </w:rPr>
        <w:t>-achtige botsing kunnen komen.</w:t>
      </w:r>
      <w:r w:rsidR="002425DB" w:rsidRPr="00EF09C9">
        <w:rPr>
          <w:rStyle w:val="Voetnootmarkering"/>
          <w:rFonts w:cstheme="minorHAnsi"/>
        </w:rPr>
        <w:footnoteReference w:id="21"/>
      </w:r>
      <w:r w:rsidR="00CE0DCE" w:rsidRPr="00EF09C9">
        <w:rPr>
          <w:rFonts w:cstheme="minorHAnsi"/>
        </w:rPr>
        <w:t xml:space="preserve"> </w:t>
      </w:r>
      <w:r w:rsidR="002425DB" w:rsidRPr="00EF09C9">
        <w:rPr>
          <w:rFonts w:cstheme="minorHAnsi"/>
        </w:rPr>
        <w:t>Dat i</w:t>
      </w:r>
      <w:r w:rsidR="00CE0DCE" w:rsidRPr="00DC6EE1">
        <w:rPr>
          <w:rFonts w:cstheme="minorHAnsi"/>
        </w:rPr>
        <w:t>s niet gebeurd</w:t>
      </w:r>
      <w:r w:rsidR="00F16C56" w:rsidRPr="00DC6EE1">
        <w:rPr>
          <w:rFonts w:cstheme="minorHAnsi"/>
        </w:rPr>
        <w:t>,</w:t>
      </w:r>
      <w:r w:rsidR="00CE0DCE" w:rsidRPr="00626EB7">
        <w:rPr>
          <w:rFonts w:cstheme="minorHAnsi"/>
        </w:rPr>
        <w:t xml:space="preserve"> omdat het Hof v</w:t>
      </w:r>
      <w:r w:rsidR="00F16C56" w:rsidRPr="009B6DCF">
        <w:rPr>
          <w:rFonts w:cstheme="minorHAnsi"/>
        </w:rPr>
        <w:t>an Justitie is opgeschoven richting</w:t>
      </w:r>
      <w:r w:rsidR="00CE0DCE" w:rsidRPr="009B6DCF">
        <w:rPr>
          <w:rFonts w:cstheme="minorHAnsi"/>
        </w:rPr>
        <w:t xml:space="preserve"> bescherming van individuele rechten. </w:t>
      </w:r>
    </w:p>
    <w:p w14:paraId="26C57B08" w14:textId="77777777" w:rsidR="00EF09C9" w:rsidRDefault="00EF09C9" w:rsidP="00A80264">
      <w:pPr>
        <w:pStyle w:val="Geenafstand"/>
        <w:jc w:val="both"/>
      </w:pPr>
    </w:p>
    <w:p w14:paraId="010D9F34" w14:textId="2CDC3D0E" w:rsidR="00EF09C9" w:rsidRPr="00A80264" w:rsidRDefault="00CE0DCE" w:rsidP="00A80264">
      <w:pPr>
        <w:pStyle w:val="Geenafstand"/>
        <w:jc w:val="both"/>
        <w:rPr>
          <w:i/>
        </w:rPr>
      </w:pPr>
      <w:r w:rsidRPr="00A80264">
        <w:rPr>
          <w:i/>
        </w:rPr>
        <w:t>U noemde net zelf al de</w:t>
      </w:r>
      <w:r w:rsidR="00024939" w:rsidRPr="00A80264">
        <w:rPr>
          <w:i/>
        </w:rPr>
        <w:t xml:space="preserve"> </w:t>
      </w:r>
      <w:r w:rsidR="002425DB" w:rsidRPr="00DC6EE1">
        <w:rPr>
          <w:i/>
        </w:rPr>
        <w:t>Chylinski</w:t>
      </w:r>
      <w:r w:rsidR="00024939" w:rsidRPr="00A80264">
        <w:rPr>
          <w:i/>
        </w:rPr>
        <w:t>-</w:t>
      </w:r>
      <w:r w:rsidRPr="00A80264">
        <w:rPr>
          <w:i/>
        </w:rPr>
        <w:t>zaak</w:t>
      </w:r>
      <w:r w:rsidR="006C4DFC" w:rsidRPr="00A80264">
        <w:rPr>
          <w:i/>
        </w:rPr>
        <w:t xml:space="preserve">. Deze vraag gaat </w:t>
      </w:r>
      <w:r w:rsidRPr="00A80264">
        <w:rPr>
          <w:i/>
        </w:rPr>
        <w:t xml:space="preserve">meer </w:t>
      </w:r>
      <w:r w:rsidR="006C4DFC" w:rsidRPr="00A80264">
        <w:rPr>
          <w:i/>
        </w:rPr>
        <w:t xml:space="preserve">over </w:t>
      </w:r>
      <w:r w:rsidRPr="00A80264">
        <w:rPr>
          <w:i/>
        </w:rPr>
        <w:t xml:space="preserve">de rechtspraak van het </w:t>
      </w:r>
      <w:r w:rsidR="007724AF">
        <w:rPr>
          <w:i/>
        </w:rPr>
        <w:t>Hof</w:t>
      </w:r>
      <w:r w:rsidRPr="00A80264">
        <w:rPr>
          <w:i/>
        </w:rPr>
        <w:t xml:space="preserve"> </w:t>
      </w:r>
      <w:r w:rsidR="006C4DFC" w:rsidRPr="00A80264">
        <w:rPr>
          <w:i/>
        </w:rPr>
        <w:t xml:space="preserve">ten aanzien van </w:t>
      </w:r>
      <w:r w:rsidRPr="00A80264">
        <w:rPr>
          <w:i/>
        </w:rPr>
        <w:t>de prejudiciële procedure. Dat was een van de drie onderwerpen die in maart dit jaar werd besproken</w:t>
      </w:r>
      <w:r w:rsidR="006C4DFC" w:rsidRPr="00A80264">
        <w:rPr>
          <w:i/>
        </w:rPr>
        <w:t xml:space="preserve"> tijdens het eerdergenoemde bezoek van een Straatsburgse delegatie aan Luxemburg. </w:t>
      </w:r>
      <w:r w:rsidRPr="00A80264">
        <w:rPr>
          <w:i/>
        </w:rPr>
        <w:t xml:space="preserve">Het </w:t>
      </w:r>
      <w:r w:rsidR="007724AF">
        <w:rPr>
          <w:i/>
        </w:rPr>
        <w:t>Hof</w:t>
      </w:r>
      <w:r w:rsidRPr="00A80264">
        <w:rPr>
          <w:i/>
        </w:rPr>
        <w:t xml:space="preserve"> heeft in </w:t>
      </w:r>
      <w:r w:rsidR="006C4DFC" w:rsidRPr="00A80264">
        <w:rPr>
          <w:i/>
        </w:rPr>
        <w:t xml:space="preserve">Chylinski </w:t>
      </w:r>
      <w:r w:rsidRPr="00A80264">
        <w:rPr>
          <w:i/>
        </w:rPr>
        <w:t>geen schending geconstateerd van de verwijzingsplicht die rechters hebben op grond van het VWEU</w:t>
      </w:r>
      <w:r w:rsidR="006C4DFC" w:rsidRPr="00A80264">
        <w:rPr>
          <w:i/>
        </w:rPr>
        <w:t xml:space="preserve">. Dat heeft het wel gedaan </w:t>
      </w:r>
      <w:r w:rsidR="00024939" w:rsidRPr="00A80264">
        <w:rPr>
          <w:i/>
        </w:rPr>
        <w:t xml:space="preserve">in </w:t>
      </w:r>
      <w:r w:rsidRPr="00A80264">
        <w:rPr>
          <w:i/>
        </w:rPr>
        <w:t>twee andere zaken</w:t>
      </w:r>
      <w:r w:rsidR="00311EF3">
        <w:rPr>
          <w:i/>
        </w:rPr>
        <w:t xml:space="preserve"> tegen Italië</w:t>
      </w:r>
      <w:r w:rsidRPr="00A80264">
        <w:rPr>
          <w:i/>
        </w:rPr>
        <w:t>, D</w:t>
      </w:r>
      <w:r w:rsidR="007931AB" w:rsidRPr="00A80264">
        <w:rPr>
          <w:i/>
        </w:rPr>
        <w:t>h</w:t>
      </w:r>
      <w:r w:rsidRPr="00A80264">
        <w:rPr>
          <w:i/>
        </w:rPr>
        <w:t>a</w:t>
      </w:r>
      <w:r w:rsidR="007931AB" w:rsidRPr="00A80264">
        <w:rPr>
          <w:i/>
        </w:rPr>
        <w:t>h</w:t>
      </w:r>
      <w:r w:rsidRPr="00A80264">
        <w:rPr>
          <w:i/>
        </w:rPr>
        <w:t xml:space="preserve">bi en </w:t>
      </w:r>
      <w:r w:rsidR="007931AB" w:rsidRPr="00A80264">
        <w:rPr>
          <w:i/>
        </w:rPr>
        <w:t>Sch</w:t>
      </w:r>
      <w:r w:rsidRPr="00A80264">
        <w:rPr>
          <w:i/>
        </w:rPr>
        <w:t>ipani, waar sprake was van een schending van artikel 6 EVRM, omdat de hoogste Italiaanse rechter had nagelaten om te verwijzen.</w:t>
      </w:r>
      <w:r w:rsidR="006C4DFC" w:rsidRPr="00A80264">
        <w:rPr>
          <w:rStyle w:val="Voetnootmarkering"/>
          <w:rFonts w:cstheme="minorHAnsi"/>
          <w:b/>
          <w:i/>
        </w:rPr>
        <w:footnoteReference w:id="22"/>
      </w:r>
      <w:r w:rsidRPr="00A80264">
        <w:rPr>
          <w:i/>
        </w:rPr>
        <w:t xml:space="preserve"> </w:t>
      </w:r>
      <w:r w:rsidR="006C4DFC" w:rsidRPr="00A80264">
        <w:rPr>
          <w:i/>
        </w:rPr>
        <w:t>V</w:t>
      </w:r>
      <w:r w:rsidRPr="00A80264">
        <w:rPr>
          <w:i/>
        </w:rPr>
        <w:t>anuit Unierechtelijk perspectief</w:t>
      </w:r>
      <w:r w:rsidR="00335412" w:rsidRPr="00A80264">
        <w:rPr>
          <w:i/>
        </w:rPr>
        <w:t xml:space="preserve"> zijn </w:t>
      </w:r>
      <w:r w:rsidR="00311EF3">
        <w:rPr>
          <w:i/>
        </w:rPr>
        <w:t>nogal</w:t>
      </w:r>
      <w:r w:rsidR="00335412" w:rsidRPr="00A80264">
        <w:rPr>
          <w:i/>
        </w:rPr>
        <w:t xml:space="preserve"> wat vraagtekens gezet</w:t>
      </w:r>
      <w:r w:rsidR="006C4DFC" w:rsidRPr="00A80264">
        <w:rPr>
          <w:i/>
        </w:rPr>
        <w:t xml:space="preserve"> bij deze uitspraken. V</w:t>
      </w:r>
      <w:r w:rsidR="00335412" w:rsidRPr="00A80264">
        <w:rPr>
          <w:i/>
        </w:rPr>
        <w:t xml:space="preserve">olgens </w:t>
      </w:r>
      <w:r w:rsidR="007724AF">
        <w:rPr>
          <w:i/>
        </w:rPr>
        <w:t>ons</w:t>
      </w:r>
      <w:r w:rsidR="007724AF" w:rsidRPr="00A80264">
        <w:rPr>
          <w:i/>
        </w:rPr>
        <w:t xml:space="preserve"> </w:t>
      </w:r>
      <w:r w:rsidR="00335412" w:rsidRPr="00A80264">
        <w:rPr>
          <w:i/>
        </w:rPr>
        <w:t xml:space="preserve">is dat ook de reden </w:t>
      </w:r>
      <w:r w:rsidR="006C4DFC" w:rsidRPr="00A80264">
        <w:rPr>
          <w:i/>
        </w:rPr>
        <w:t xml:space="preserve">geweest </w:t>
      </w:r>
      <w:r w:rsidR="00311EF3">
        <w:rPr>
          <w:i/>
        </w:rPr>
        <w:t>waarom</w:t>
      </w:r>
      <w:r w:rsidR="00311EF3" w:rsidRPr="00A80264">
        <w:rPr>
          <w:i/>
        </w:rPr>
        <w:t xml:space="preserve"> </w:t>
      </w:r>
      <w:r w:rsidR="00335412" w:rsidRPr="00A80264">
        <w:rPr>
          <w:i/>
        </w:rPr>
        <w:t>d</w:t>
      </w:r>
      <w:r w:rsidR="006C4DFC" w:rsidRPr="00A80264">
        <w:rPr>
          <w:i/>
        </w:rPr>
        <w:t>it</w:t>
      </w:r>
      <w:r w:rsidR="00335412" w:rsidRPr="00A80264">
        <w:rPr>
          <w:i/>
        </w:rPr>
        <w:t xml:space="preserve"> </w:t>
      </w:r>
      <w:r w:rsidR="006C4DFC" w:rsidRPr="00A80264">
        <w:rPr>
          <w:i/>
        </w:rPr>
        <w:t xml:space="preserve">een van de drie onderwerpen </w:t>
      </w:r>
      <w:r w:rsidR="00311EF3">
        <w:rPr>
          <w:i/>
        </w:rPr>
        <w:t xml:space="preserve">is </w:t>
      </w:r>
      <w:r w:rsidR="006C4DFC" w:rsidRPr="00A80264">
        <w:rPr>
          <w:i/>
        </w:rPr>
        <w:t xml:space="preserve">die tijdens het bezoek in maart 2016 </w:t>
      </w:r>
      <w:r w:rsidR="00311EF3">
        <w:rPr>
          <w:i/>
        </w:rPr>
        <w:t>werden</w:t>
      </w:r>
      <w:r w:rsidR="00311EF3" w:rsidRPr="00A80264">
        <w:rPr>
          <w:i/>
        </w:rPr>
        <w:t xml:space="preserve"> </w:t>
      </w:r>
      <w:r w:rsidR="006C4DFC" w:rsidRPr="00A80264">
        <w:rPr>
          <w:i/>
        </w:rPr>
        <w:t>besproken</w:t>
      </w:r>
      <w:r w:rsidR="00335412" w:rsidRPr="00A80264">
        <w:rPr>
          <w:i/>
        </w:rPr>
        <w:t xml:space="preserve">. </w:t>
      </w:r>
      <w:r w:rsidR="006C4DFC" w:rsidRPr="00A80264">
        <w:rPr>
          <w:i/>
        </w:rPr>
        <w:t>I</w:t>
      </w:r>
      <w:r w:rsidR="00335412" w:rsidRPr="00A80264">
        <w:rPr>
          <w:i/>
        </w:rPr>
        <w:t>n Luxemburg</w:t>
      </w:r>
      <w:r w:rsidR="006C4DFC" w:rsidRPr="00A80264">
        <w:rPr>
          <w:i/>
        </w:rPr>
        <w:t xml:space="preserve"> is men </w:t>
      </w:r>
      <w:r w:rsidR="00335412" w:rsidRPr="00A80264">
        <w:rPr>
          <w:i/>
        </w:rPr>
        <w:t>niet heel blij me</w:t>
      </w:r>
      <w:r w:rsidR="006C4DFC" w:rsidRPr="00A80264">
        <w:rPr>
          <w:i/>
        </w:rPr>
        <w:t>t deze jurisprudentie</w:t>
      </w:r>
      <w:r w:rsidR="00335412" w:rsidRPr="00A80264">
        <w:rPr>
          <w:i/>
        </w:rPr>
        <w:t xml:space="preserve">. Als je de literatuur erop naslaat dan spreekt men van een </w:t>
      </w:r>
      <w:r w:rsidR="006C4DFC" w:rsidRPr="00A80264">
        <w:rPr>
          <w:i/>
        </w:rPr>
        <w:t xml:space="preserve">vergaande Straatsburgse interventie in de dialoog tussen het </w:t>
      </w:r>
      <w:r w:rsidR="00580FE2">
        <w:rPr>
          <w:i/>
        </w:rPr>
        <w:t>Hof van Justitie</w:t>
      </w:r>
      <w:r w:rsidR="006C4DFC" w:rsidRPr="00A80264">
        <w:rPr>
          <w:i/>
        </w:rPr>
        <w:t xml:space="preserve"> en nationale rechters, </w:t>
      </w:r>
      <w:r w:rsidR="00024939" w:rsidRPr="00A80264">
        <w:rPr>
          <w:i/>
        </w:rPr>
        <w:t>aangezien de procedure</w:t>
      </w:r>
      <w:r w:rsidR="006C4DFC" w:rsidRPr="00A80264">
        <w:rPr>
          <w:i/>
        </w:rPr>
        <w:t xml:space="preserve"> niet bedoeld is als een vehikel om mensenrechten te beschermen </w:t>
      </w:r>
      <w:r w:rsidR="00024939" w:rsidRPr="00A80264">
        <w:rPr>
          <w:i/>
        </w:rPr>
        <w:t>omdat</w:t>
      </w:r>
      <w:r w:rsidR="006C4DFC" w:rsidRPr="00A80264">
        <w:rPr>
          <w:i/>
        </w:rPr>
        <w:t xml:space="preserve"> partijen geen recht kunnen claimen op een verwijzing naar Luxemburg. </w:t>
      </w:r>
      <w:r w:rsidR="00335412" w:rsidRPr="00A80264">
        <w:rPr>
          <w:i/>
        </w:rPr>
        <w:t xml:space="preserve">Er wordt dus betoogd dat de Straatsburgse manier van kijken naar de </w:t>
      </w:r>
      <w:r w:rsidR="00F16C56" w:rsidRPr="00A80264">
        <w:rPr>
          <w:i/>
        </w:rPr>
        <w:t>prejudiciële</w:t>
      </w:r>
      <w:r w:rsidR="00335412" w:rsidRPr="00A80264">
        <w:rPr>
          <w:i/>
        </w:rPr>
        <w:t xml:space="preserve"> procedure </w:t>
      </w:r>
      <w:r w:rsidR="006C4DFC" w:rsidRPr="00A80264">
        <w:rPr>
          <w:i/>
        </w:rPr>
        <w:t xml:space="preserve">met een nadruk op het verzoek van partijen </w:t>
      </w:r>
      <w:r w:rsidR="00335412" w:rsidRPr="00A80264">
        <w:rPr>
          <w:i/>
        </w:rPr>
        <w:t xml:space="preserve">haaks staat op de manier waarop de prejudiciële procedure is ingericht. </w:t>
      </w:r>
      <w:r w:rsidR="00024939" w:rsidRPr="00A80264">
        <w:rPr>
          <w:i/>
        </w:rPr>
        <w:t xml:space="preserve">De </w:t>
      </w:r>
      <w:r w:rsidR="00335412" w:rsidRPr="00A80264">
        <w:rPr>
          <w:i/>
        </w:rPr>
        <w:t>logische vraag is dus: hoe staat u hierin? Deelt u die kritiek? Of is dat</w:t>
      </w:r>
      <w:r w:rsidR="00F16C56" w:rsidRPr="00A80264">
        <w:rPr>
          <w:i/>
        </w:rPr>
        <w:t xml:space="preserve"> ook</w:t>
      </w:r>
      <w:r w:rsidR="00335412" w:rsidRPr="00A80264">
        <w:rPr>
          <w:i/>
        </w:rPr>
        <w:t xml:space="preserve"> vanuit de literatuur misschien weer wat overdreven geproblematiseerd?</w:t>
      </w:r>
      <w:r w:rsidR="00013C2B" w:rsidRPr="00A80264">
        <w:rPr>
          <w:i/>
        </w:rPr>
        <w:t xml:space="preserve"> </w:t>
      </w:r>
    </w:p>
    <w:p w14:paraId="02A13156" w14:textId="77777777" w:rsidR="00CE0DCE" w:rsidRPr="00A80264" w:rsidRDefault="00CE0DCE" w:rsidP="00A80264">
      <w:pPr>
        <w:pStyle w:val="Geenafstand"/>
        <w:jc w:val="both"/>
      </w:pPr>
    </w:p>
    <w:p w14:paraId="7CEE607E" w14:textId="66308A43" w:rsidR="007931AB" w:rsidRDefault="006C4DFC" w:rsidP="00A80264">
      <w:pPr>
        <w:pStyle w:val="Geenafstand"/>
        <w:jc w:val="both"/>
      </w:pPr>
      <w:r w:rsidRPr="00DC6EE1">
        <w:t>Dit</w:t>
      </w:r>
      <w:r w:rsidR="00335412" w:rsidRPr="00626EB7">
        <w:t xml:space="preserve"> is een interessante analyse. Binnen het </w:t>
      </w:r>
      <w:r w:rsidRPr="009B6DCF">
        <w:t xml:space="preserve">Unierecht </w:t>
      </w:r>
      <w:r w:rsidR="00335412" w:rsidRPr="009B6DCF">
        <w:t>is het inderdaad zo dat het instrume</w:t>
      </w:r>
      <w:r w:rsidR="00335412" w:rsidRPr="00B01C64">
        <w:t xml:space="preserve">nt van de </w:t>
      </w:r>
      <w:r w:rsidR="00F16C56" w:rsidRPr="00B01C64">
        <w:t>prejudiciële</w:t>
      </w:r>
      <w:r w:rsidR="00335412" w:rsidRPr="00B01C64">
        <w:t xml:space="preserve"> verwijzing een instrument is </w:t>
      </w:r>
      <w:r w:rsidR="00024939" w:rsidRPr="000437DB">
        <w:t xml:space="preserve">voor </w:t>
      </w:r>
      <w:r w:rsidR="00C87E0A">
        <w:t xml:space="preserve">samenwerkende </w:t>
      </w:r>
      <w:r w:rsidR="00335412" w:rsidRPr="000437DB">
        <w:t xml:space="preserve">rechterlijke instanties. Of een partij </w:t>
      </w:r>
      <w:r w:rsidR="00024939" w:rsidRPr="000437DB">
        <w:t xml:space="preserve">een </w:t>
      </w:r>
      <w:r w:rsidR="00335412" w:rsidRPr="000437DB">
        <w:t>vraag stelt of niet</w:t>
      </w:r>
      <w:r w:rsidR="00F16C56" w:rsidRPr="000437DB">
        <w:t>,</w:t>
      </w:r>
      <w:r w:rsidR="00335412" w:rsidRPr="000437DB">
        <w:t xml:space="preserve"> is niet relevant voor de verplichting al </w:t>
      </w:r>
      <w:r w:rsidR="00024939" w:rsidRPr="000437DB">
        <w:t xml:space="preserve">dan </w:t>
      </w:r>
      <w:r w:rsidR="00335412" w:rsidRPr="000437DB">
        <w:t>niet te verwijzen</w:t>
      </w:r>
      <w:r w:rsidRPr="000437DB">
        <w:t>. D</w:t>
      </w:r>
      <w:r w:rsidR="00335412" w:rsidRPr="000437DB">
        <w:t>ie verplichting is op een objectieve situatie te funderen, namelijk</w:t>
      </w:r>
      <w:r w:rsidR="00024939" w:rsidRPr="000437DB">
        <w:t>:</w:t>
      </w:r>
      <w:r w:rsidR="00335412" w:rsidRPr="000437DB">
        <w:t xml:space="preserve"> moet er iets uitgelegd worden in het U</w:t>
      </w:r>
      <w:r w:rsidR="00F16C56" w:rsidRPr="000437DB">
        <w:t>nierecht</w:t>
      </w:r>
      <w:r w:rsidR="00024939" w:rsidRPr="000437DB">
        <w:t>? I</w:t>
      </w:r>
      <w:r w:rsidR="00F16C56" w:rsidRPr="000437DB">
        <w:t>s er een onduidelijkheid in de</w:t>
      </w:r>
      <w:r w:rsidR="00335412" w:rsidRPr="000437DB">
        <w:t xml:space="preserve"> interpretatie of niet</w:t>
      </w:r>
      <w:r w:rsidR="00024939" w:rsidRPr="000437DB">
        <w:t xml:space="preserve">? </w:t>
      </w:r>
      <w:r w:rsidR="00335412" w:rsidRPr="000437DB">
        <w:t>Dat is bepalend voor</w:t>
      </w:r>
      <w:r w:rsidR="00024939" w:rsidRPr="000437DB">
        <w:t xml:space="preserve"> of </w:t>
      </w:r>
      <w:r w:rsidR="00335412" w:rsidRPr="000437DB">
        <w:t>de nationale rechter eventuee</w:t>
      </w:r>
      <w:r w:rsidR="00F16C56" w:rsidRPr="000437DB">
        <w:t>l verwijst</w:t>
      </w:r>
      <w:r w:rsidR="00335412" w:rsidRPr="000437DB">
        <w:t xml:space="preserve"> en of hij moet verwijzen, als het een</w:t>
      </w:r>
      <w:r w:rsidR="00F16C56" w:rsidRPr="000437DB">
        <w:t xml:space="preserve"> rechter in</w:t>
      </w:r>
      <w:r w:rsidR="00335412" w:rsidRPr="000437DB">
        <w:t xml:space="preserve"> hoogste instantie is. Dat is het systeem. Dat </w:t>
      </w:r>
      <w:r w:rsidRPr="000437DB">
        <w:t xml:space="preserve">de prejudiciële procedure </w:t>
      </w:r>
      <w:r w:rsidR="00335412" w:rsidRPr="000437DB">
        <w:t xml:space="preserve">betekenis heeft voor de rechtsbescherming is al sinds </w:t>
      </w:r>
      <w:r w:rsidR="00311EF3">
        <w:rPr>
          <w:i/>
        </w:rPr>
        <w:t>V</w:t>
      </w:r>
      <w:r w:rsidR="00335412" w:rsidRPr="00A80264">
        <w:rPr>
          <w:i/>
        </w:rPr>
        <w:t>an Gend en Loos</w:t>
      </w:r>
      <w:r w:rsidR="00335412" w:rsidRPr="00EF09C9">
        <w:t xml:space="preserve"> vaste rechtspraak va</w:t>
      </w:r>
      <w:r w:rsidR="00F16C56" w:rsidRPr="00EF09C9">
        <w:t>n het Hof van Justitie zelf.</w:t>
      </w:r>
      <w:r w:rsidRPr="00EF09C9">
        <w:rPr>
          <w:rStyle w:val="Voetnootmarkering"/>
          <w:rFonts w:cstheme="minorHAnsi"/>
        </w:rPr>
        <w:footnoteReference w:id="23"/>
      </w:r>
      <w:r w:rsidR="00F16C56" w:rsidRPr="00EF09C9">
        <w:t xml:space="preserve"> </w:t>
      </w:r>
      <w:r w:rsidR="00311EF3">
        <w:t>D</w:t>
      </w:r>
      <w:r w:rsidR="00335412" w:rsidRPr="00EF09C9">
        <w:t>at er dus door anderen betekenis wordt gehecht in de conte</w:t>
      </w:r>
      <w:r w:rsidR="00F16C56" w:rsidRPr="00EF09C9">
        <w:t>xt van rechtsbescherming is ook volkomen begrijpelijk</w:t>
      </w:r>
      <w:r w:rsidR="00335412" w:rsidRPr="00DC6EE1">
        <w:t xml:space="preserve">. </w:t>
      </w:r>
      <w:r w:rsidR="00335412" w:rsidRPr="00626EB7">
        <w:t>Straatsburg legt ui</w:t>
      </w:r>
      <w:r w:rsidR="00F16C56" w:rsidRPr="009B6DCF">
        <w:t>t wat artikel 6 EVRM</w:t>
      </w:r>
      <w:r w:rsidR="007724AF" w:rsidRPr="009B6DCF">
        <w:t xml:space="preserve">, </w:t>
      </w:r>
      <w:r w:rsidR="007724AF" w:rsidRPr="00B01C64">
        <w:t>het recht op</w:t>
      </w:r>
      <w:r w:rsidR="007724AF" w:rsidRPr="000437DB">
        <w:t xml:space="preserve"> een eerlijk proces</w:t>
      </w:r>
      <w:r w:rsidR="007724AF">
        <w:t>,</w:t>
      </w:r>
      <w:r w:rsidR="00F16C56" w:rsidRPr="009B6DCF">
        <w:t xml:space="preserve"> betekent</w:t>
      </w:r>
      <w:r w:rsidR="00335412" w:rsidRPr="000437DB">
        <w:t xml:space="preserve">. Het feit dat een rechter onder </w:t>
      </w:r>
      <w:r w:rsidRPr="000437DB">
        <w:t>het U</w:t>
      </w:r>
      <w:r w:rsidR="00335412" w:rsidRPr="000437DB">
        <w:t>nierecht niet verplicht is te motiveren hoe hij omgaat met een verzoek om een prejudiciële</w:t>
      </w:r>
      <w:r w:rsidR="00F16C56" w:rsidRPr="000437DB">
        <w:t xml:space="preserve"> </w:t>
      </w:r>
      <w:r w:rsidR="00335412" w:rsidRPr="000437DB">
        <w:t xml:space="preserve">vraagstelling, zegt ook niet dat </w:t>
      </w:r>
      <w:r w:rsidR="00024939" w:rsidRPr="000437DB">
        <w:t xml:space="preserve">het </w:t>
      </w:r>
      <w:r w:rsidR="00335412" w:rsidRPr="000437DB">
        <w:t xml:space="preserve">een rechter </w:t>
      </w:r>
      <w:r w:rsidR="00024939" w:rsidRPr="000437DB">
        <w:t>verboden is om</w:t>
      </w:r>
      <w:r w:rsidR="00335412" w:rsidRPr="000437DB">
        <w:t xml:space="preserve"> te motiveren waarom hij al </w:t>
      </w:r>
      <w:r w:rsidR="00024939" w:rsidRPr="000437DB">
        <w:t xml:space="preserve">dan </w:t>
      </w:r>
      <w:r w:rsidR="00335412" w:rsidRPr="000437DB">
        <w:t>niet een vraag ste</w:t>
      </w:r>
      <w:r w:rsidR="00F16C56" w:rsidRPr="000437DB">
        <w:t>lt. Met andere woorden, vanuit U</w:t>
      </w:r>
      <w:r w:rsidR="00335412" w:rsidRPr="000437DB">
        <w:t xml:space="preserve">nierecht bezien is er een vrijheid om al </w:t>
      </w:r>
      <w:r w:rsidR="00024939" w:rsidRPr="000437DB">
        <w:t xml:space="preserve">dan </w:t>
      </w:r>
      <w:r w:rsidR="00335412" w:rsidRPr="000437DB">
        <w:t xml:space="preserve">niet te motiveren. En omdat er vanuit Unierecht </w:t>
      </w:r>
      <w:r w:rsidR="00024939" w:rsidRPr="000437DB">
        <w:t xml:space="preserve">die </w:t>
      </w:r>
      <w:r w:rsidR="00335412" w:rsidRPr="000437DB">
        <w:t>vrijheid is</w:t>
      </w:r>
      <w:r w:rsidR="00F16C56" w:rsidRPr="000437DB">
        <w:t>,</w:t>
      </w:r>
      <w:r w:rsidR="00335412" w:rsidRPr="000437DB">
        <w:t xml:space="preserve"> is er voor de </w:t>
      </w:r>
      <w:r w:rsidR="00F16C56" w:rsidRPr="000437DB">
        <w:t>S</w:t>
      </w:r>
      <w:r w:rsidR="00335412" w:rsidRPr="000437DB">
        <w:t xml:space="preserve">traatsburgse rechter geen enkele belemmering om eisen te stellen aan </w:t>
      </w:r>
      <w:r w:rsidR="007931AB" w:rsidRPr="000437DB">
        <w:t>de motivering van een processueel moment</w:t>
      </w:r>
      <w:r w:rsidR="00024939" w:rsidRPr="000437DB">
        <w:t>. D</w:t>
      </w:r>
      <w:r w:rsidR="007931AB" w:rsidRPr="000437DB">
        <w:t>us is er geen enkele botsing tussen die</w:t>
      </w:r>
      <w:r w:rsidR="00F16C56" w:rsidRPr="000437DB">
        <w:t xml:space="preserve"> twee rechtsstelsels. Dan zijn </w:t>
      </w:r>
      <w:r w:rsidR="007931AB" w:rsidRPr="00A80264">
        <w:rPr>
          <w:i/>
        </w:rPr>
        <w:t xml:space="preserve">Dhahbi </w:t>
      </w:r>
      <w:r w:rsidR="007931AB" w:rsidRPr="00EF09C9">
        <w:t xml:space="preserve">en </w:t>
      </w:r>
      <w:r w:rsidR="00F16C56" w:rsidRPr="00A80264">
        <w:rPr>
          <w:i/>
        </w:rPr>
        <w:t>S</w:t>
      </w:r>
      <w:r w:rsidR="007931AB" w:rsidRPr="00A80264">
        <w:rPr>
          <w:i/>
        </w:rPr>
        <w:t>chipani</w:t>
      </w:r>
      <w:r w:rsidR="00F16C56" w:rsidRPr="00EF09C9">
        <w:t xml:space="preserve">, die </w:t>
      </w:r>
      <w:r w:rsidR="007931AB" w:rsidRPr="00EF09C9">
        <w:t>voort</w:t>
      </w:r>
      <w:r w:rsidR="007724AF" w:rsidRPr="00EF09C9">
        <w:t xml:space="preserve">vloeien </w:t>
      </w:r>
      <w:r w:rsidR="00F16C56" w:rsidRPr="00EF09C9">
        <w:t>uit oudere rechtspraak</w:t>
      </w:r>
      <w:r w:rsidRPr="00EF09C9">
        <w:t xml:space="preserve"> van het </w:t>
      </w:r>
      <w:r w:rsidR="007724AF">
        <w:t>Hof</w:t>
      </w:r>
      <w:r w:rsidR="00AE4E44" w:rsidRPr="00DC6EE1">
        <w:t xml:space="preserve"> zoals </w:t>
      </w:r>
      <w:r w:rsidR="00AE4E44" w:rsidRPr="00A80264">
        <w:rPr>
          <w:i/>
        </w:rPr>
        <w:t>Ullens de Schooten en Rezabek</w:t>
      </w:r>
      <w:r w:rsidR="00F16C56" w:rsidRPr="00EF09C9">
        <w:t xml:space="preserve">, </w:t>
      </w:r>
      <w:r w:rsidR="007931AB" w:rsidRPr="00EF09C9">
        <w:t>volkomen begrijpelijk.</w:t>
      </w:r>
      <w:r w:rsidR="00AE4E44" w:rsidRPr="00EF09C9">
        <w:rPr>
          <w:rStyle w:val="Voetnootmarkering"/>
          <w:rFonts w:cstheme="minorHAnsi"/>
        </w:rPr>
        <w:footnoteReference w:id="24"/>
      </w:r>
      <w:r w:rsidR="007931AB" w:rsidRPr="00EF09C9">
        <w:t xml:space="preserve"> Maar</w:t>
      </w:r>
      <w:r w:rsidRPr="00EF09C9">
        <w:t xml:space="preserve"> dan</w:t>
      </w:r>
      <w:r w:rsidR="007931AB" w:rsidRPr="00DC6EE1">
        <w:t xml:space="preserve"> het effect. </w:t>
      </w:r>
      <w:r w:rsidR="00311EF3">
        <w:t>I</w:t>
      </w:r>
      <w:r w:rsidR="007931AB" w:rsidRPr="00DC6EE1">
        <w:t xml:space="preserve">k kan me best wel voorstellen dat het Hof van </w:t>
      </w:r>
      <w:r w:rsidRPr="00DC6EE1">
        <w:t>J</w:t>
      </w:r>
      <w:r w:rsidR="007931AB" w:rsidRPr="009B6DCF">
        <w:t xml:space="preserve">ustitie bijvoorbeeld zegt: </w:t>
      </w:r>
      <w:r w:rsidR="00024939" w:rsidRPr="009B6DCF">
        <w:t>“E</w:t>
      </w:r>
      <w:r w:rsidR="007931AB" w:rsidRPr="00B01C64">
        <w:t>r komen hier heel veel vragen binnen en die zijn niet allemaal belangrijk voor de ontwikkeling van Unierecht.</w:t>
      </w:r>
      <w:r w:rsidR="00024939" w:rsidRPr="000437DB">
        <w:t xml:space="preserve"> </w:t>
      </w:r>
      <w:r w:rsidR="007931AB" w:rsidRPr="000437DB">
        <w:t>Dus heel veel minder goed bedachte vragen, daar zitten wij niet op te wachten.</w:t>
      </w:r>
      <w:r w:rsidR="00024939" w:rsidRPr="000437DB">
        <w:t>”</w:t>
      </w:r>
      <w:r w:rsidR="007931AB" w:rsidRPr="000437DB">
        <w:t xml:space="preserve"> Een verscherpte motiverings</w:t>
      </w:r>
      <w:r w:rsidR="00F16C56" w:rsidRPr="000437DB">
        <w:t xml:space="preserve">plicht onder </w:t>
      </w:r>
      <w:r w:rsidR="007931AB" w:rsidRPr="000437DB">
        <w:t xml:space="preserve">druk van Straatsburg zou ertoe kunnen leiden dat de </w:t>
      </w:r>
      <w:r w:rsidR="00024939" w:rsidRPr="000437DB">
        <w:t xml:space="preserve">nationale </w:t>
      </w:r>
      <w:r w:rsidR="007931AB" w:rsidRPr="000437DB">
        <w:t xml:space="preserve">rechter misschien afziet van een moeilijke motivering en zijn toevlucht neemt tot het stellen </w:t>
      </w:r>
      <w:r w:rsidR="00F16C56" w:rsidRPr="000437DB">
        <w:t>van vragen. Daarmee wordt bevorderd</w:t>
      </w:r>
      <w:r w:rsidR="007931AB" w:rsidRPr="000437DB">
        <w:t xml:space="preserve"> dat minder noodzakelijke vragen gesteld worden aan het Hof van Justitie. </w:t>
      </w:r>
      <w:r w:rsidR="00024939" w:rsidRPr="000437DB">
        <w:t>Het</w:t>
      </w:r>
      <w:r w:rsidR="00F16C56" w:rsidRPr="000437DB">
        <w:t xml:space="preserve"> Hof van Justitie </w:t>
      </w:r>
      <w:r w:rsidR="00024939" w:rsidRPr="000437DB">
        <w:t xml:space="preserve">zal er </w:t>
      </w:r>
      <w:r w:rsidR="00F16C56" w:rsidRPr="000437DB">
        <w:t>niet blij mee zijn</w:t>
      </w:r>
      <w:r w:rsidR="00024939" w:rsidRPr="000437DB">
        <w:t xml:space="preserve"> </w:t>
      </w:r>
      <w:r w:rsidR="007931AB" w:rsidRPr="000437DB">
        <w:t>als dat het effect is van dit samenspel van krachten.</w:t>
      </w:r>
    </w:p>
    <w:p w14:paraId="5FF8CC93" w14:textId="77777777" w:rsidR="00EF09C9" w:rsidRPr="00DC6EE1" w:rsidRDefault="00EF09C9" w:rsidP="00A80264">
      <w:pPr>
        <w:pStyle w:val="Geenafstand"/>
        <w:jc w:val="both"/>
      </w:pPr>
    </w:p>
    <w:p w14:paraId="66CD0C3A" w14:textId="77777777" w:rsidR="00EF09C9" w:rsidRPr="00A80264" w:rsidRDefault="00AE4E44" w:rsidP="00A80264">
      <w:pPr>
        <w:pStyle w:val="Geenafstand"/>
        <w:jc w:val="both"/>
        <w:rPr>
          <w:i/>
        </w:rPr>
      </w:pPr>
      <w:r w:rsidRPr="00A80264">
        <w:rPr>
          <w:i/>
        </w:rPr>
        <w:lastRenderedPageBreak/>
        <w:t>Hebben rechters van het Hof van Justitie zich ook op die manier daarover geuit?</w:t>
      </w:r>
    </w:p>
    <w:p w14:paraId="635AEB54" w14:textId="77777777" w:rsidR="007931AB" w:rsidRPr="00626EB7" w:rsidRDefault="007931AB" w:rsidP="00A80264">
      <w:pPr>
        <w:pStyle w:val="Geenafstand"/>
        <w:jc w:val="both"/>
        <w:rPr>
          <w:b/>
        </w:rPr>
      </w:pPr>
    </w:p>
    <w:p w14:paraId="3202E2B0" w14:textId="00B4E2A3" w:rsidR="007931AB" w:rsidRDefault="00F16C56" w:rsidP="00A80264">
      <w:pPr>
        <w:pStyle w:val="Geenafstand"/>
        <w:jc w:val="both"/>
      </w:pPr>
      <w:r w:rsidRPr="009B6DCF">
        <w:t>Nou, d</w:t>
      </w:r>
      <w:r w:rsidR="007931AB" w:rsidRPr="009B6DCF">
        <w:t xml:space="preserve">aar kan ik me iets bij voorstellen. </w:t>
      </w:r>
      <w:r w:rsidR="00AE4E44" w:rsidRPr="009B6DCF">
        <w:t xml:space="preserve">Maar het </w:t>
      </w:r>
      <w:r w:rsidR="00AE4E44" w:rsidRPr="00B01C64">
        <w:t xml:space="preserve">Hof </w:t>
      </w:r>
      <w:r w:rsidR="007931AB" w:rsidRPr="000437DB">
        <w:t xml:space="preserve">van </w:t>
      </w:r>
      <w:r w:rsidR="00AE4E44" w:rsidRPr="000437DB">
        <w:t xml:space="preserve">Justitie heeft zich bij </w:t>
      </w:r>
      <w:r w:rsidR="007931AB" w:rsidRPr="000437DB">
        <w:t xml:space="preserve">mijn weten </w:t>
      </w:r>
      <w:r w:rsidR="00024939" w:rsidRPr="000437DB">
        <w:t xml:space="preserve">hier </w:t>
      </w:r>
      <w:r w:rsidR="00AE4E44" w:rsidRPr="000437DB">
        <w:t>nog niet over geuit</w:t>
      </w:r>
      <w:r w:rsidRPr="000437DB">
        <w:t>. Bij mijn weten is de enige Advocaat-Ge</w:t>
      </w:r>
      <w:r w:rsidR="007931AB" w:rsidRPr="000437DB">
        <w:t xml:space="preserve">neraal die zich erover </w:t>
      </w:r>
      <w:r w:rsidR="00311EF3">
        <w:t>heeft uitgesproken</w:t>
      </w:r>
      <w:r w:rsidR="00311EF3" w:rsidRPr="000437DB">
        <w:t xml:space="preserve"> </w:t>
      </w:r>
      <w:r w:rsidR="00C87E0A">
        <w:t xml:space="preserve">A-G </w:t>
      </w:r>
      <w:r w:rsidR="007931AB" w:rsidRPr="000437DB">
        <w:t xml:space="preserve">Bot, heel recent nog. </w:t>
      </w:r>
      <w:r w:rsidR="00B213BB">
        <w:t>D</w:t>
      </w:r>
      <w:r w:rsidR="007931AB" w:rsidRPr="000437DB">
        <w:t>aar</w:t>
      </w:r>
      <w:r w:rsidR="00B213BB">
        <w:t>bij</w:t>
      </w:r>
      <w:r w:rsidR="007931AB" w:rsidRPr="000437DB">
        <w:t xml:space="preserve"> lijkt Bot zelfs, in </w:t>
      </w:r>
      <w:r w:rsidR="00C87E0A">
        <w:t xml:space="preserve">de conclusie voor </w:t>
      </w:r>
      <w:r w:rsidR="007931AB" w:rsidRPr="000437DB">
        <w:t xml:space="preserve">dat betreffende arrest, tamelijk instemmend te refereren aan die </w:t>
      </w:r>
      <w:r w:rsidR="007931AB" w:rsidRPr="00A80264">
        <w:rPr>
          <w:i/>
        </w:rPr>
        <w:t>Dhahbi</w:t>
      </w:r>
      <w:r w:rsidR="007931AB" w:rsidRPr="00EF09C9">
        <w:t>-</w:t>
      </w:r>
      <w:r w:rsidRPr="00EF09C9">
        <w:t xml:space="preserve">jurisprudentie van het </w:t>
      </w:r>
      <w:r w:rsidR="00024939" w:rsidRPr="00EF09C9">
        <w:t xml:space="preserve">Straatsburgse </w:t>
      </w:r>
      <w:r w:rsidRPr="00EF09C9">
        <w:t>Hof</w:t>
      </w:r>
      <w:r w:rsidR="007931AB" w:rsidRPr="00626EB7">
        <w:t>.</w:t>
      </w:r>
      <w:r w:rsidR="00AE4E44" w:rsidRPr="00EF09C9">
        <w:rPr>
          <w:rStyle w:val="Voetnootmarkering"/>
          <w:rFonts w:cstheme="minorHAnsi"/>
        </w:rPr>
        <w:footnoteReference w:id="25"/>
      </w:r>
      <w:r w:rsidR="007931AB" w:rsidRPr="00EF09C9">
        <w:t xml:space="preserve"> Ik denk zelfs dat</w:t>
      </w:r>
      <w:r w:rsidRPr="00EF09C9">
        <w:t>,</w:t>
      </w:r>
      <w:r w:rsidR="007931AB" w:rsidRPr="00DC6EE1">
        <w:t xml:space="preserve"> wanneer je naar de letterlijke tekst kijkt van motiveringen, </w:t>
      </w:r>
      <w:r w:rsidR="007931AB" w:rsidRPr="009B6DCF">
        <w:t xml:space="preserve">het </w:t>
      </w:r>
      <w:r w:rsidRPr="009B6DCF">
        <w:t>Hof van J</w:t>
      </w:r>
      <w:r w:rsidR="007931AB" w:rsidRPr="009B6DCF">
        <w:t>ustitie wel de</w:t>
      </w:r>
      <w:r w:rsidR="007931AB" w:rsidRPr="00B01C64">
        <w:t xml:space="preserve">gelijk zo nu en dan een motivering heeft gebruikt die erop duidt dat </w:t>
      </w:r>
      <w:r w:rsidRPr="00B01C64">
        <w:t xml:space="preserve">het </w:t>
      </w:r>
      <w:r w:rsidR="007931AB" w:rsidRPr="00B01C64">
        <w:t xml:space="preserve">zelf ook wel </w:t>
      </w:r>
      <w:r w:rsidR="00024939" w:rsidRPr="000437DB">
        <w:t>belangrijk vind</w:t>
      </w:r>
      <w:r w:rsidR="00C87E0A">
        <w:t>t</w:t>
      </w:r>
      <w:r w:rsidR="007931AB" w:rsidRPr="000437DB">
        <w:t xml:space="preserve"> wat partijen naar voren hebben gebracht.</w:t>
      </w:r>
      <w:r w:rsidR="007724AF">
        <w:rPr>
          <w:rStyle w:val="Voetnootmarkering"/>
        </w:rPr>
        <w:footnoteReference w:id="26"/>
      </w:r>
      <w:r w:rsidR="007931AB" w:rsidRPr="000437DB">
        <w:t xml:space="preserve"> Dus daar is </w:t>
      </w:r>
      <w:r w:rsidR="00024939" w:rsidRPr="000437DB">
        <w:t xml:space="preserve">het </w:t>
      </w:r>
      <w:r w:rsidR="007931AB" w:rsidRPr="000437DB">
        <w:t xml:space="preserve">niet helemaal eenduidig in. </w:t>
      </w:r>
      <w:r w:rsidR="00230575" w:rsidRPr="000437DB">
        <w:t xml:space="preserve">Het riskante van de Straatsburgse jurisprudentie zou kunnen zijn dat </w:t>
      </w:r>
      <w:r w:rsidR="007724AF">
        <w:t>een beroep o</w:t>
      </w:r>
      <w:r w:rsidR="00AA04F2">
        <w:t>p</w:t>
      </w:r>
      <w:r w:rsidR="007724AF">
        <w:t xml:space="preserve"> </w:t>
      </w:r>
      <w:r w:rsidR="007724AF">
        <w:rPr>
          <w:i/>
        </w:rPr>
        <w:t xml:space="preserve">Dhahbi </w:t>
      </w:r>
      <w:r w:rsidR="00230575" w:rsidRPr="00EF09C9">
        <w:t xml:space="preserve">een soort automatisme wordt dat strategisch wordt gebruikt, zonder dat het de betekenis van de rechtsbescherming verbetert. </w:t>
      </w:r>
      <w:r w:rsidRPr="00EF09C9">
        <w:t xml:space="preserve">Dat zou jammer zijn. </w:t>
      </w:r>
      <w:r w:rsidR="00B57F5D">
        <w:t>I</w:t>
      </w:r>
      <w:r w:rsidR="00B57F5D" w:rsidRPr="00EF09C9">
        <w:t xml:space="preserve">n </w:t>
      </w:r>
      <w:r w:rsidR="00AE4E44" w:rsidRPr="00A80264">
        <w:rPr>
          <w:i/>
        </w:rPr>
        <w:t>Chylinksy</w:t>
      </w:r>
      <w:r w:rsidR="00AE4E44" w:rsidRPr="00EF09C9">
        <w:t xml:space="preserve"> </w:t>
      </w:r>
      <w:r w:rsidR="00230575" w:rsidRPr="00EF09C9">
        <w:t xml:space="preserve">heeft het </w:t>
      </w:r>
      <w:r w:rsidR="00AE4E44" w:rsidRPr="00EF09C9">
        <w:t xml:space="preserve">Hof </w:t>
      </w:r>
      <w:r w:rsidR="00230575" w:rsidRPr="009B6DCF">
        <w:t>gezegd</w:t>
      </w:r>
      <w:r w:rsidR="00AE4E44" w:rsidRPr="009B6DCF">
        <w:t xml:space="preserve"> dat</w:t>
      </w:r>
      <w:r w:rsidR="00230575" w:rsidRPr="00B01C64">
        <w:t xml:space="preserve"> er geen </w:t>
      </w:r>
      <w:r w:rsidRPr="00B01C64">
        <w:t>prejudiciële</w:t>
      </w:r>
      <w:r w:rsidR="00230575" w:rsidRPr="000437DB">
        <w:t xml:space="preserve"> vraag gesteld </w:t>
      </w:r>
      <w:r w:rsidR="00AE4E44" w:rsidRPr="000437DB">
        <w:t xml:space="preserve">hoefde </w:t>
      </w:r>
      <w:r w:rsidR="00230575" w:rsidRPr="000437DB">
        <w:t xml:space="preserve">te worden, alleen al vanwege het feit dat het antwoord niet op tijd kon komen voordat de </w:t>
      </w:r>
      <w:r w:rsidR="00C87E0A">
        <w:t xml:space="preserve">rechterlijke </w:t>
      </w:r>
      <w:r w:rsidR="00230575" w:rsidRPr="000437DB">
        <w:t>beslissing noodzakelijkerwijs moest worden genomen.</w:t>
      </w:r>
      <w:r w:rsidR="00B57F5D">
        <w:rPr>
          <w:rStyle w:val="Voetnootmarkering"/>
        </w:rPr>
        <w:footnoteReference w:id="27"/>
      </w:r>
      <w:r w:rsidR="00230575" w:rsidRPr="000437DB">
        <w:t xml:space="preserve"> Da</w:t>
      </w:r>
      <w:r w:rsidRPr="000437DB">
        <w:t xml:space="preserve">t is natuurlijk </w:t>
      </w:r>
      <w:r w:rsidR="007724AF" w:rsidRPr="000437DB">
        <w:t xml:space="preserve">in feite </w:t>
      </w:r>
      <w:r w:rsidRPr="000437DB">
        <w:t xml:space="preserve">een uitleg van </w:t>
      </w:r>
      <w:r w:rsidR="00AE4E44" w:rsidRPr="000437DB">
        <w:t xml:space="preserve">het </w:t>
      </w:r>
      <w:r w:rsidRPr="000437DB">
        <w:t>U</w:t>
      </w:r>
      <w:r w:rsidR="00230575" w:rsidRPr="000437DB">
        <w:t xml:space="preserve">nierecht. </w:t>
      </w:r>
    </w:p>
    <w:p w14:paraId="33BF465E" w14:textId="77777777" w:rsidR="00EF09C9" w:rsidRPr="00A80264" w:rsidRDefault="00EF09C9" w:rsidP="00A80264">
      <w:pPr>
        <w:pStyle w:val="Geenafstand"/>
        <w:jc w:val="both"/>
        <w:rPr>
          <w:i/>
        </w:rPr>
      </w:pPr>
    </w:p>
    <w:p w14:paraId="3C262E1D" w14:textId="77777777" w:rsidR="00230575" w:rsidRPr="00DC6EE1" w:rsidRDefault="00230575" w:rsidP="00A80264">
      <w:pPr>
        <w:pStyle w:val="Geenafstand"/>
        <w:jc w:val="both"/>
      </w:pPr>
    </w:p>
    <w:p w14:paraId="1FC3EB73" w14:textId="09166290" w:rsidR="00EF09C9" w:rsidRPr="00A80264" w:rsidRDefault="00230575" w:rsidP="00A80264">
      <w:pPr>
        <w:pStyle w:val="Geenafstand"/>
        <w:jc w:val="both"/>
        <w:rPr>
          <w:i/>
        </w:rPr>
      </w:pPr>
      <w:r w:rsidRPr="00A80264">
        <w:rPr>
          <w:i/>
        </w:rPr>
        <w:t>Misschien nog een laatste vraag</w:t>
      </w:r>
      <w:r w:rsidR="00872159" w:rsidRPr="00A80264">
        <w:rPr>
          <w:i/>
        </w:rPr>
        <w:t xml:space="preserve"> over de verhouding met het Hof van Justitie</w:t>
      </w:r>
      <w:r w:rsidRPr="00A80264">
        <w:rPr>
          <w:i/>
        </w:rPr>
        <w:t xml:space="preserve">, terugkoppelend </w:t>
      </w:r>
      <w:r w:rsidR="00AA04F2">
        <w:rPr>
          <w:i/>
        </w:rPr>
        <w:t>naar</w:t>
      </w:r>
      <w:r w:rsidR="00AA04F2" w:rsidRPr="00A80264">
        <w:rPr>
          <w:i/>
        </w:rPr>
        <w:t xml:space="preserve"> </w:t>
      </w:r>
      <w:r w:rsidRPr="00A80264">
        <w:rPr>
          <w:i/>
        </w:rPr>
        <w:t xml:space="preserve">Nederland, nu u ook weer in Nederland </w:t>
      </w:r>
      <w:r w:rsidR="00AA04F2">
        <w:rPr>
          <w:i/>
        </w:rPr>
        <w:t>bent</w:t>
      </w:r>
      <w:r w:rsidRPr="00A80264">
        <w:rPr>
          <w:i/>
        </w:rPr>
        <w:t xml:space="preserve">. Er is best wat discussie over de Straatsburgse jurisprudentie over motiveren. </w:t>
      </w:r>
      <w:r w:rsidR="00AA04F2">
        <w:rPr>
          <w:i/>
        </w:rPr>
        <w:t>Verschillende</w:t>
      </w:r>
      <w:r w:rsidRPr="00A80264">
        <w:rPr>
          <w:i/>
        </w:rPr>
        <w:t xml:space="preserve"> hoogste rechters, waarond</w:t>
      </w:r>
      <w:r w:rsidR="00F16C56" w:rsidRPr="00A80264">
        <w:rPr>
          <w:i/>
        </w:rPr>
        <w:t xml:space="preserve">er de Hoge </w:t>
      </w:r>
      <w:r w:rsidR="00872159" w:rsidRPr="00A80264">
        <w:rPr>
          <w:i/>
        </w:rPr>
        <w:t xml:space="preserve">Raad </w:t>
      </w:r>
      <w:r w:rsidR="00F16C56" w:rsidRPr="00A80264">
        <w:rPr>
          <w:i/>
        </w:rPr>
        <w:t>en de Raad van S</w:t>
      </w:r>
      <w:r w:rsidRPr="00A80264">
        <w:rPr>
          <w:i/>
        </w:rPr>
        <w:t xml:space="preserve">tate, </w:t>
      </w:r>
      <w:r w:rsidR="00AA04F2">
        <w:rPr>
          <w:i/>
        </w:rPr>
        <w:t xml:space="preserve">zijn </w:t>
      </w:r>
      <w:r w:rsidRPr="00A80264">
        <w:rPr>
          <w:i/>
        </w:rPr>
        <w:t xml:space="preserve">naar </w:t>
      </w:r>
      <w:r w:rsidR="00F16C56" w:rsidRPr="00A80264">
        <w:rPr>
          <w:i/>
        </w:rPr>
        <w:t>aanleiding van onder andere de D</w:t>
      </w:r>
      <w:r w:rsidRPr="00A80264">
        <w:rPr>
          <w:i/>
        </w:rPr>
        <w:t xml:space="preserve">hahbi-rechtspraak geconfronteerd met de vraag </w:t>
      </w:r>
      <w:r w:rsidR="00AE4E44" w:rsidRPr="00A80264">
        <w:rPr>
          <w:i/>
        </w:rPr>
        <w:t xml:space="preserve">of er nog verkort kan worden gemotiveerd op basis van de </w:t>
      </w:r>
      <w:r w:rsidRPr="00A80264">
        <w:rPr>
          <w:i/>
        </w:rPr>
        <w:t xml:space="preserve">bepalingen in artikel 80a en 81 Wet RO en </w:t>
      </w:r>
      <w:r w:rsidR="00484899" w:rsidRPr="00A80264">
        <w:rPr>
          <w:i/>
        </w:rPr>
        <w:t xml:space="preserve">artikel </w:t>
      </w:r>
      <w:r w:rsidRPr="00A80264">
        <w:rPr>
          <w:i/>
        </w:rPr>
        <w:t>91 lid 2</w:t>
      </w:r>
      <w:r w:rsidR="00484899" w:rsidRPr="00A80264">
        <w:rPr>
          <w:i/>
        </w:rPr>
        <w:t xml:space="preserve"> van de Vreemdelingenwet</w:t>
      </w:r>
      <w:r w:rsidRPr="00A80264">
        <w:rPr>
          <w:i/>
        </w:rPr>
        <w:t xml:space="preserve"> voor zover het gaat om de Raad van State. Die vraag is </w:t>
      </w:r>
      <w:r w:rsidR="00872159" w:rsidRPr="00A80264">
        <w:rPr>
          <w:i/>
        </w:rPr>
        <w:t xml:space="preserve">opgeworpen </w:t>
      </w:r>
      <w:r w:rsidRPr="00A80264">
        <w:rPr>
          <w:i/>
        </w:rPr>
        <w:t>naar aanleiding van d</w:t>
      </w:r>
      <w:r w:rsidR="00484899" w:rsidRPr="00A80264">
        <w:rPr>
          <w:i/>
        </w:rPr>
        <w:t>i</w:t>
      </w:r>
      <w:r w:rsidRPr="00A80264">
        <w:rPr>
          <w:i/>
        </w:rPr>
        <w:t>e jurisprudentie</w:t>
      </w:r>
      <w:r w:rsidR="00AE4E44" w:rsidRPr="00A80264">
        <w:rPr>
          <w:i/>
        </w:rPr>
        <w:t xml:space="preserve"> van het </w:t>
      </w:r>
      <w:r w:rsidR="007724AF">
        <w:rPr>
          <w:i/>
        </w:rPr>
        <w:t>Hof</w:t>
      </w:r>
      <w:r w:rsidRPr="00A80264">
        <w:rPr>
          <w:i/>
        </w:rPr>
        <w:t>.</w:t>
      </w:r>
      <w:r w:rsidR="003E1450">
        <w:rPr>
          <w:rStyle w:val="Voetnootmarkering"/>
          <w:i/>
        </w:rPr>
        <w:footnoteReference w:id="28"/>
      </w:r>
      <w:r w:rsidRPr="00A80264">
        <w:rPr>
          <w:i/>
        </w:rPr>
        <w:t xml:space="preserve"> Hoe staat u in deze discussie? </w:t>
      </w:r>
    </w:p>
    <w:p w14:paraId="3A2C573F" w14:textId="77777777" w:rsidR="00230575" w:rsidRPr="00A80264" w:rsidRDefault="00230575" w:rsidP="00A80264">
      <w:pPr>
        <w:pStyle w:val="Geenafstand"/>
        <w:jc w:val="both"/>
      </w:pPr>
    </w:p>
    <w:p w14:paraId="521BD5C4" w14:textId="56C4D525" w:rsidR="00230575" w:rsidRPr="00626EB7" w:rsidRDefault="00230575" w:rsidP="00A80264">
      <w:pPr>
        <w:pStyle w:val="Geenafstand"/>
        <w:jc w:val="both"/>
      </w:pPr>
      <w:r w:rsidRPr="00DC6EE1">
        <w:t xml:space="preserve">Het </w:t>
      </w:r>
      <w:r w:rsidR="00AE4E44" w:rsidRPr="00DC6EE1">
        <w:t xml:space="preserve">Hof </w:t>
      </w:r>
      <w:r w:rsidRPr="00626EB7">
        <w:t xml:space="preserve">in Straatsburg heeft in twee zaken over </w:t>
      </w:r>
      <w:r w:rsidR="00484899" w:rsidRPr="009B6DCF">
        <w:t xml:space="preserve">artikel 80a uitspraak gedaan, in </w:t>
      </w:r>
      <w:r w:rsidR="007A5A6F" w:rsidRPr="00A80264">
        <w:rPr>
          <w:i/>
          <w:color w:val="000000"/>
          <w:shd w:val="clear" w:color="auto" w:fill="FFFFFF"/>
        </w:rPr>
        <w:t>Çelik</w:t>
      </w:r>
      <w:r w:rsidRPr="00EF09C9">
        <w:t xml:space="preserve"> en </w:t>
      </w:r>
      <w:r w:rsidR="007A5A6F" w:rsidRPr="00EF09C9">
        <w:rPr>
          <w:i/>
        </w:rPr>
        <w:t>Van der Putten</w:t>
      </w:r>
      <w:r w:rsidR="00AE4E44" w:rsidRPr="00DC6EE1">
        <w:t>.</w:t>
      </w:r>
      <w:r w:rsidR="00AE4E44" w:rsidRPr="00EF09C9">
        <w:rPr>
          <w:rStyle w:val="Voetnootmarkering"/>
          <w:rFonts w:cstheme="minorHAnsi"/>
        </w:rPr>
        <w:footnoteReference w:id="29"/>
      </w:r>
      <w:r w:rsidR="00AE4E44" w:rsidRPr="00EF09C9">
        <w:t xml:space="preserve"> Het</w:t>
      </w:r>
      <w:r w:rsidRPr="00EF09C9">
        <w:t xml:space="preserve"> heeft de </w:t>
      </w:r>
      <w:r w:rsidR="00872159" w:rsidRPr="00EF09C9">
        <w:t>80a</w:t>
      </w:r>
      <w:r w:rsidR="00872159" w:rsidRPr="00DC6EE1">
        <w:t>-</w:t>
      </w:r>
      <w:r w:rsidRPr="00DC6EE1">
        <w:t xml:space="preserve">procedure op zichzelf aanvaard in die </w:t>
      </w:r>
      <w:r w:rsidR="00333C15" w:rsidRPr="00DC6EE1">
        <w:t>uitsprake</w:t>
      </w:r>
      <w:r w:rsidR="00333C15">
        <w:t>n</w:t>
      </w:r>
      <w:r w:rsidRPr="00EF09C9">
        <w:t xml:space="preserve">. Nu is de vraag: </w:t>
      </w:r>
      <w:r w:rsidR="003E1450">
        <w:t>“</w:t>
      </w:r>
      <w:r w:rsidR="00AA04F2">
        <w:t>S</w:t>
      </w:r>
      <w:r w:rsidRPr="00EF09C9">
        <w:t>tel dat er een vraag naar een prejudiciële verwijzing wor</w:t>
      </w:r>
      <w:r w:rsidR="00484899" w:rsidRPr="00EF09C9">
        <w:t>dt opgeworpen, betekent dat daarmee 80a</w:t>
      </w:r>
      <w:r w:rsidRPr="00DC6EE1">
        <w:t xml:space="preserve"> automatisch wordt uitgesloten?</w:t>
      </w:r>
      <w:r w:rsidR="003E1450">
        <w:t>”</w:t>
      </w:r>
      <w:r w:rsidRPr="00DC6EE1">
        <w:t xml:space="preserve"> Dat zou, wanneer het geen zinnige vraag is, een ongewenste uitschakeling van een 80a</w:t>
      </w:r>
      <w:r w:rsidR="00872159" w:rsidRPr="00DC6EE1">
        <w:t>-</w:t>
      </w:r>
      <w:r w:rsidRPr="009B6DCF">
        <w:t xml:space="preserve">procedure zijn, denk ik. </w:t>
      </w:r>
      <w:r w:rsidR="008F4243" w:rsidRPr="009B6DCF">
        <w:t>Maar ik zeg erbij</w:t>
      </w:r>
      <w:r w:rsidR="00AA04F2">
        <w:t>:</w:t>
      </w:r>
      <w:r w:rsidR="008F4243" w:rsidRPr="009B6DCF">
        <w:t xml:space="preserve"> </w:t>
      </w:r>
      <w:r w:rsidR="00872159" w:rsidRPr="009B6DCF">
        <w:t>“</w:t>
      </w:r>
      <w:r w:rsidR="008F4243" w:rsidRPr="00B01C64">
        <w:t>wanneer het geen zinnig</w:t>
      </w:r>
      <w:r w:rsidR="00C87E0A">
        <w:t>e</w:t>
      </w:r>
      <w:r w:rsidR="008F4243" w:rsidRPr="00B01C64">
        <w:t xml:space="preserve"> vraag is</w:t>
      </w:r>
      <w:r w:rsidR="00872159" w:rsidRPr="00B01C64">
        <w:t>”</w:t>
      </w:r>
      <w:r w:rsidR="008F4243" w:rsidRPr="00B01C64">
        <w:t xml:space="preserve">. In de zaak </w:t>
      </w:r>
      <w:r w:rsidR="008F4243" w:rsidRPr="00A80264">
        <w:rPr>
          <w:i/>
        </w:rPr>
        <w:t>Dhahbi</w:t>
      </w:r>
      <w:r w:rsidR="008F4243" w:rsidRPr="00EF09C9">
        <w:t xml:space="preserve"> ging het om ie</w:t>
      </w:r>
      <w:r w:rsidR="00484899" w:rsidRPr="00EF09C9">
        <w:t xml:space="preserve">ts </w:t>
      </w:r>
      <w:r w:rsidR="00AA04F2">
        <w:t>d</w:t>
      </w:r>
      <w:r w:rsidR="00484899" w:rsidRPr="00EF09C9">
        <w:t>at uitgebreid ter zitting was</w:t>
      </w:r>
      <w:r w:rsidR="008F4243" w:rsidRPr="00DC6EE1">
        <w:t xml:space="preserve"> bediscussieerd</w:t>
      </w:r>
      <w:r w:rsidR="007A5A6F" w:rsidRPr="00DC6EE1">
        <w:t xml:space="preserve">. </w:t>
      </w:r>
      <w:r w:rsidR="007A5A6F" w:rsidRPr="00626EB7">
        <w:t>I</w:t>
      </w:r>
      <w:r w:rsidR="008F4243" w:rsidRPr="009B6DCF">
        <w:t xml:space="preserve">n alle instanties </w:t>
      </w:r>
      <w:r w:rsidR="00484899" w:rsidRPr="009B6DCF">
        <w:t>is</w:t>
      </w:r>
      <w:r w:rsidR="00C87E0A">
        <w:t>,</w:t>
      </w:r>
      <w:r w:rsidR="00484899" w:rsidRPr="009B6DCF">
        <w:t xml:space="preserve"> geloof ik</w:t>
      </w:r>
      <w:r w:rsidR="00C87E0A">
        <w:t>,</w:t>
      </w:r>
      <w:r w:rsidR="00484899" w:rsidRPr="009B6DCF">
        <w:t xml:space="preserve"> </w:t>
      </w:r>
      <w:r w:rsidR="008F4243" w:rsidRPr="009B6DCF">
        <w:t xml:space="preserve">gevraagd om </w:t>
      </w:r>
      <w:r w:rsidR="007A5A6F" w:rsidRPr="00B01C64">
        <w:t xml:space="preserve">een prejudiciële </w:t>
      </w:r>
      <w:r w:rsidR="008F4243" w:rsidRPr="00B01C64">
        <w:t>verwijzing. Daar kon zeker niet gezegd worden dat het niet relevant was</w:t>
      </w:r>
      <w:r w:rsidR="007A5A6F" w:rsidRPr="000437DB">
        <w:t xml:space="preserve"> o</w:t>
      </w:r>
      <w:r w:rsidR="008F4243" w:rsidRPr="000437DB">
        <w:t xml:space="preserve">f dat het een glasheldere kwestie was. </w:t>
      </w:r>
      <w:r w:rsidR="00484899" w:rsidRPr="000437DB">
        <w:t>Hoe het H</w:t>
      </w:r>
      <w:r w:rsidR="008F4243" w:rsidRPr="000437DB">
        <w:t xml:space="preserve">of zal oordelen in context van </w:t>
      </w:r>
      <w:r w:rsidR="008F4243" w:rsidRPr="00A80264">
        <w:rPr>
          <w:i/>
        </w:rPr>
        <w:t>filtering systems</w:t>
      </w:r>
      <w:r w:rsidR="008F4243" w:rsidRPr="00EF09C9">
        <w:t>, zoals</w:t>
      </w:r>
      <w:r w:rsidR="00484899" w:rsidRPr="00EF09C9">
        <w:t xml:space="preserve"> ze dat noemen, </w:t>
      </w:r>
      <w:r w:rsidR="00872159" w:rsidRPr="00DC6EE1">
        <w:t>dat zou ik niet weten, omd</w:t>
      </w:r>
      <w:r w:rsidR="00872159" w:rsidRPr="00626EB7">
        <w:t xml:space="preserve">at het </w:t>
      </w:r>
      <w:r w:rsidR="00484899" w:rsidRPr="009B6DCF">
        <w:t>H</w:t>
      </w:r>
      <w:r w:rsidR="008F4243" w:rsidRPr="009B6DCF">
        <w:t xml:space="preserve">of zich </w:t>
      </w:r>
      <w:r w:rsidR="00872159" w:rsidRPr="00B01C64">
        <w:t xml:space="preserve">daar </w:t>
      </w:r>
      <w:r w:rsidR="008F4243" w:rsidRPr="00B01C64">
        <w:t xml:space="preserve">bij mijn weten nog niet nadrukkelijk over </w:t>
      </w:r>
      <w:r w:rsidR="00872159" w:rsidRPr="000437DB">
        <w:t xml:space="preserve">heeft </w:t>
      </w:r>
      <w:r w:rsidR="008F4243" w:rsidRPr="000437DB">
        <w:t>uitgelaten. Maar het is vanuit de optiek van degene</w:t>
      </w:r>
      <w:r w:rsidR="00AA04F2">
        <w:t>n</w:t>
      </w:r>
      <w:r w:rsidR="008F4243" w:rsidRPr="000437DB">
        <w:t xml:space="preserve"> die voor die </w:t>
      </w:r>
      <w:r w:rsidR="008F4243" w:rsidRPr="00A80264">
        <w:rPr>
          <w:i/>
        </w:rPr>
        <w:t>filtering systems</w:t>
      </w:r>
      <w:r w:rsidR="008F4243" w:rsidRPr="00EF09C9">
        <w:t xml:space="preserve"> zijn, duidelijk dat er een risico zou kunnen liggen. Aan de andere kant is de ratio van die motiveringsplicht dat die wel ziet op zaken waar echt iets aan de orde was. En ik meen dat in </w:t>
      </w:r>
      <w:r w:rsidR="008F4243" w:rsidRPr="00A80264">
        <w:rPr>
          <w:i/>
        </w:rPr>
        <w:t>Schipani</w:t>
      </w:r>
      <w:r w:rsidR="008F4243" w:rsidRPr="00EF09C9">
        <w:t xml:space="preserve"> </w:t>
      </w:r>
      <w:r w:rsidR="00484899" w:rsidRPr="00EF09C9">
        <w:t>ook nadrukkelijk is</w:t>
      </w:r>
      <w:r w:rsidR="008F4243" w:rsidRPr="00EF09C9">
        <w:t xml:space="preserve"> gezegd da</w:t>
      </w:r>
      <w:r w:rsidR="00484899" w:rsidRPr="00DC6EE1">
        <w:t>t een impliciete weerlegging</w:t>
      </w:r>
      <w:r w:rsidR="008F4243" w:rsidRPr="00DC6EE1">
        <w:t xml:space="preserve"> aanvaardbaar zou kunnen zijn. </w:t>
      </w:r>
    </w:p>
    <w:p w14:paraId="10E49DCB" w14:textId="77777777" w:rsidR="00EF09C9" w:rsidRDefault="00EF09C9" w:rsidP="00A80264">
      <w:pPr>
        <w:pStyle w:val="Geenafstand"/>
        <w:jc w:val="both"/>
        <w:rPr>
          <w:b/>
          <w:i/>
        </w:rPr>
      </w:pPr>
    </w:p>
    <w:p w14:paraId="2D862334" w14:textId="77777777" w:rsidR="00382844" w:rsidRPr="00A80264" w:rsidRDefault="00382844" w:rsidP="00A80264">
      <w:pPr>
        <w:pStyle w:val="Geenafstand"/>
        <w:jc w:val="both"/>
        <w:rPr>
          <w:b/>
        </w:rPr>
      </w:pPr>
      <w:r w:rsidRPr="00A80264">
        <w:rPr>
          <w:b/>
        </w:rPr>
        <w:t xml:space="preserve">Het </w:t>
      </w:r>
      <w:r w:rsidR="007724AF">
        <w:rPr>
          <w:b/>
        </w:rPr>
        <w:t>Hof</w:t>
      </w:r>
      <w:r w:rsidRPr="00A80264">
        <w:rPr>
          <w:b/>
        </w:rPr>
        <w:t xml:space="preserve"> en het Comité van Ministers </w:t>
      </w:r>
    </w:p>
    <w:p w14:paraId="0E014D0C" w14:textId="77777777" w:rsidR="00EF09C9" w:rsidRPr="00A80264" w:rsidRDefault="00EF09C9" w:rsidP="00A80264">
      <w:pPr>
        <w:pStyle w:val="Geenafstand"/>
        <w:jc w:val="both"/>
        <w:rPr>
          <w:b/>
          <w:i/>
        </w:rPr>
      </w:pPr>
    </w:p>
    <w:p w14:paraId="62F57FF4" w14:textId="7FE599E2" w:rsidR="008F4243" w:rsidRPr="00A80264" w:rsidRDefault="00484899" w:rsidP="00A80264">
      <w:pPr>
        <w:pStyle w:val="Geenafstand"/>
        <w:jc w:val="both"/>
        <w:rPr>
          <w:i/>
        </w:rPr>
      </w:pPr>
      <w:r w:rsidRPr="00A80264">
        <w:rPr>
          <w:i/>
        </w:rPr>
        <w:t>Sinds P</w:t>
      </w:r>
      <w:r w:rsidR="008F4243" w:rsidRPr="00A80264">
        <w:rPr>
          <w:i/>
        </w:rPr>
        <w:t xml:space="preserve">rotocol 14 kan het </w:t>
      </w:r>
      <w:r w:rsidRPr="00A80264">
        <w:rPr>
          <w:i/>
        </w:rPr>
        <w:t>Comité van Ministers</w:t>
      </w:r>
      <w:r w:rsidR="00DC6EE1">
        <w:rPr>
          <w:i/>
        </w:rPr>
        <w:t xml:space="preserve"> de </w:t>
      </w:r>
      <w:r w:rsidR="008F4243" w:rsidRPr="00A80264">
        <w:rPr>
          <w:i/>
        </w:rPr>
        <w:t>vra</w:t>
      </w:r>
      <w:r w:rsidR="00DC6EE1">
        <w:rPr>
          <w:i/>
        </w:rPr>
        <w:t>a</w:t>
      </w:r>
      <w:r w:rsidR="008F4243" w:rsidRPr="00A80264">
        <w:rPr>
          <w:i/>
        </w:rPr>
        <w:t xml:space="preserve">g </w:t>
      </w:r>
      <w:r w:rsidR="00DC6EE1" w:rsidRPr="00022BFB">
        <w:rPr>
          <w:i/>
        </w:rPr>
        <w:t xml:space="preserve">aan het </w:t>
      </w:r>
      <w:r w:rsidR="00DC6EE1">
        <w:rPr>
          <w:i/>
        </w:rPr>
        <w:t>H</w:t>
      </w:r>
      <w:r w:rsidR="00DC6EE1" w:rsidRPr="00022BFB">
        <w:rPr>
          <w:i/>
        </w:rPr>
        <w:t xml:space="preserve">of </w:t>
      </w:r>
      <w:r w:rsidR="008F4243" w:rsidRPr="00A80264">
        <w:rPr>
          <w:i/>
        </w:rPr>
        <w:t xml:space="preserve">voorleggen </w:t>
      </w:r>
      <w:r w:rsidR="00DC6EE1">
        <w:rPr>
          <w:i/>
        </w:rPr>
        <w:t xml:space="preserve">of een staat </w:t>
      </w:r>
      <w:r w:rsidR="008F4243" w:rsidRPr="00A80264">
        <w:rPr>
          <w:i/>
        </w:rPr>
        <w:t xml:space="preserve">een uitspraak al dan niet ten uitvoer </w:t>
      </w:r>
      <w:r w:rsidR="00DC6EE1">
        <w:rPr>
          <w:i/>
        </w:rPr>
        <w:t xml:space="preserve">heeft </w:t>
      </w:r>
      <w:r w:rsidR="008F4243" w:rsidRPr="00A80264">
        <w:rPr>
          <w:i/>
        </w:rPr>
        <w:t>gelegd</w:t>
      </w:r>
      <w:r w:rsidR="003E1450">
        <w:rPr>
          <w:i/>
        </w:rPr>
        <w:t xml:space="preserve"> middels</w:t>
      </w:r>
      <w:r w:rsidR="00DC6EE1">
        <w:rPr>
          <w:i/>
        </w:rPr>
        <w:t xml:space="preserve"> de</w:t>
      </w:r>
      <w:r w:rsidR="003E1450">
        <w:rPr>
          <w:i/>
        </w:rPr>
        <w:t xml:space="preserve"> zogenaamde</w:t>
      </w:r>
      <w:r w:rsidR="00DC6EE1">
        <w:rPr>
          <w:i/>
        </w:rPr>
        <w:t xml:space="preserve"> </w:t>
      </w:r>
      <w:r w:rsidR="00AA04F2">
        <w:rPr>
          <w:i/>
        </w:rPr>
        <w:t>‘</w:t>
      </w:r>
      <w:r w:rsidR="008F4243" w:rsidRPr="00A80264">
        <w:rPr>
          <w:i/>
        </w:rPr>
        <w:t>infringement</w:t>
      </w:r>
      <w:r w:rsidR="00AA04F2">
        <w:rPr>
          <w:i/>
        </w:rPr>
        <w:t>’</w:t>
      </w:r>
      <w:r w:rsidR="00DC6EE1">
        <w:rPr>
          <w:i/>
        </w:rPr>
        <w:t>-</w:t>
      </w:r>
      <w:r w:rsidR="008F4243" w:rsidRPr="00A80264">
        <w:rPr>
          <w:i/>
        </w:rPr>
        <w:t>procedure.</w:t>
      </w:r>
      <w:r w:rsidR="00DC6EE1">
        <w:rPr>
          <w:rStyle w:val="Voetnootmarkering"/>
          <w:i/>
        </w:rPr>
        <w:footnoteReference w:id="30"/>
      </w:r>
      <w:r w:rsidR="008F4243" w:rsidRPr="00A80264">
        <w:rPr>
          <w:i/>
        </w:rPr>
        <w:t xml:space="preserve"> </w:t>
      </w:r>
      <w:r w:rsidR="00DC6EE1">
        <w:rPr>
          <w:i/>
        </w:rPr>
        <w:t>D</w:t>
      </w:r>
      <w:r w:rsidR="008F4243" w:rsidRPr="00A80264">
        <w:rPr>
          <w:i/>
        </w:rPr>
        <w:t xml:space="preserve">enkt u dat het enig nut heeft om het </w:t>
      </w:r>
      <w:r w:rsidR="00DC6EE1">
        <w:rPr>
          <w:i/>
        </w:rPr>
        <w:t>H</w:t>
      </w:r>
      <w:r w:rsidR="00DC6EE1" w:rsidRPr="00A80264">
        <w:rPr>
          <w:i/>
        </w:rPr>
        <w:t xml:space="preserve">of </w:t>
      </w:r>
      <w:r w:rsidR="00DC6EE1">
        <w:rPr>
          <w:i/>
        </w:rPr>
        <w:t xml:space="preserve">deze vraag te stellen, aangezien </w:t>
      </w:r>
      <w:r w:rsidR="008F4243" w:rsidRPr="00A80264">
        <w:rPr>
          <w:i/>
        </w:rPr>
        <w:t>het</w:t>
      </w:r>
      <w:r w:rsidR="00DC6EE1">
        <w:rPr>
          <w:i/>
        </w:rPr>
        <w:t xml:space="preserve"> antwoord</w:t>
      </w:r>
      <w:r w:rsidR="008F4243" w:rsidRPr="00A80264">
        <w:rPr>
          <w:i/>
        </w:rPr>
        <w:t xml:space="preserve"> vaak wel redelijk duidelijk zal zijn</w:t>
      </w:r>
      <w:r w:rsidR="00AA04F2">
        <w:rPr>
          <w:i/>
        </w:rPr>
        <w:t>?</w:t>
      </w:r>
      <w:r w:rsidR="00DC6EE1">
        <w:rPr>
          <w:i/>
        </w:rPr>
        <w:t xml:space="preserve"> </w:t>
      </w:r>
      <w:r w:rsidR="00AA04F2">
        <w:rPr>
          <w:i/>
        </w:rPr>
        <w:t>Want</w:t>
      </w:r>
      <w:r w:rsidR="00AA04F2" w:rsidRPr="00A80264">
        <w:rPr>
          <w:i/>
        </w:rPr>
        <w:t xml:space="preserve"> </w:t>
      </w:r>
      <w:r w:rsidR="008F4243" w:rsidRPr="00A80264">
        <w:rPr>
          <w:i/>
        </w:rPr>
        <w:t>zel</w:t>
      </w:r>
      <w:r w:rsidRPr="00A80264">
        <w:rPr>
          <w:i/>
        </w:rPr>
        <w:t>fs al zou dat niet zo zijn</w:t>
      </w:r>
      <w:r w:rsidR="00DC6EE1">
        <w:rPr>
          <w:i/>
        </w:rPr>
        <w:t xml:space="preserve"> </w:t>
      </w:r>
      <w:r w:rsidRPr="00A80264">
        <w:rPr>
          <w:i/>
        </w:rPr>
        <w:t>en zou</w:t>
      </w:r>
      <w:r w:rsidR="008F4243" w:rsidRPr="00A80264">
        <w:rPr>
          <w:i/>
        </w:rPr>
        <w:t xml:space="preserve"> het </w:t>
      </w:r>
      <w:r w:rsidR="00DC6EE1">
        <w:rPr>
          <w:i/>
        </w:rPr>
        <w:t>H</w:t>
      </w:r>
      <w:r w:rsidR="008F4243" w:rsidRPr="00A80264">
        <w:rPr>
          <w:i/>
        </w:rPr>
        <w:t xml:space="preserve">of zeggen dat </w:t>
      </w:r>
      <w:r w:rsidR="00DC6EE1">
        <w:rPr>
          <w:i/>
        </w:rPr>
        <w:t xml:space="preserve">de uitspraak </w:t>
      </w:r>
      <w:r w:rsidR="008F4243" w:rsidRPr="00A80264">
        <w:rPr>
          <w:i/>
        </w:rPr>
        <w:t xml:space="preserve">niet </w:t>
      </w:r>
      <w:r w:rsidR="00AA04F2">
        <w:rPr>
          <w:i/>
        </w:rPr>
        <w:lastRenderedPageBreak/>
        <w:t xml:space="preserve">(goed) </w:t>
      </w:r>
      <w:r w:rsidR="008F4243" w:rsidRPr="00A80264">
        <w:rPr>
          <w:i/>
        </w:rPr>
        <w:t>ten uitvoer is gelegd</w:t>
      </w:r>
      <w:r w:rsidR="00DC6EE1">
        <w:rPr>
          <w:i/>
        </w:rPr>
        <w:t>,</w:t>
      </w:r>
      <w:r w:rsidR="008F4243" w:rsidRPr="00A80264">
        <w:rPr>
          <w:i/>
        </w:rPr>
        <w:t xml:space="preserve"> en vervolgens de sta</w:t>
      </w:r>
      <w:r w:rsidRPr="00A80264">
        <w:rPr>
          <w:i/>
        </w:rPr>
        <w:t>at weer niets</w:t>
      </w:r>
      <w:r w:rsidR="00AA04F2">
        <w:rPr>
          <w:i/>
        </w:rPr>
        <w:t xml:space="preserve"> doet</w:t>
      </w:r>
      <w:r w:rsidRPr="00A80264">
        <w:rPr>
          <w:i/>
        </w:rPr>
        <w:t>, d</w:t>
      </w:r>
      <w:r w:rsidR="008F4243" w:rsidRPr="00A80264">
        <w:rPr>
          <w:i/>
        </w:rPr>
        <w:t xml:space="preserve">at is </w:t>
      </w:r>
      <w:r w:rsidR="00DC6EE1">
        <w:rPr>
          <w:i/>
        </w:rPr>
        <w:t xml:space="preserve">dat </w:t>
      </w:r>
      <w:r w:rsidR="008F4243" w:rsidRPr="00A80264">
        <w:rPr>
          <w:i/>
        </w:rPr>
        <w:t xml:space="preserve">alleen maar slecht voor de legitimiteit van het Hof en misschien ook wel </w:t>
      </w:r>
      <w:r w:rsidR="00DC6EE1">
        <w:rPr>
          <w:i/>
        </w:rPr>
        <w:t>van</w:t>
      </w:r>
      <w:r w:rsidR="00DC6EE1" w:rsidRPr="00A80264">
        <w:rPr>
          <w:i/>
        </w:rPr>
        <w:t xml:space="preserve"> </w:t>
      </w:r>
      <w:r w:rsidR="008F4243" w:rsidRPr="00A80264">
        <w:rPr>
          <w:i/>
        </w:rPr>
        <w:t xml:space="preserve">het </w:t>
      </w:r>
      <w:r w:rsidR="00DC6EE1">
        <w:rPr>
          <w:i/>
        </w:rPr>
        <w:t>C</w:t>
      </w:r>
      <w:r w:rsidR="008F4243" w:rsidRPr="00A80264">
        <w:rPr>
          <w:i/>
        </w:rPr>
        <w:t xml:space="preserve">omité van </w:t>
      </w:r>
      <w:r w:rsidR="00DC6EE1">
        <w:rPr>
          <w:i/>
        </w:rPr>
        <w:t>M</w:t>
      </w:r>
      <w:r w:rsidR="008F4243" w:rsidRPr="00A80264">
        <w:rPr>
          <w:i/>
        </w:rPr>
        <w:t xml:space="preserve">inisters. </w:t>
      </w:r>
    </w:p>
    <w:p w14:paraId="7F3A8F20" w14:textId="77777777" w:rsidR="00EF09C9" w:rsidRPr="00DC6EE1" w:rsidRDefault="00EF09C9" w:rsidP="00A80264">
      <w:pPr>
        <w:pStyle w:val="Geenafstand"/>
        <w:jc w:val="both"/>
        <w:rPr>
          <w:b/>
        </w:rPr>
      </w:pPr>
    </w:p>
    <w:p w14:paraId="0491B684" w14:textId="07BBEF7F" w:rsidR="008F4243" w:rsidRDefault="008F4243" w:rsidP="00A80264">
      <w:pPr>
        <w:pStyle w:val="Geenafstand"/>
        <w:jc w:val="both"/>
      </w:pPr>
      <w:r w:rsidRPr="00626EB7">
        <w:t>Voor zover ik weet is die procedure nog nooit</w:t>
      </w:r>
      <w:r w:rsidRPr="009B6DCF">
        <w:t xml:space="preserve"> gebruikt. Ik mee</w:t>
      </w:r>
      <w:r w:rsidR="00484899" w:rsidRPr="009B6DCF">
        <w:t>n ook dat Spielmann zich er wel</w:t>
      </w:r>
      <w:r w:rsidRPr="009B6DCF">
        <w:t>eens over heeft uitgesproken, met enige v</w:t>
      </w:r>
      <w:r w:rsidR="00484899" w:rsidRPr="00B01C64">
        <w:t>erbazing</w:t>
      </w:r>
      <w:r w:rsidR="00AA04F2">
        <w:t>:</w:t>
      </w:r>
      <w:r w:rsidR="00484899" w:rsidRPr="00B01C64">
        <w:t xml:space="preserve"> </w:t>
      </w:r>
      <w:r w:rsidR="00DC6EE1">
        <w:t>“W</w:t>
      </w:r>
      <w:r w:rsidR="00484899" w:rsidRPr="00DC6EE1">
        <w:t>aarom heeft het Comité van M</w:t>
      </w:r>
      <w:r w:rsidRPr="00DC6EE1">
        <w:t xml:space="preserve">inisters </w:t>
      </w:r>
      <w:r w:rsidR="00484899" w:rsidRPr="00626EB7">
        <w:t>dat nog nooit gevraagd</w:t>
      </w:r>
      <w:r w:rsidRPr="009B6DCF">
        <w:t>?</w:t>
      </w:r>
      <w:r w:rsidR="00DC6EE1">
        <w:t>”</w:t>
      </w:r>
      <w:r w:rsidRPr="00DC6EE1">
        <w:t xml:space="preserve"> Maar ik ben het</w:t>
      </w:r>
      <w:r w:rsidR="00484899" w:rsidRPr="00DC6EE1">
        <w:t xml:space="preserve"> wel</w:t>
      </w:r>
      <w:r w:rsidRPr="00626EB7">
        <w:t xml:space="preserve"> eens met de gedachte dat je dan wel met een zinvolle vraag moet kom</w:t>
      </w:r>
      <w:r w:rsidRPr="009B6DCF">
        <w:t xml:space="preserve">en. </w:t>
      </w:r>
      <w:r w:rsidR="00AA04F2">
        <w:t>D</w:t>
      </w:r>
      <w:r w:rsidRPr="009B6DCF">
        <w:t>e bedoeling van de regeling</w:t>
      </w:r>
      <w:r w:rsidR="00DC6EE1">
        <w:t xml:space="preserve"> is dat </w:t>
      </w:r>
      <w:r w:rsidRPr="00DC6EE1">
        <w:t xml:space="preserve">als er in juridische zin onduidelijkheid is over de bedoeling van een arrest en de status van </w:t>
      </w:r>
      <w:r w:rsidR="00AA04F2">
        <w:t>tenuitvoerlegging</w:t>
      </w:r>
      <w:r w:rsidR="00AA04F2" w:rsidRPr="00DC6EE1">
        <w:t xml:space="preserve"> </w:t>
      </w:r>
      <w:r w:rsidRPr="00DC6EE1">
        <w:t>in e</w:t>
      </w:r>
      <w:r w:rsidRPr="00626EB7">
        <w:t xml:space="preserve">en </w:t>
      </w:r>
      <w:r w:rsidR="00AA04F2">
        <w:t>staat</w:t>
      </w:r>
      <w:r w:rsidRPr="00626EB7">
        <w:t xml:space="preserve">, </w:t>
      </w:r>
      <w:r w:rsidR="00DC6EE1">
        <w:t xml:space="preserve">er een reden </w:t>
      </w:r>
      <w:r w:rsidR="00DC6EE1" w:rsidRPr="00022BFB">
        <w:t>is om naar het Hof te gaan</w:t>
      </w:r>
      <w:r w:rsidR="00DC6EE1">
        <w:t xml:space="preserve">. Het </w:t>
      </w:r>
      <w:r w:rsidR="00484899" w:rsidRPr="00626EB7">
        <w:t>C</w:t>
      </w:r>
      <w:r w:rsidRPr="009B6DCF">
        <w:t xml:space="preserve">omité van </w:t>
      </w:r>
      <w:r w:rsidR="00484899" w:rsidRPr="009B6DCF">
        <w:t>M</w:t>
      </w:r>
      <w:r w:rsidRPr="009B6DCF">
        <w:t>inisters</w:t>
      </w:r>
      <w:r w:rsidR="00DC6EE1">
        <w:t xml:space="preserve"> hoeft</w:t>
      </w:r>
      <w:r w:rsidRPr="00DC6EE1">
        <w:t xml:space="preserve"> daarover </w:t>
      </w:r>
      <w:r w:rsidR="00DC6EE1">
        <w:t xml:space="preserve">dan </w:t>
      </w:r>
      <w:r w:rsidRPr="00DC6EE1">
        <w:t xml:space="preserve">zelf geen oordeel </w:t>
      </w:r>
      <w:r w:rsidRPr="00626EB7">
        <w:t>te vellen</w:t>
      </w:r>
      <w:r w:rsidR="00DC6EE1">
        <w:t xml:space="preserve"> en </w:t>
      </w:r>
      <w:r w:rsidR="00484899" w:rsidRPr="00626EB7">
        <w:t>te treden in een</w:t>
      </w:r>
      <w:r w:rsidRPr="009B6DCF">
        <w:t xml:space="preserve"> juridische interpretatie van het arrest</w:t>
      </w:r>
      <w:r w:rsidR="00DC6EE1">
        <w:t xml:space="preserve">. </w:t>
      </w:r>
      <w:r w:rsidR="00484899" w:rsidRPr="009B6DCF">
        <w:t>Maar d</w:t>
      </w:r>
      <w:r w:rsidRPr="009B6DCF">
        <w:t xml:space="preserve">e problemen bij de </w:t>
      </w:r>
      <w:r w:rsidR="00AA04F2">
        <w:t>tenuitvoerlegging</w:t>
      </w:r>
      <w:r w:rsidR="00AA04F2" w:rsidRPr="009B6DCF">
        <w:t xml:space="preserve"> </w:t>
      </w:r>
      <w:r w:rsidRPr="009B6DCF">
        <w:t xml:space="preserve">liggen vaak niet op het </w:t>
      </w:r>
      <w:r w:rsidR="00AA04F2">
        <w:t>vlak</w:t>
      </w:r>
      <w:r w:rsidR="00AA04F2" w:rsidRPr="009B6DCF">
        <w:t xml:space="preserve"> </w:t>
      </w:r>
      <w:r w:rsidRPr="009B6DCF">
        <w:t>van de juridische interpretati</w:t>
      </w:r>
      <w:r w:rsidRPr="00B01C64">
        <w:t xml:space="preserve">e. Die liggen op </w:t>
      </w:r>
      <w:r w:rsidR="00DC6EE1">
        <w:t xml:space="preserve">het </w:t>
      </w:r>
      <w:r w:rsidRPr="00DC6EE1">
        <w:t>praktisch</w:t>
      </w:r>
      <w:r w:rsidR="00DC6EE1">
        <w:t>e</w:t>
      </w:r>
      <w:r w:rsidRPr="00DC6EE1">
        <w:t xml:space="preserve"> vlak. Er zijn tienduizenden zaken van niet-geëxecuteerde rechterlijke beslissingen uit Oekraïne, waar een pilot</w:t>
      </w:r>
      <w:r w:rsidR="00DC6EE1">
        <w:t xml:space="preserve">uitspraak </w:t>
      </w:r>
      <w:r w:rsidRPr="00DC6EE1">
        <w:t>over is en waar in juridische zin gesproken dus wel duidelijkheid zou kun</w:t>
      </w:r>
      <w:r w:rsidRPr="00626EB7">
        <w:t>nen zijn</w:t>
      </w:r>
      <w:r w:rsidR="00DC6EE1">
        <w:t>,</w:t>
      </w:r>
      <w:r w:rsidRPr="00DC6EE1">
        <w:t xml:space="preserve"> maar </w:t>
      </w:r>
      <w:r w:rsidR="00AA04F2">
        <w:t xml:space="preserve">waarin </w:t>
      </w:r>
      <w:r w:rsidRPr="00DC6EE1">
        <w:t>het in de praktijk niet is gek</w:t>
      </w:r>
      <w:r w:rsidR="00484899" w:rsidRPr="00DC6EE1">
        <w:t>omen</w:t>
      </w:r>
      <w:r w:rsidR="00DC6EE1">
        <w:t xml:space="preserve"> </w:t>
      </w:r>
      <w:r w:rsidR="00AA04F2">
        <w:t>van tenuitvoerlegging</w:t>
      </w:r>
      <w:r w:rsidR="00484899" w:rsidRPr="00DC6EE1">
        <w:t>. De staat erkent het, het Comité van M</w:t>
      </w:r>
      <w:r w:rsidRPr="00DC6EE1">
        <w:t>inisters ziet het, maar er is in praktische zin geen oplossing.</w:t>
      </w:r>
    </w:p>
    <w:p w14:paraId="65138B0A" w14:textId="77777777" w:rsidR="00EF09C9" w:rsidRPr="00DC6EE1" w:rsidRDefault="00EF09C9" w:rsidP="00A80264">
      <w:pPr>
        <w:pStyle w:val="Geenafstand"/>
        <w:jc w:val="both"/>
      </w:pPr>
    </w:p>
    <w:p w14:paraId="39C9FB77" w14:textId="4FDFA0D2" w:rsidR="008F4243" w:rsidRPr="00A80264" w:rsidRDefault="00DC6EE1" w:rsidP="00A80264">
      <w:pPr>
        <w:pStyle w:val="Geenafstand"/>
        <w:jc w:val="both"/>
        <w:rPr>
          <w:i/>
        </w:rPr>
      </w:pPr>
      <w:r>
        <w:rPr>
          <w:i/>
        </w:rPr>
        <w:t xml:space="preserve">Denkt u ook niet dat de procedure </w:t>
      </w:r>
      <w:r w:rsidR="008F4243" w:rsidRPr="00A80264">
        <w:rPr>
          <w:i/>
        </w:rPr>
        <w:t xml:space="preserve">een soort pressiefunctie </w:t>
      </w:r>
      <w:r>
        <w:rPr>
          <w:i/>
        </w:rPr>
        <w:t xml:space="preserve">heeft? Of </w:t>
      </w:r>
      <w:r w:rsidR="008F4243" w:rsidRPr="00A80264">
        <w:rPr>
          <w:i/>
        </w:rPr>
        <w:t xml:space="preserve">denkt </w:t>
      </w:r>
      <w:r>
        <w:rPr>
          <w:i/>
        </w:rPr>
        <w:t xml:space="preserve">u </w:t>
      </w:r>
      <w:r w:rsidR="008F4243" w:rsidRPr="00A80264">
        <w:rPr>
          <w:i/>
        </w:rPr>
        <w:t xml:space="preserve">dat </w:t>
      </w:r>
      <w:r w:rsidR="00AA04F2">
        <w:rPr>
          <w:i/>
        </w:rPr>
        <w:t>de procedure</w:t>
      </w:r>
      <w:r w:rsidR="00AA04F2" w:rsidRPr="00A80264">
        <w:rPr>
          <w:i/>
        </w:rPr>
        <w:t xml:space="preserve"> </w:t>
      </w:r>
      <w:r w:rsidR="008F4243" w:rsidRPr="00A80264">
        <w:rPr>
          <w:i/>
        </w:rPr>
        <w:t>alleen een juridisch doel dient?</w:t>
      </w:r>
      <w:r w:rsidR="005605A9" w:rsidRPr="00A80264">
        <w:rPr>
          <w:i/>
        </w:rPr>
        <w:t xml:space="preserve"> </w:t>
      </w:r>
    </w:p>
    <w:p w14:paraId="14C0CF3D" w14:textId="77777777" w:rsidR="00EF09C9" w:rsidRPr="00DC6EE1" w:rsidRDefault="00EF09C9" w:rsidP="00A80264">
      <w:pPr>
        <w:pStyle w:val="Geenafstand"/>
        <w:jc w:val="both"/>
      </w:pPr>
    </w:p>
    <w:p w14:paraId="43DB03D1" w14:textId="17AD5779" w:rsidR="008F4243" w:rsidRDefault="008F4243" w:rsidP="00A80264">
      <w:pPr>
        <w:pStyle w:val="Geenafstand"/>
        <w:jc w:val="both"/>
      </w:pPr>
      <w:r w:rsidRPr="00626EB7">
        <w:t>Dat weet ik eerlijk gezegd niet. Misschien is het wel zo</w:t>
      </w:r>
      <w:r w:rsidR="00484899" w:rsidRPr="009B6DCF">
        <w:t xml:space="preserve"> hoor,</w:t>
      </w:r>
      <w:r w:rsidRPr="009B6DCF">
        <w:t xml:space="preserve"> dat er de gedachte is van een versterkte </w:t>
      </w:r>
      <w:r w:rsidRPr="009B6DCF">
        <w:rPr>
          <w:i/>
        </w:rPr>
        <w:t xml:space="preserve">blaming </w:t>
      </w:r>
      <w:r w:rsidR="00086429">
        <w:rPr>
          <w:i/>
        </w:rPr>
        <w:t>and</w:t>
      </w:r>
      <w:r w:rsidR="00086429" w:rsidRPr="00626EB7">
        <w:rPr>
          <w:i/>
        </w:rPr>
        <w:t xml:space="preserve"> </w:t>
      </w:r>
      <w:r w:rsidRPr="009B6DCF">
        <w:rPr>
          <w:i/>
        </w:rPr>
        <w:t>shaming</w:t>
      </w:r>
      <w:r w:rsidRPr="009B6DCF">
        <w:t xml:space="preserve"> en dat </w:t>
      </w:r>
      <w:r w:rsidR="00AA04F2">
        <w:t>de procedure</w:t>
      </w:r>
      <w:r w:rsidR="00AA04F2" w:rsidRPr="009B6DCF">
        <w:t xml:space="preserve"> </w:t>
      </w:r>
      <w:r w:rsidRPr="009B6DCF">
        <w:t xml:space="preserve">daarmee ook pressie zet op een lidstaat om </w:t>
      </w:r>
      <w:r w:rsidR="00AA04F2">
        <w:t>toch</w:t>
      </w:r>
      <w:r w:rsidR="00AA04F2" w:rsidRPr="009B6DCF">
        <w:t xml:space="preserve"> </w:t>
      </w:r>
      <w:r w:rsidRPr="009B6DCF">
        <w:t>na te komen. Dat zou kunnen</w:t>
      </w:r>
      <w:r w:rsidR="00086429">
        <w:t>,</w:t>
      </w:r>
      <w:r w:rsidRPr="00626EB7">
        <w:t xml:space="preserve"> maar </w:t>
      </w:r>
      <w:r w:rsidRPr="009B6DCF">
        <w:t>dat vind ik niet een rol van he</w:t>
      </w:r>
      <w:r w:rsidR="00484899" w:rsidRPr="00B01C64">
        <w:t xml:space="preserve">t Hof. De rol van het Hof is </w:t>
      </w:r>
      <w:r w:rsidRPr="00B01C64">
        <w:t xml:space="preserve">te beslissen op basis van voorgelegde klachten en uitleg te geven aan de gedane uitspraken. Het </w:t>
      </w:r>
      <w:r w:rsidR="00086429">
        <w:t>H</w:t>
      </w:r>
      <w:r w:rsidRPr="00626EB7">
        <w:t xml:space="preserve">of heeft verder geen rol in de </w:t>
      </w:r>
      <w:r w:rsidR="00AA04F2">
        <w:t>tenuitvoerlegging</w:t>
      </w:r>
      <w:r w:rsidRPr="00626EB7">
        <w:t xml:space="preserve">. </w:t>
      </w:r>
      <w:r w:rsidR="00086429">
        <w:t>Het k</w:t>
      </w:r>
      <w:r w:rsidRPr="009B6DCF">
        <w:t xml:space="preserve">an zelf </w:t>
      </w:r>
      <w:r w:rsidR="00AA04F2" w:rsidRPr="009B6DCF">
        <w:t xml:space="preserve">in het arrest </w:t>
      </w:r>
      <w:r w:rsidRPr="009B6DCF">
        <w:t xml:space="preserve">aanwijzingen geven </w:t>
      </w:r>
      <w:r w:rsidR="00AA04F2">
        <w:t>op grond van</w:t>
      </w:r>
      <w:r w:rsidR="00AA04F2" w:rsidRPr="009B6DCF">
        <w:t xml:space="preserve"> </w:t>
      </w:r>
      <w:r w:rsidRPr="009B6DCF">
        <w:t>artikel 46</w:t>
      </w:r>
      <w:r w:rsidR="00086429">
        <w:t>;</w:t>
      </w:r>
      <w:r w:rsidRPr="00626EB7">
        <w:t xml:space="preserve"> </w:t>
      </w:r>
      <w:r w:rsidR="00086429">
        <w:t xml:space="preserve">het </w:t>
      </w:r>
      <w:r w:rsidRPr="00626EB7">
        <w:t>kan ond</w:t>
      </w:r>
      <w:r w:rsidRPr="009B6DCF">
        <w:t xml:space="preserve">er </w:t>
      </w:r>
      <w:r w:rsidR="00086429">
        <w:t xml:space="preserve">artikel </w:t>
      </w:r>
      <w:r w:rsidRPr="00626EB7">
        <w:t>41 zeggen w</w:t>
      </w:r>
      <w:r w:rsidR="00C54859">
        <w:t>elke compensatie moet worden betaald</w:t>
      </w:r>
      <w:r w:rsidR="00484899" w:rsidRPr="009B6DCF">
        <w:t>. En dan is het aan het Comité van M</w:t>
      </w:r>
      <w:r w:rsidRPr="009B6DCF">
        <w:t>inisters</w:t>
      </w:r>
      <w:r w:rsidR="00AA04F2">
        <w:t>.</w:t>
      </w:r>
      <w:r w:rsidRPr="009B6DCF">
        <w:t xml:space="preserve"> </w:t>
      </w:r>
      <w:r w:rsidR="00AA04F2">
        <w:t>D</w:t>
      </w:r>
      <w:r w:rsidRPr="009B6DCF">
        <w:t>at is een politieke arena</w:t>
      </w:r>
      <w:r w:rsidR="00AA04F2">
        <w:t>,</w:t>
      </w:r>
      <w:r w:rsidRPr="009B6DCF">
        <w:t xml:space="preserve"> </w:t>
      </w:r>
      <w:r w:rsidR="00AA04F2">
        <w:t>waar</w:t>
      </w:r>
      <w:r w:rsidR="00AA04F2" w:rsidRPr="009B6DCF">
        <w:t xml:space="preserve"> </w:t>
      </w:r>
      <w:r w:rsidRPr="009B6DCF">
        <w:t xml:space="preserve">natuurlijk de duidelijke intentie </w:t>
      </w:r>
      <w:r w:rsidR="00AA04F2">
        <w:t xml:space="preserve">bestaat </w:t>
      </w:r>
      <w:r w:rsidRPr="009B6DCF">
        <w:t xml:space="preserve">om echt te controleren wat er </w:t>
      </w:r>
      <w:r w:rsidRPr="000437DB">
        <w:t xml:space="preserve">moet worden gedaan. </w:t>
      </w:r>
    </w:p>
    <w:p w14:paraId="442E4CA8" w14:textId="77777777" w:rsidR="00EF09C9" w:rsidRPr="00DC6EE1" w:rsidRDefault="00EF09C9" w:rsidP="00A80264">
      <w:pPr>
        <w:pStyle w:val="Geenafstand"/>
        <w:jc w:val="both"/>
      </w:pPr>
    </w:p>
    <w:p w14:paraId="3F3F99CE" w14:textId="051BD337" w:rsidR="008F4243" w:rsidRPr="00A80264" w:rsidRDefault="008F4243" w:rsidP="00A80264">
      <w:pPr>
        <w:pStyle w:val="Geenafstand"/>
        <w:jc w:val="both"/>
        <w:rPr>
          <w:rFonts w:cstheme="minorHAnsi"/>
          <w:i/>
        </w:rPr>
      </w:pPr>
      <w:r w:rsidRPr="00A80264">
        <w:rPr>
          <w:rFonts w:cstheme="minorHAnsi"/>
          <w:i/>
        </w:rPr>
        <w:t xml:space="preserve">U noemde al </w:t>
      </w:r>
      <w:r w:rsidR="00484899" w:rsidRPr="00A80264">
        <w:rPr>
          <w:rFonts w:cstheme="minorHAnsi"/>
          <w:i/>
        </w:rPr>
        <w:t>artikel 46</w:t>
      </w:r>
      <w:r w:rsidR="00086429">
        <w:rPr>
          <w:rFonts w:cstheme="minorHAnsi"/>
          <w:i/>
        </w:rPr>
        <w:t xml:space="preserve"> van het Verdrag</w:t>
      </w:r>
      <w:r w:rsidR="00484899" w:rsidRPr="00A80264">
        <w:rPr>
          <w:rFonts w:cstheme="minorHAnsi"/>
          <w:i/>
        </w:rPr>
        <w:t>,</w:t>
      </w:r>
      <w:r w:rsidR="00086429">
        <w:rPr>
          <w:rFonts w:cstheme="minorHAnsi"/>
          <w:i/>
        </w:rPr>
        <w:t xml:space="preserve"> waarin niet het Hof, maar het Comité van Ministers de rol </w:t>
      </w:r>
      <w:r w:rsidR="0093113F">
        <w:rPr>
          <w:rFonts w:cstheme="minorHAnsi"/>
          <w:i/>
        </w:rPr>
        <w:t xml:space="preserve">heeft </w:t>
      </w:r>
      <w:r w:rsidR="00086429">
        <w:rPr>
          <w:rFonts w:cstheme="minorHAnsi"/>
          <w:i/>
        </w:rPr>
        <w:t xml:space="preserve">om </w:t>
      </w:r>
      <w:r w:rsidR="00484899" w:rsidRPr="00A80264">
        <w:rPr>
          <w:rFonts w:cstheme="minorHAnsi"/>
          <w:i/>
        </w:rPr>
        <w:t>toe</w:t>
      </w:r>
      <w:r w:rsidR="00086429">
        <w:rPr>
          <w:rFonts w:cstheme="minorHAnsi"/>
          <w:i/>
        </w:rPr>
        <w:t xml:space="preserve"> te </w:t>
      </w:r>
      <w:r w:rsidR="00484899" w:rsidRPr="00A80264">
        <w:rPr>
          <w:rFonts w:cstheme="minorHAnsi"/>
          <w:i/>
        </w:rPr>
        <w:t>zien op de tenuitvoerlegging</w:t>
      </w:r>
      <w:r w:rsidR="00086429">
        <w:rPr>
          <w:rFonts w:cstheme="minorHAnsi"/>
          <w:i/>
        </w:rPr>
        <w:t xml:space="preserve">. </w:t>
      </w:r>
    </w:p>
    <w:p w14:paraId="05FC4656" w14:textId="77777777" w:rsidR="00EF09C9" w:rsidRPr="00DC6EE1" w:rsidRDefault="00EF09C9" w:rsidP="00A80264">
      <w:pPr>
        <w:pStyle w:val="Geenafstand"/>
        <w:jc w:val="both"/>
        <w:rPr>
          <w:rFonts w:cstheme="minorHAnsi"/>
        </w:rPr>
      </w:pPr>
    </w:p>
    <w:p w14:paraId="3A230432" w14:textId="77777777" w:rsidR="008F4243" w:rsidRDefault="00086429" w:rsidP="00A80264">
      <w:pPr>
        <w:pStyle w:val="Geenafstand"/>
        <w:jc w:val="both"/>
        <w:rPr>
          <w:rFonts w:cstheme="minorHAnsi"/>
        </w:rPr>
      </w:pPr>
      <w:r>
        <w:rPr>
          <w:rFonts w:cstheme="minorHAnsi"/>
        </w:rPr>
        <w:t>M</w:t>
      </w:r>
      <w:r w:rsidR="00484899" w:rsidRPr="00626EB7">
        <w:rPr>
          <w:rFonts w:cstheme="minorHAnsi"/>
        </w:rPr>
        <w:t xml:space="preserve">aar </w:t>
      </w:r>
      <w:r>
        <w:rPr>
          <w:rFonts w:cstheme="minorHAnsi"/>
        </w:rPr>
        <w:t xml:space="preserve">het Hof </w:t>
      </w:r>
      <w:r w:rsidR="00484899" w:rsidRPr="00626EB7">
        <w:rPr>
          <w:rFonts w:cstheme="minorHAnsi"/>
        </w:rPr>
        <w:t xml:space="preserve">mag wel aanwijzingen geven en </w:t>
      </w:r>
      <w:r w:rsidR="00333C15">
        <w:rPr>
          <w:rFonts w:cstheme="minorHAnsi"/>
        </w:rPr>
        <w:t>die mogelijkheid</w:t>
      </w:r>
      <w:r w:rsidR="00333C15" w:rsidRPr="00626EB7">
        <w:rPr>
          <w:rFonts w:cstheme="minorHAnsi"/>
        </w:rPr>
        <w:t xml:space="preserve"> </w:t>
      </w:r>
      <w:r w:rsidR="00484899" w:rsidRPr="00626EB7">
        <w:rPr>
          <w:rFonts w:cstheme="minorHAnsi"/>
        </w:rPr>
        <w:t>wordt ruim uitgelegd</w:t>
      </w:r>
      <w:r>
        <w:rPr>
          <w:rFonts w:cstheme="minorHAnsi"/>
        </w:rPr>
        <w:t xml:space="preserve">. </w:t>
      </w:r>
    </w:p>
    <w:p w14:paraId="6C64B96B" w14:textId="77777777" w:rsidR="00EF09C9" w:rsidRPr="00DC6EE1" w:rsidRDefault="00EF09C9" w:rsidP="00A80264">
      <w:pPr>
        <w:pStyle w:val="Geenafstand"/>
        <w:jc w:val="both"/>
        <w:rPr>
          <w:rFonts w:cstheme="minorHAnsi"/>
        </w:rPr>
      </w:pPr>
    </w:p>
    <w:p w14:paraId="6F2A341B" w14:textId="1782A259" w:rsidR="00B11CBB" w:rsidRPr="00A80264" w:rsidRDefault="008F4243" w:rsidP="00A80264">
      <w:pPr>
        <w:pStyle w:val="Geenafstand"/>
        <w:jc w:val="both"/>
        <w:rPr>
          <w:rFonts w:cstheme="minorHAnsi"/>
          <w:i/>
        </w:rPr>
      </w:pPr>
      <w:r w:rsidRPr="00A80264">
        <w:rPr>
          <w:rFonts w:cstheme="minorHAnsi"/>
          <w:i/>
        </w:rPr>
        <w:t>Ja, en dat doet het ook wel vaak</w:t>
      </w:r>
      <w:r w:rsidR="00086429">
        <w:rPr>
          <w:rFonts w:cstheme="minorHAnsi"/>
          <w:i/>
        </w:rPr>
        <w:t>,</w:t>
      </w:r>
      <w:r w:rsidRPr="00A80264">
        <w:rPr>
          <w:rFonts w:cstheme="minorHAnsi"/>
          <w:i/>
        </w:rPr>
        <w:t xml:space="preserve"> in </w:t>
      </w:r>
      <w:r w:rsidR="00086429" w:rsidRPr="00626EB7">
        <w:rPr>
          <w:rFonts w:cstheme="minorHAnsi"/>
          <w:i/>
        </w:rPr>
        <w:t>pilot</w:t>
      </w:r>
      <w:r w:rsidR="00086429">
        <w:rPr>
          <w:rFonts w:cstheme="minorHAnsi"/>
          <w:i/>
        </w:rPr>
        <w:t>uitspraken bijvoorbeeld</w:t>
      </w:r>
      <w:r w:rsidRPr="00A80264">
        <w:rPr>
          <w:rFonts w:cstheme="minorHAnsi"/>
          <w:i/>
        </w:rPr>
        <w:t xml:space="preserve">. </w:t>
      </w:r>
      <w:r w:rsidR="00B11CBB" w:rsidRPr="00A80264">
        <w:rPr>
          <w:rFonts w:cstheme="minorHAnsi"/>
          <w:i/>
        </w:rPr>
        <w:t>En nu wordt ook wel gezegd dat het Hof wel iets meer zou kunnen doen op het gebied van tenu</w:t>
      </w:r>
      <w:r w:rsidR="00484899" w:rsidRPr="00A80264">
        <w:rPr>
          <w:rFonts w:cstheme="minorHAnsi"/>
          <w:i/>
        </w:rPr>
        <w:t xml:space="preserve">itvoerlegging door bijvoorbeeld </w:t>
      </w:r>
      <w:r w:rsidR="00B11CBB" w:rsidRPr="00A80264">
        <w:rPr>
          <w:rFonts w:cstheme="minorHAnsi"/>
          <w:i/>
        </w:rPr>
        <w:t xml:space="preserve">beter de bron van </w:t>
      </w:r>
      <w:r w:rsidR="00484899" w:rsidRPr="00A80264">
        <w:rPr>
          <w:rFonts w:cstheme="minorHAnsi"/>
          <w:i/>
        </w:rPr>
        <w:t xml:space="preserve">de schending </w:t>
      </w:r>
      <w:r w:rsidR="00086429">
        <w:rPr>
          <w:rFonts w:cstheme="minorHAnsi"/>
          <w:i/>
        </w:rPr>
        <w:t>te identificeren</w:t>
      </w:r>
      <w:r w:rsidR="00484899" w:rsidRPr="00A80264">
        <w:rPr>
          <w:rFonts w:cstheme="minorHAnsi"/>
          <w:i/>
        </w:rPr>
        <w:t xml:space="preserve"> in zijn uitspraken.</w:t>
      </w:r>
      <w:r w:rsidR="00086429">
        <w:rPr>
          <w:rStyle w:val="Voetnootmarkering"/>
          <w:rFonts w:cstheme="minorHAnsi"/>
          <w:i/>
        </w:rPr>
        <w:footnoteReference w:id="31"/>
      </w:r>
      <w:r w:rsidR="00484899" w:rsidRPr="00A80264">
        <w:rPr>
          <w:rFonts w:cstheme="minorHAnsi"/>
          <w:i/>
        </w:rPr>
        <w:t xml:space="preserve"> Denkt u ook dat het H</w:t>
      </w:r>
      <w:r w:rsidR="00B11CBB" w:rsidRPr="00A80264">
        <w:rPr>
          <w:rFonts w:cstheme="minorHAnsi"/>
          <w:i/>
        </w:rPr>
        <w:t xml:space="preserve">of </w:t>
      </w:r>
      <w:r w:rsidR="00086429">
        <w:rPr>
          <w:rFonts w:cstheme="minorHAnsi"/>
          <w:i/>
        </w:rPr>
        <w:t xml:space="preserve">inderdaad </w:t>
      </w:r>
      <w:r w:rsidR="00B11CBB" w:rsidRPr="00A80264">
        <w:rPr>
          <w:rFonts w:cstheme="minorHAnsi"/>
          <w:i/>
        </w:rPr>
        <w:t xml:space="preserve">meer </w:t>
      </w:r>
      <w:r w:rsidR="002D22DD">
        <w:rPr>
          <w:rFonts w:cstheme="minorHAnsi"/>
          <w:i/>
        </w:rPr>
        <w:t>voor</w:t>
      </w:r>
      <w:r w:rsidR="002D22DD" w:rsidRPr="00A80264">
        <w:rPr>
          <w:rFonts w:cstheme="minorHAnsi"/>
          <w:i/>
        </w:rPr>
        <w:t xml:space="preserve"> </w:t>
      </w:r>
      <w:r w:rsidR="00B11CBB" w:rsidRPr="00A80264">
        <w:rPr>
          <w:rFonts w:cstheme="minorHAnsi"/>
          <w:i/>
        </w:rPr>
        <w:t>de tenuitvoerlegging kan doen, bijvoorbeeld op die manier?</w:t>
      </w:r>
      <w:r w:rsidR="00E724A2" w:rsidRPr="00A80264">
        <w:rPr>
          <w:rFonts w:cstheme="minorHAnsi"/>
          <w:i/>
        </w:rPr>
        <w:t xml:space="preserve"> </w:t>
      </w:r>
    </w:p>
    <w:p w14:paraId="411DE1ED" w14:textId="77777777" w:rsidR="00EF09C9" w:rsidRPr="00DC6EE1" w:rsidRDefault="00EF09C9" w:rsidP="00A80264">
      <w:pPr>
        <w:pStyle w:val="Geenafstand"/>
        <w:jc w:val="both"/>
        <w:rPr>
          <w:rFonts w:cstheme="minorHAnsi"/>
          <w:b/>
        </w:rPr>
      </w:pPr>
    </w:p>
    <w:p w14:paraId="32710D27" w14:textId="099B011C" w:rsidR="00B11CBB" w:rsidRDefault="00B11CBB" w:rsidP="00A80264">
      <w:pPr>
        <w:pStyle w:val="Geenafstand"/>
        <w:jc w:val="both"/>
      </w:pPr>
      <w:r w:rsidRPr="00626EB7">
        <w:t xml:space="preserve">Dat is </w:t>
      </w:r>
      <w:r w:rsidR="002D22DD">
        <w:t xml:space="preserve">een </w:t>
      </w:r>
      <w:r w:rsidRPr="00626EB7">
        <w:t>lastig te beantwoorden</w:t>
      </w:r>
      <w:r w:rsidR="002D22DD">
        <w:t xml:space="preserve"> vraag</w:t>
      </w:r>
      <w:r w:rsidRPr="00626EB7">
        <w:t>, omdat je dan op het grensvlak van het juridische en het politieke komt. Kijk, sommige mens</w:t>
      </w:r>
      <w:r w:rsidRPr="009B6DCF">
        <w:t xml:space="preserve">en zullen zeggen: </w:t>
      </w:r>
      <w:r w:rsidR="00086429">
        <w:t>“H</w:t>
      </w:r>
      <w:r w:rsidRPr="009B6DCF">
        <w:t xml:space="preserve">et feit dat bepaalde uitspraken niet </w:t>
      </w:r>
      <w:r w:rsidR="00086429" w:rsidRPr="00022BFB">
        <w:t xml:space="preserve">ten uitvoer </w:t>
      </w:r>
      <w:r w:rsidRPr="00626EB7">
        <w:t xml:space="preserve">worden </w:t>
      </w:r>
      <w:r w:rsidRPr="00B01C64">
        <w:t>gelegd</w:t>
      </w:r>
      <w:r w:rsidR="002D22DD">
        <w:t>,</w:t>
      </w:r>
      <w:r w:rsidRPr="00B01C64">
        <w:t xml:space="preserve"> komt </w:t>
      </w:r>
      <w:r w:rsidR="002D22DD">
        <w:t>door</w:t>
      </w:r>
      <w:r w:rsidRPr="00B01C64">
        <w:t>dat het te</w:t>
      </w:r>
      <w:r w:rsidR="00484899" w:rsidRPr="00B01C64">
        <w:t xml:space="preserve"> </w:t>
      </w:r>
      <w:r w:rsidRPr="000437DB">
        <w:t>veel kost.</w:t>
      </w:r>
      <w:r w:rsidR="00086429">
        <w:t>”</w:t>
      </w:r>
      <w:r w:rsidRPr="00626EB7">
        <w:t xml:space="preserve"> Een economisch motief</w:t>
      </w:r>
      <w:r w:rsidR="00086429">
        <w:t xml:space="preserve"> speel</w:t>
      </w:r>
      <w:r w:rsidR="00333C15">
        <w:t>t</w:t>
      </w:r>
      <w:r w:rsidR="00086429">
        <w:t xml:space="preserve"> dan een rol</w:t>
      </w:r>
      <w:r w:rsidRPr="00626EB7">
        <w:t>, een land is in oorlog of in verwarring en het kan niet opgebracht worden. Misschien is he</w:t>
      </w:r>
      <w:r w:rsidRPr="009B6DCF">
        <w:t xml:space="preserve">t in de juridische context zo dat er gezegd wordt: </w:t>
      </w:r>
      <w:r w:rsidR="00086429">
        <w:t>“J</w:t>
      </w:r>
      <w:r w:rsidRPr="00626EB7">
        <w:t>a, waar politieke keuzes worden gemaakt</w:t>
      </w:r>
      <w:r w:rsidRPr="009B6DCF">
        <w:t>, moeten die keuzes conform het recht worden gemaakt en</w:t>
      </w:r>
      <w:r w:rsidR="00086429">
        <w:t xml:space="preserve">, </w:t>
      </w:r>
      <w:r w:rsidRPr="00626EB7">
        <w:t>als dat wordt nagelaten</w:t>
      </w:r>
      <w:r w:rsidR="00086429">
        <w:t>,</w:t>
      </w:r>
      <w:r w:rsidRPr="00626EB7">
        <w:t xml:space="preserve"> is het juridisch fout, punt.</w:t>
      </w:r>
      <w:r w:rsidR="00086429">
        <w:t>”</w:t>
      </w:r>
      <w:r w:rsidRPr="00626EB7">
        <w:t xml:space="preserve"> Maar een executiemacht heeft het </w:t>
      </w:r>
      <w:r w:rsidR="00086429">
        <w:t>H</w:t>
      </w:r>
      <w:r w:rsidR="00086429" w:rsidRPr="00626EB7">
        <w:t xml:space="preserve">of </w:t>
      </w:r>
      <w:r w:rsidRPr="009B6DCF">
        <w:t xml:space="preserve">verder niet. Het </w:t>
      </w:r>
      <w:r w:rsidR="00086429">
        <w:t>H</w:t>
      </w:r>
      <w:r w:rsidR="00086429" w:rsidRPr="00626EB7">
        <w:t xml:space="preserve">of </w:t>
      </w:r>
      <w:r w:rsidRPr="009B6DCF">
        <w:t xml:space="preserve">kan geen boetes opleggen die executeerbaar zijn. Sommigen zeggen dat dat zou moeten kunnen. Het is de vraag of de boel dan niet uit elkaar valt. </w:t>
      </w:r>
    </w:p>
    <w:p w14:paraId="361252A8" w14:textId="77777777" w:rsidR="00EF09C9" w:rsidRPr="00DC6EE1" w:rsidRDefault="00EF09C9" w:rsidP="00A80264">
      <w:pPr>
        <w:pStyle w:val="Geenafstand"/>
        <w:jc w:val="both"/>
        <w:rPr>
          <w:b/>
        </w:rPr>
      </w:pPr>
    </w:p>
    <w:p w14:paraId="77F9C76D" w14:textId="77777777" w:rsidR="00B11CBB" w:rsidRPr="00A80264" w:rsidRDefault="00B11CBB" w:rsidP="00A80264">
      <w:pPr>
        <w:pStyle w:val="Geenafstand"/>
        <w:jc w:val="both"/>
        <w:rPr>
          <w:i/>
        </w:rPr>
      </w:pPr>
      <w:r w:rsidRPr="00A80264">
        <w:rPr>
          <w:i/>
        </w:rPr>
        <w:t xml:space="preserve">En of de staten zo’n amendement </w:t>
      </w:r>
      <w:r w:rsidR="00A95758" w:rsidRPr="00A80264">
        <w:rPr>
          <w:i/>
        </w:rPr>
        <w:t xml:space="preserve">aan het </w:t>
      </w:r>
      <w:r w:rsidR="00086429">
        <w:rPr>
          <w:i/>
        </w:rPr>
        <w:t>V</w:t>
      </w:r>
      <w:r w:rsidR="00086429" w:rsidRPr="00A80264">
        <w:rPr>
          <w:i/>
        </w:rPr>
        <w:t xml:space="preserve">erdrag </w:t>
      </w:r>
      <w:r w:rsidR="00A95758" w:rsidRPr="00A80264">
        <w:rPr>
          <w:i/>
        </w:rPr>
        <w:t>zouden toestaan.</w:t>
      </w:r>
      <w:r w:rsidRPr="00A80264">
        <w:rPr>
          <w:i/>
        </w:rPr>
        <w:t xml:space="preserve"> Denkt u dat zo’n amendement ooit mogelijk zou zijn?</w:t>
      </w:r>
      <w:r w:rsidR="00E724A2" w:rsidRPr="00A80264">
        <w:rPr>
          <w:i/>
        </w:rPr>
        <w:t xml:space="preserve"> </w:t>
      </w:r>
    </w:p>
    <w:p w14:paraId="44649CFB" w14:textId="77777777" w:rsidR="00EF09C9" w:rsidRPr="00DC6EE1" w:rsidRDefault="00EF09C9" w:rsidP="00A80264">
      <w:pPr>
        <w:pStyle w:val="Geenafstand"/>
        <w:jc w:val="both"/>
        <w:rPr>
          <w:b/>
        </w:rPr>
      </w:pPr>
    </w:p>
    <w:p w14:paraId="62E710BD" w14:textId="059179D4" w:rsidR="00B11CBB" w:rsidRDefault="00B11CBB" w:rsidP="00A80264">
      <w:pPr>
        <w:pStyle w:val="Geenafstand"/>
        <w:jc w:val="both"/>
      </w:pPr>
      <w:r w:rsidRPr="00626EB7">
        <w:t xml:space="preserve">Het lijkt mij onwaarschijnlijk. Ik denk niet dat dat gebeurt, nee. Maar dat is een </w:t>
      </w:r>
      <w:r w:rsidR="003058A5">
        <w:t>in</w:t>
      </w:r>
      <w:r w:rsidRPr="00626EB7">
        <w:t xml:space="preserve">schatting van wat de politiek </w:t>
      </w:r>
      <w:r w:rsidR="003A01F9">
        <w:t>doet</w:t>
      </w:r>
      <w:r w:rsidRPr="00626EB7">
        <w:t>, dat heeft geen juridische betekenis.</w:t>
      </w:r>
    </w:p>
    <w:p w14:paraId="557A0E68" w14:textId="77777777" w:rsidR="00EF09C9" w:rsidRPr="00DC6EE1" w:rsidRDefault="00EF09C9" w:rsidP="00A80264">
      <w:pPr>
        <w:pStyle w:val="Geenafstand"/>
        <w:jc w:val="both"/>
      </w:pPr>
    </w:p>
    <w:p w14:paraId="46878D43" w14:textId="7AEF100E" w:rsidR="00B11CBB" w:rsidRPr="00A80264" w:rsidRDefault="00B11CBB" w:rsidP="00A80264">
      <w:pPr>
        <w:pStyle w:val="Geenafstand"/>
        <w:jc w:val="both"/>
        <w:rPr>
          <w:i/>
        </w:rPr>
      </w:pPr>
      <w:r w:rsidRPr="00A80264">
        <w:rPr>
          <w:i/>
        </w:rPr>
        <w:t>U had het</w:t>
      </w:r>
      <w:r w:rsidR="003A01F9">
        <w:rPr>
          <w:i/>
        </w:rPr>
        <w:t xml:space="preserve"> eerder</w:t>
      </w:r>
      <w:r w:rsidRPr="00A80264">
        <w:rPr>
          <w:i/>
        </w:rPr>
        <w:t xml:space="preserve"> ook over politiek</w:t>
      </w:r>
      <w:r w:rsidR="003058A5">
        <w:rPr>
          <w:i/>
        </w:rPr>
        <w:t xml:space="preserve">. Het is bekend </w:t>
      </w:r>
      <w:r w:rsidRPr="00A80264">
        <w:rPr>
          <w:i/>
        </w:rPr>
        <w:t>dat er op het grondge</w:t>
      </w:r>
      <w:r w:rsidR="00A95758" w:rsidRPr="00A80264">
        <w:rPr>
          <w:i/>
        </w:rPr>
        <w:t>bied van de R</w:t>
      </w:r>
      <w:r w:rsidRPr="00A80264">
        <w:rPr>
          <w:i/>
        </w:rPr>
        <w:t xml:space="preserve">aad </w:t>
      </w:r>
      <w:r w:rsidR="00A95758" w:rsidRPr="00A80264">
        <w:rPr>
          <w:i/>
        </w:rPr>
        <w:t xml:space="preserve">van Europa </w:t>
      </w:r>
      <w:r w:rsidRPr="00A80264">
        <w:rPr>
          <w:i/>
        </w:rPr>
        <w:t xml:space="preserve">een aantal </w:t>
      </w:r>
      <w:r w:rsidR="003A01F9">
        <w:rPr>
          <w:i/>
        </w:rPr>
        <w:t>gewapende conflicten</w:t>
      </w:r>
      <w:r w:rsidR="003A01F9" w:rsidRPr="00A80264">
        <w:rPr>
          <w:i/>
        </w:rPr>
        <w:t xml:space="preserve"> </w:t>
      </w:r>
      <w:r w:rsidR="003058A5">
        <w:rPr>
          <w:i/>
        </w:rPr>
        <w:t>is</w:t>
      </w:r>
      <w:r w:rsidRPr="00A80264">
        <w:rPr>
          <w:i/>
        </w:rPr>
        <w:t xml:space="preserve">, en </w:t>
      </w:r>
      <w:r w:rsidR="003A01F9">
        <w:rPr>
          <w:i/>
        </w:rPr>
        <w:t xml:space="preserve">er </w:t>
      </w:r>
      <w:r w:rsidR="003058A5">
        <w:rPr>
          <w:i/>
        </w:rPr>
        <w:t xml:space="preserve">is </w:t>
      </w:r>
      <w:r w:rsidRPr="00A80264">
        <w:rPr>
          <w:i/>
        </w:rPr>
        <w:t xml:space="preserve">ook een aantal staten </w:t>
      </w:r>
      <w:r w:rsidR="003A01F9">
        <w:rPr>
          <w:i/>
        </w:rPr>
        <w:t xml:space="preserve">die </w:t>
      </w:r>
      <w:r w:rsidRPr="00A80264">
        <w:rPr>
          <w:i/>
        </w:rPr>
        <w:t xml:space="preserve">onder artikel 15 het </w:t>
      </w:r>
      <w:r w:rsidR="003A01F9">
        <w:rPr>
          <w:i/>
        </w:rPr>
        <w:t>V</w:t>
      </w:r>
      <w:r w:rsidR="003A01F9" w:rsidRPr="00A80264">
        <w:rPr>
          <w:i/>
        </w:rPr>
        <w:t xml:space="preserve">erdrag </w:t>
      </w:r>
      <w:r w:rsidRPr="00A80264">
        <w:rPr>
          <w:i/>
        </w:rPr>
        <w:t xml:space="preserve">gedeeltelijk hebben opgeschort. </w:t>
      </w:r>
    </w:p>
    <w:p w14:paraId="5943293E" w14:textId="77777777" w:rsidR="00EF09C9" w:rsidRPr="00DC6EE1" w:rsidRDefault="00EF09C9" w:rsidP="00A80264">
      <w:pPr>
        <w:pStyle w:val="Geenafstand"/>
        <w:jc w:val="both"/>
        <w:rPr>
          <w:b/>
        </w:rPr>
      </w:pPr>
    </w:p>
    <w:p w14:paraId="00920A91" w14:textId="77777777" w:rsidR="00B11CBB" w:rsidRDefault="00B11CBB" w:rsidP="00A80264">
      <w:pPr>
        <w:pStyle w:val="Geenafstand"/>
        <w:jc w:val="both"/>
      </w:pPr>
      <w:r w:rsidRPr="00626EB7">
        <w:t>Frankrijk bijvoorbeeld, België n</w:t>
      </w:r>
      <w:r w:rsidRPr="009B6DCF">
        <w:t xml:space="preserve">iet, </w:t>
      </w:r>
      <w:r w:rsidR="003A01F9">
        <w:t xml:space="preserve">maar wel </w:t>
      </w:r>
      <w:r w:rsidR="00382844" w:rsidRPr="009B6DCF">
        <w:t>Oekraïne</w:t>
      </w:r>
      <w:r w:rsidR="003A01F9">
        <w:t xml:space="preserve"> en</w:t>
      </w:r>
      <w:r w:rsidRPr="00626EB7">
        <w:t xml:space="preserve"> Turkije. </w:t>
      </w:r>
    </w:p>
    <w:p w14:paraId="7DAC0462" w14:textId="77777777" w:rsidR="00EF09C9" w:rsidRPr="00DC6EE1" w:rsidRDefault="00EF09C9" w:rsidP="00A80264">
      <w:pPr>
        <w:pStyle w:val="Geenafstand"/>
        <w:jc w:val="both"/>
      </w:pPr>
    </w:p>
    <w:p w14:paraId="4B312E25" w14:textId="2284AC90" w:rsidR="00B11CBB" w:rsidRPr="00A80264" w:rsidRDefault="00B11CBB" w:rsidP="00A80264">
      <w:pPr>
        <w:pStyle w:val="Geenafstand"/>
        <w:jc w:val="both"/>
        <w:rPr>
          <w:i/>
        </w:rPr>
      </w:pPr>
      <w:r w:rsidRPr="00A80264">
        <w:rPr>
          <w:i/>
        </w:rPr>
        <w:t xml:space="preserve">U beschrijft ook die gewapende conflicten in uw </w:t>
      </w:r>
      <w:r w:rsidR="00A95758" w:rsidRPr="00A80264">
        <w:rPr>
          <w:i/>
        </w:rPr>
        <w:t>‘Zicht op S</w:t>
      </w:r>
      <w:r w:rsidRPr="00A80264">
        <w:rPr>
          <w:i/>
        </w:rPr>
        <w:t>traatsburg</w:t>
      </w:r>
      <w:r w:rsidR="00A95758" w:rsidRPr="00A80264">
        <w:rPr>
          <w:i/>
        </w:rPr>
        <w:t>’</w:t>
      </w:r>
      <w:r w:rsidR="003058A5">
        <w:rPr>
          <w:i/>
        </w:rPr>
        <w:t xml:space="preserve"> nr.</w:t>
      </w:r>
      <w:r w:rsidRPr="00A80264">
        <w:rPr>
          <w:i/>
        </w:rPr>
        <w:t xml:space="preserve"> 10. Het </w:t>
      </w:r>
      <w:r w:rsidR="003A01F9">
        <w:rPr>
          <w:i/>
        </w:rPr>
        <w:t>H</w:t>
      </w:r>
      <w:r w:rsidR="003A01F9" w:rsidRPr="00A80264">
        <w:rPr>
          <w:i/>
        </w:rPr>
        <w:t xml:space="preserve">of </w:t>
      </w:r>
      <w:r w:rsidRPr="00A80264">
        <w:rPr>
          <w:i/>
        </w:rPr>
        <w:t xml:space="preserve">lijkt </w:t>
      </w:r>
      <w:r w:rsidR="003A01F9">
        <w:rPr>
          <w:i/>
        </w:rPr>
        <w:t xml:space="preserve">er </w:t>
      </w:r>
      <w:r w:rsidRPr="00A80264">
        <w:rPr>
          <w:i/>
        </w:rPr>
        <w:t xml:space="preserve">niet toe geëquipeerd te zijn om tegen zulk soort grootschalige schendingen iets te doen of daar achteraf iets nuttigs mee </w:t>
      </w:r>
      <w:r w:rsidR="003A01F9">
        <w:rPr>
          <w:i/>
        </w:rPr>
        <w:t xml:space="preserve">te </w:t>
      </w:r>
      <w:r w:rsidRPr="00A80264">
        <w:rPr>
          <w:i/>
        </w:rPr>
        <w:t>doen. Denkt u dat het Hof als juridische instantie daar iets mee kan of is dat v</w:t>
      </w:r>
      <w:r w:rsidR="00A95758" w:rsidRPr="00A80264">
        <w:rPr>
          <w:i/>
        </w:rPr>
        <w:t>ooral iets voor het Comité van M</w:t>
      </w:r>
      <w:r w:rsidRPr="00A80264">
        <w:rPr>
          <w:i/>
        </w:rPr>
        <w:t>inisters als politieke instantie?</w:t>
      </w:r>
      <w:r w:rsidR="00E724A2" w:rsidRPr="00A80264">
        <w:rPr>
          <w:i/>
        </w:rPr>
        <w:t xml:space="preserve"> </w:t>
      </w:r>
    </w:p>
    <w:p w14:paraId="38C42147" w14:textId="77777777" w:rsidR="00EF09C9" w:rsidRPr="00DC6EE1" w:rsidRDefault="00EF09C9" w:rsidP="00A80264">
      <w:pPr>
        <w:pStyle w:val="Geenafstand"/>
        <w:jc w:val="both"/>
        <w:rPr>
          <w:b/>
        </w:rPr>
      </w:pPr>
    </w:p>
    <w:p w14:paraId="573D607B" w14:textId="26AF459B" w:rsidR="00B11CBB" w:rsidRDefault="00B11CBB" w:rsidP="00A80264">
      <w:pPr>
        <w:pStyle w:val="Geenafstand"/>
        <w:jc w:val="both"/>
      </w:pPr>
      <w:r w:rsidRPr="00626EB7">
        <w:t>Het Hof heeft natuurlijk wel een rol bij de beoord</w:t>
      </w:r>
      <w:r w:rsidRPr="009B6DCF">
        <w:t xml:space="preserve">eling van artikel 15 en </w:t>
      </w:r>
      <w:r w:rsidR="00275F4A">
        <w:t xml:space="preserve">bij de beoordeling </w:t>
      </w:r>
      <w:r w:rsidRPr="009B6DCF">
        <w:t>of</w:t>
      </w:r>
      <w:r w:rsidR="00275F4A">
        <w:t xml:space="preserve"> de vereisten van</w:t>
      </w:r>
      <w:r w:rsidRPr="009B6DCF">
        <w:t xml:space="preserve"> proportionaliteit en subsidiariteit behoorlijk worden nageleefd. Dus dat is altijd een heel belangrijk onderwerp</w:t>
      </w:r>
      <w:r w:rsidR="00275F4A">
        <w:t>,</w:t>
      </w:r>
      <w:r w:rsidRPr="009B6DCF">
        <w:t xml:space="preserve"> denk ik. Ongetwijfeld zullen </w:t>
      </w:r>
      <w:r w:rsidR="003A01F9">
        <w:t>er</w:t>
      </w:r>
      <w:r w:rsidR="003A01F9" w:rsidRPr="00626EB7">
        <w:t xml:space="preserve"> </w:t>
      </w:r>
      <w:r w:rsidRPr="009B6DCF">
        <w:t>ook zaken komen aangaande die landen waar nu artikel 15 wordt toege</w:t>
      </w:r>
      <w:r w:rsidRPr="00B01C64">
        <w:t>past.</w:t>
      </w:r>
      <w:r w:rsidRPr="000437DB">
        <w:t xml:space="preserve"> Verder</w:t>
      </w:r>
      <w:r w:rsidR="00A95758" w:rsidRPr="000437DB">
        <w:t>,</w:t>
      </w:r>
      <w:r w:rsidRPr="000437DB">
        <w:t xml:space="preserve"> wat betreft interstatelijke problemen, er is natuurlijk een interstatelijke p</w:t>
      </w:r>
      <w:r w:rsidR="00A95758" w:rsidRPr="000437DB">
        <w:t xml:space="preserve">rocedure in </w:t>
      </w:r>
      <w:r w:rsidR="003A01F9">
        <w:t>het Verdrag</w:t>
      </w:r>
      <w:r w:rsidRPr="00626EB7">
        <w:t xml:space="preserve">. Over en weer kunnen klachten worden </w:t>
      </w:r>
      <w:r w:rsidR="003A01F9">
        <w:t>ingediend</w:t>
      </w:r>
      <w:r w:rsidR="003A01F9" w:rsidRPr="00626EB7">
        <w:t xml:space="preserve"> </w:t>
      </w:r>
      <w:r w:rsidRPr="009B6DCF">
        <w:t>en het is beke</w:t>
      </w:r>
      <w:r w:rsidR="00A95758" w:rsidRPr="009B6DCF">
        <w:t>nd dat er in het Rusland-Oekraï</w:t>
      </w:r>
      <w:r w:rsidRPr="00B01C64">
        <w:t>ne</w:t>
      </w:r>
      <w:r w:rsidR="00275F4A">
        <w:t>-</w:t>
      </w:r>
      <w:r w:rsidRPr="00B01C64">
        <w:t xml:space="preserve">conflict dergelijke klachten liggen. Wanneer je kijkt naar de geschiedenis van de interstatelijke klachtprocedure, </w:t>
      </w:r>
      <w:r w:rsidR="003A01F9">
        <w:t>dan is</w:t>
      </w:r>
      <w:r w:rsidRPr="00626EB7">
        <w:t xml:space="preserve"> </w:t>
      </w:r>
      <w:r w:rsidR="00275F4A">
        <w:t xml:space="preserve">de betekenis van </w:t>
      </w:r>
      <w:r w:rsidRPr="00626EB7">
        <w:t>die procedure</w:t>
      </w:r>
      <w:r w:rsidRPr="009B6DCF">
        <w:t xml:space="preserve"> bescheiden </w:t>
      </w:r>
      <w:r w:rsidR="00275F4A">
        <w:t>waar het gaat om</w:t>
      </w:r>
      <w:r w:rsidRPr="009B6DCF">
        <w:t xml:space="preserve"> de oplossing van </w:t>
      </w:r>
      <w:r w:rsidRPr="00B01C64">
        <w:t>grote conflict</w:t>
      </w:r>
      <w:r w:rsidR="003A01F9">
        <w:t>en</w:t>
      </w:r>
      <w:r w:rsidRPr="00626EB7">
        <w:t xml:space="preserve">. </w:t>
      </w:r>
      <w:r w:rsidR="003A01F9">
        <w:t>Maar</w:t>
      </w:r>
      <w:r w:rsidR="003A01F9" w:rsidRPr="00626EB7">
        <w:t xml:space="preserve"> </w:t>
      </w:r>
      <w:r w:rsidR="00A95758" w:rsidRPr="009B6DCF">
        <w:t>het kan een rol spelen</w:t>
      </w:r>
      <w:r w:rsidR="00275F4A">
        <w:t>.</w:t>
      </w:r>
      <w:r w:rsidR="00A95758" w:rsidRPr="009B6DCF">
        <w:t xml:space="preserve"> </w:t>
      </w:r>
      <w:r w:rsidR="00275F4A">
        <w:t>D</w:t>
      </w:r>
      <w:r w:rsidR="00A95758" w:rsidRPr="009B6DCF">
        <w:t>e Raad van E</w:t>
      </w:r>
      <w:r w:rsidR="001C2B88" w:rsidRPr="009B6DCF">
        <w:t>uropa zit er ook zo in</w:t>
      </w:r>
      <w:r w:rsidR="00275F4A">
        <w:t>: het voordeel is</w:t>
      </w:r>
      <w:r w:rsidR="001C2B88" w:rsidRPr="009B6DCF">
        <w:t xml:space="preserve"> dat er tenminste voortduring van contact is, </w:t>
      </w:r>
      <w:r w:rsidR="00275F4A">
        <w:t xml:space="preserve">en dat er </w:t>
      </w:r>
      <w:r w:rsidR="001C2B88" w:rsidRPr="009B6DCF">
        <w:t>een ne</w:t>
      </w:r>
      <w:r w:rsidR="00A95758" w:rsidRPr="009B6DCF">
        <w:t>twerk</w:t>
      </w:r>
      <w:r w:rsidR="00275F4A">
        <w:t xml:space="preserve"> is</w:t>
      </w:r>
      <w:r w:rsidR="00A95758" w:rsidRPr="009B6DCF">
        <w:t xml:space="preserve">. Turkije zit in de Raad van Europa, </w:t>
      </w:r>
      <w:r w:rsidR="003A01F9" w:rsidRPr="000437DB">
        <w:t>Oekraïne</w:t>
      </w:r>
      <w:r w:rsidR="003A01F9">
        <w:t xml:space="preserve"> en R</w:t>
      </w:r>
      <w:r w:rsidR="001C2B88" w:rsidRPr="00626EB7">
        <w:t>usland z</w:t>
      </w:r>
      <w:r w:rsidR="001C2B88" w:rsidRPr="009B6DCF">
        <w:t xml:space="preserve">itten in de </w:t>
      </w:r>
      <w:r w:rsidR="003A01F9">
        <w:t>Raad van Europa en dus hebben p</w:t>
      </w:r>
      <w:r w:rsidR="001C2B88" w:rsidRPr="00626EB7">
        <w:t xml:space="preserve">arlementariërs </w:t>
      </w:r>
      <w:r w:rsidR="001C2B88" w:rsidRPr="009B6DCF">
        <w:t xml:space="preserve">met elkaar te maken. Rusland is op een gegeven moment wel uitgezonderd geweest van het kunnen deelnemen </w:t>
      </w:r>
      <w:r w:rsidR="00A95758" w:rsidRPr="009B6DCF">
        <w:t>a</w:t>
      </w:r>
      <w:r w:rsidR="001C2B88" w:rsidRPr="00B01C64">
        <w:t xml:space="preserve">an de </w:t>
      </w:r>
      <w:r w:rsidR="003A01F9">
        <w:t>Parlementaire Assemblee</w:t>
      </w:r>
      <w:r w:rsidR="001C2B88" w:rsidRPr="00626EB7">
        <w:t xml:space="preserve">, maar goed. Zolang </w:t>
      </w:r>
      <w:r w:rsidR="00275F4A">
        <w:t>deze staten</w:t>
      </w:r>
      <w:r w:rsidR="00275F4A" w:rsidRPr="00626EB7">
        <w:t xml:space="preserve"> </w:t>
      </w:r>
      <w:r w:rsidR="001C2B88" w:rsidRPr="00626EB7">
        <w:t>in de Raad van Eur</w:t>
      </w:r>
      <w:r w:rsidR="001C2B88" w:rsidRPr="009B6DCF">
        <w:t>opa</w:t>
      </w:r>
      <w:r w:rsidR="00A95758" w:rsidRPr="009B6DCF">
        <w:t xml:space="preserve"> zitten, is er </w:t>
      </w:r>
      <w:r w:rsidR="00275F4A">
        <w:t xml:space="preserve">een </w:t>
      </w:r>
      <w:r w:rsidR="00A95758" w:rsidRPr="009B6DCF">
        <w:t xml:space="preserve">gesprek </w:t>
      </w:r>
      <w:r w:rsidR="00275F4A">
        <w:t>mogelijk</w:t>
      </w:r>
      <w:r w:rsidR="00A95758" w:rsidRPr="009B6DCF">
        <w:t>. I</w:t>
      </w:r>
      <w:r w:rsidR="001C2B88" w:rsidRPr="009B6DCF">
        <w:t xml:space="preserve">k denk dat het </w:t>
      </w:r>
      <w:r w:rsidR="003A01F9">
        <w:t>H</w:t>
      </w:r>
      <w:r w:rsidR="001C2B88" w:rsidRPr="00626EB7">
        <w:t xml:space="preserve">of </w:t>
      </w:r>
      <w:r w:rsidR="001C2B88" w:rsidRPr="009B6DCF">
        <w:t>wel een rol kan spelen in het bevorderen van het herstel, maar echt het oplossen van grote conflicten</w:t>
      </w:r>
      <w:r w:rsidR="003A01F9">
        <w:t xml:space="preserve">? </w:t>
      </w:r>
      <w:r w:rsidR="00275F4A">
        <w:t>J</w:t>
      </w:r>
      <w:r w:rsidR="001C2B88" w:rsidRPr="00626EB7">
        <w:t xml:space="preserve">e mag het hopen. </w:t>
      </w:r>
    </w:p>
    <w:p w14:paraId="68AB37A8" w14:textId="77777777" w:rsidR="00EF09C9" w:rsidRPr="00DC6EE1" w:rsidRDefault="00EF09C9" w:rsidP="00A80264">
      <w:pPr>
        <w:pStyle w:val="Geenafstand"/>
        <w:jc w:val="both"/>
      </w:pPr>
    </w:p>
    <w:p w14:paraId="0B83143B" w14:textId="77777777" w:rsidR="001C2B88" w:rsidRPr="00A80264" w:rsidRDefault="001C2B88" w:rsidP="00A80264">
      <w:pPr>
        <w:pStyle w:val="Geenafstand"/>
        <w:jc w:val="both"/>
        <w:rPr>
          <w:i/>
        </w:rPr>
      </w:pPr>
      <w:r w:rsidRPr="00A80264">
        <w:rPr>
          <w:i/>
        </w:rPr>
        <w:t>Op welke ma</w:t>
      </w:r>
      <w:r w:rsidR="00A95758" w:rsidRPr="00A80264">
        <w:rPr>
          <w:i/>
        </w:rPr>
        <w:t xml:space="preserve">nieren kunnen uitspraken aan </w:t>
      </w:r>
      <w:r w:rsidR="003A01F9">
        <w:rPr>
          <w:i/>
        </w:rPr>
        <w:t xml:space="preserve">herstel </w:t>
      </w:r>
      <w:r w:rsidR="00A95758" w:rsidRPr="00A80264">
        <w:rPr>
          <w:i/>
        </w:rPr>
        <w:t>bijdragen?</w:t>
      </w:r>
      <w:r w:rsidR="00E724A2" w:rsidRPr="00A80264">
        <w:rPr>
          <w:i/>
        </w:rPr>
        <w:t xml:space="preserve"> </w:t>
      </w:r>
    </w:p>
    <w:p w14:paraId="3EABDA00" w14:textId="77777777" w:rsidR="00EF09C9" w:rsidRPr="00DC6EE1" w:rsidRDefault="00EF09C9" w:rsidP="00A80264">
      <w:pPr>
        <w:pStyle w:val="Geenafstand"/>
        <w:jc w:val="both"/>
        <w:rPr>
          <w:b/>
        </w:rPr>
      </w:pPr>
    </w:p>
    <w:p w14:paraId="61D6FF2D" w14:textId="3D2D3F8C" w:rsidR="001C2B88" w:rsidRDefault="002655A5" w:rsidP="00A80264">
      <w:pPr>
        <w:pStyle w:val="Geenafstand"/>
        <w:jc w:val="both"/>
      </w:pPr>
      <w:r>
        <w:t>Voorbeelden kun je zien rondom</w:t>
      </w:r>
      <w:r w:rsidR="001C2B88" w:rsidRPr="00626EB7">
        <w:t xml:space="preserve"> het conflict tu</w:t>
      </w:r>
      <w:r w:rsidR="00A95758" w:rsidRPr="00626EB7">
        <w:t>ssen Armenië en Azerbeidzjan</w:t>
      </w:r>
      <w:r w:rsidR="003E1450">
        <w:t xml:space="preserve"> over</w:t>
      </w:r>
      <w:r w:rsidR="00A95758" w:rsidRPr="00626EB7">
        <w:t xml:space="preserve"> </w:t>
      </w:r>
      <w:r w:rsidR="003E1450">
        <w:t xml:space="preserve">het </w:t>
      </w:r>
      <w:r w:rsidR="003E1450" w:rsidRPr="00626EB7">
        <w:t xml:space="preserve">betwist gebied </w:t>
      </w:r>
      <w:r w:rsidR="00A95758" w:rsidRPr="00626EB7">
        <w:t>Nag</w:t>
      </w:r>
      <w:r w:rsidR="001C2B88" w:rsidRPr="009B6DCF">
        <w:t>orno</w:t>
      </w:r>
      <w:r w:rsidR="003A01F9">
        <w:t>-</w:t>
      </w:r>
      <w:r w:rsidR="001C2B88" w:rsidRPr="00626EB7">
        <w:t xml:space="preserve">Karabach. </w:t>
      </w:r>
      <w:r>
        <w:t>Er zijn</w:t>
      </w:r>
      <w:r w:rsidRPr="00626EB7">
        <w:t xml:space="preserve"> </w:t>
      </w:r>
      <w:r w:rsidR="001C2B88" w:rsidRPr="00626EB7">
        <w:t>meer van die betwiste gebieden, Transnist</w:t>
      </w:r>
      <w:r w:rsidR="001C2B88" w:rsidRPr="009B6DCF">
        <w:t xml:space="preserve">rië bijvoorbeeld, tussen Moldavië en Rusland. </w:t>
      </w:r>
      <w:r>
        <w:t>Je ziet bij die conflicten bijvoorbeeld</w:t>
      </w:r>
      <w:r w:rsidR="001C2B88" w:rsidRPr="009B6DCF">
        <w:t xml:space="preserve"> klachten </w:t>
      </w:r>
      <w:r>
        <w:t>komen</w:t>
      </w:r>
      <w:r w:rsidRPr="009B6DCF">
        <w:t xml:space="preserve"> </w:t>
      </w:r>
      <w:r w:rsidR="001C2B88" w:rsidRPr="009B6DCF">
        <w:t xml:space="preserve">uit </w:t>
      </w:r>
      <w:r>
        <w:t xml:space="preserve">zowel </w:t>
      </w:r>
      <w:r w:rsidR="00A95758" w:rsidRPr="009B6DCF">
        <w:t>Azerbeidzjan</w:t>
      </w:r>
      <w:r w:rsidR="001C2B88" w:rsidRPr="009B6DCF">
        <w:t xml:space="preserve"> </w:t>
      </w:r>
      <w:r>
        <w:t>als</w:t>
      </w:r>
      <w:r w:rsidR="001C2B88" w:rsidRPr="009B6DCF">
        <w:t xml:space="preserve"> Armenië. Het </w:t>
      </w:r>
      <w:r w:rsidR="003A01F9">
        <w:t>H</w:t>
      </w:r>
      <w:r w:rsidR="003A01F9" w:rsidRPr="00626EB7">
        <w:t xml:space="preserve">of </w:t>
      </w:r>
      <w:r w:rsidR="001C2B88" w:rsidRPr="00626EB7">
        <w:t xml:space="preserve">heeft </w:t>
      </w:r>
      <w:r>
        <w:t xml:space="preserve">de </w:t>
      </w:r>
      <w:r w:rsidR="001C2B88" w:rsidRPr="009B6DCF">
        <w:t xml:space="preserve">klachten </w:t>
      </w:r>
      <w:r w:rsidR="003A01F9">
        <w:t xml:space="preserve">van beide kanten </w:t>
      </w:r>
      <w:r w:rsidR="001C2B88" w:rsidRPr="00626EB7">
        <w:t xml:space="preserve">behandeld en beide uitspraken die over dat grote conflict gaan </w:t>
      </w:r>
      <w:r w:rsidR="001C2B88" w:rsidRPr="009B6DCF">
        <w:t xml:space="preserve">zijn tegelijkertijd </w:t>
      </w:r>
      <w:r>
        <w:t>openbaar gemaakt</w:t>
      </w:r>
      <w:r w:rsidR="001C2B88" w:rsidRPr="00B01C64">
        <w:t>.</w:t>
      </w:r>
      <w:r w:rsidR="00FC4FB6">
        <w:rPr>
          <w:rStyle w:val="Voetnootmarkering"/>
        </w:rPr>
        <w:footnoteReference w:id="32"/>
      </w:r>
      <w:r w:rsidR="001C2B88" w:rsidRPr="00B01C64">
        <w:t xml:space="preserve"> </w:t>
      </w:r>
      <w:r>
        <w:t>D</w:t>
      </w:r>
      <w:r w:rsidR="003A01F9">
        <w:t>an</w:t>
      </w:r>
      <w:r w:rsidR="003A01F9" w:rsidRPr="00626EB7">
        <w:t xml:space="preserve"> </w:t>
      </w:r>
      <w:r w:rsidR="001C2B88" w:rsidRPr="00626EB7">
        <w:t>kun je beide perspectieven lezen</w:t>
      </w:r>
      <w:r>
        <w:t>;</w:t>
      </w:r>
      <w:r w:rsidR="001C2B88" w:rsidRPr="00626EB7">
        <w:t xml:space="preserve"> </w:t>
      </w:r>
      <w:r>
        <w:t>b</w:t>
      </w:r>
      <w:r w:rsidR="001C2B88" w:rsidRPr="00626EB7">
        <w:t xml:space="preserve">eide partijen krijgen op een bepaalde manier gelijk en ongelijk. Het bevorderen van </w:t>
      </w:r>
      <w:r>
        <w:t>het</w:t>
      </w:r>
      <w:r w:rsidRPr="00626EB7">
        <w:t xml:space="preserve"> </w:t>
      </w:r>
      <w:r w:rsidR="001C2B88" w:rsidRPr="00626EB7">
        <w:t>inzicht dat er twee perspectieven zijn en dat het niet alleen gaat om het grote conflict</w:t>
      </w:r>
      <w:r>
        <w:t>,</w:t>
      </w:r>
      <w:r w:rsidR="001C2B88" w:rsidRPr="00626EB7">
        <w:t xml:space="preserve"> maar </w:t>
      </w:r>
      <w:r w:rsidR="001C2B88" w:rsidRPr="009B6DCF">
        <w:t>ook om het perspectief van de individue</w:t>
      </w:r>
      <w:r w:rsidR="003A01F9">
        <w:t xml:space="preserve">n </w:t>
      </w:r>
      <w:r w:rsidR="001C2B88" w:rsidRPr="00626EB7">
        <w:t xml:space="preserve">die gevangen worden in het </w:t>
      </w:r>
      <w:r w:rsidR="001C2B88" w:rsidRPr="009B6DCF">
        <w:t xml:space="preserve">conflict, </w:t>
      </w:r>
      <w:r w:rsidR="003E1450" w:rsidRPr="009B6DCF">
        <w:t xml:space="preserve">kan </w:t>
      </w:r>
      <w:r w:rsidR="001C2B88" w:rsidRPr="009B6DCF">
        <w:t xml:space="preserve">bevorderlijk zijn voor het bereiken van </w:t>
      </w:r>
      <w:r w:rsidR="003E1450">
        <w:t>e</w:t>
      </w:r>
      <w:r w:rsidR="001C2B88" w:rsidRPr="009B6DCF">
        <w:t>e</w:t>
      </w:r>
      <w:r w:rsidR="003E1450">
        <w:t>n</w:t>
      </w:r>
      <w:r w:rsidR="001C2B88" w:rsidRPr="009B6DCF">
        <w:t xml:space="preserve"> oplossing. Dat </w:t>
      </w:r>
      <w:r>
        <w:t>beide kanten</w:t>
      </w:r>
      <w:r w:rsidR="00A95758" w:rsidRPr="00B01C64">
        <w:t xml:space="preserve"> kan worden gezien </w:t>
      </w:r>
      <w:r w:rsidR="00B7478F">
        <w:t>“</w:t>
      </w:r>
      <w:r w:rsidR="001B5F30">
        <w:t>h</w:t>
      </w:r>
      <w:r w:rsidR="001C2B88" w:rsidRPr="00626EB7">
        <w:t>et huis van die en die is verbrand</w:t>
      </w:r>
      <w:r w:rsidR="00B7478F">
        <w:t>”</w:t>
      </w:r>
      <w:r w:rsidR="001C2B88" w:rsidRPr="009B6DCF">
        <w:t xml:space="preserve">, </w:t>
      </w:r>
      <w:r w:rsidR="00B7478F">
        <w:t>“</w:t>
      </w:r>
      <w:r w:rsidR="001C2B88" w:rsidRPr="00B01C64">
        <w:t>die kon niet bij zijn bezittingen komen</w:t>
      </w:r>
      <w:r w:rsidR="00B7478F">
        <w:t>”</w:t>
      </w:r>
      <w:r w:rsidR="001C2B88" w:rsidRPr="000437DB">
        <w:t xml:space="preserve">, of </w:t>
      </w:r>
      <w:r w:rsidR="00B7478F">
        <w:t>“</w:t>
      </w:r>
      <w:r w:rsidR="001C2B88" w:rsidRPr="000437DB">
        <w:t xml:space="preserve">de gevolgen voor die mensen zijn even </w:t>
      </w:r>
      <w:r w:rsidR="001B5F30">
        <w:t xml:space="preserve">erg </w:t>
      </w:r>
      <w:r w:rsidR="001C2B88" w:rsidRPr="00626EB7">
        <w:t>als voor ons</w:t>
      </w:r>
      <w:r w:rsidR="00B7478F">
        <w:t>”</w:t>
      </w:r>
      <w:r>
        <w:t>,</w:t>
      </w:r>
      <w:r w:rsidR="001C2B88" w:rsidRPr="009B6DCF">
        <w:t xml:space="preserve"> </w:t>
      </w:r>
      <w:r>
        <w:t>d</w:t>
      </w:r>
      <w:r w:rsidR="001C2B88" w:rsidRPr="009B6DCF">
        <w:t>at kan werken. Maar het is niet het oplossen aan een grote conferentietafel van het grote conflict. Daar moet enige bescheidenheid in acht worden genomen</w:t>
      </w:r>
      <w:r>
        <w:t>,</w:t>
      </w:r>
      <w:r w:rsidR="001C2B88" w:rsidRPr="009B6DCF">
        <w:t xml:space="preserve"> denk ik. </w:t>
      </w:r>
    </w:p>
    <w:p w14:paraId="10083EA3" w14:textId="77777777" w:rsidR="00EF09C9" w:rsidRPr="00DC6EE1" w:rsidRDefault="00EF09C9" w:rsidP="00A80264">
      <w:pPr>
        <w:pStyle w:val="Geenafstand"/>
        <w:jc w:val="both"/>
      </w:pPr>
    </w:p>
    <w:p w14:paraId="2757AC2A" w14:textId="0BEBB468" w:rsidR="00EF09C9" w:rsidRDefault="007A5A6F" w:rsidP="00A80264">
      <w:pPr>
        <w:pStyle w:val="Geenafstand"/>
        <w:jc w:val="both"/>
      </w:pPr>
      <w:r w:rsidRPr="00A80264">
        <w:rPr>
          <w:rFonts w:cstheme="minorHAnsi"/>
          <w:i/>
        </w:rPr>
        <w:t>H</w:t>
      </w:r>
      <w:r w:rsidR="001F6DEA" w:rsidRPr="00A80264">
        <w:rPr>
          <w:rFonts w:cstheme="minorHAnsi"/>
          <w:i/>
        </w:rPr>
        <w:t xml:space="preserve">oe heeft u de rol van het </w:t>
      </w:r>
      <w:r w:rsidR="00872159" w:rsidRPr="00A80264">
        <w:rPr>
          <w:rFonts w:cstheme="minorHAnsi"/>
          <w:i/>
        </w:rPr>
        <w:t xml:space="preserve">Comité </w:t>
      </w:r>
      <w:r w:rsidR="001F6DEA" w:rsidRPr="00A80264">
        <w:rPr>
          <w:rFonts w:cstheme="minorHAnsi"/>
          <w:i/>
        </w:rPr>
        <w:t xml:space="preserve">van </w:t>
      </w:r>
      <w:r w:rsidR="00872159" w:rsidRPr="00A80264">
        <w:rPr>
          <w:rFonts w:cstheme="minorHAnsi"/>
          <w:i/>
        </w:rPr>
        <w:t xml:space="preserve">Ministers </w:t>
      </w:r>
      <w:r w:rsidRPr="00A80264">
        <w:rPr>
          <w:rFonts w:cstheme="minorHAnsi"/>
          <w:i/>
        </w:rPr>
        <w:t xml:space="preserve">meer in het algemeen </w:t>
      </w:r>
      <w:r w:rsidR="001F6DEA" w:rsidRPr="00A80264">
        <w:rPr>
          <w:rFonts w:cstheme="minorHAnsi"/>
          <w:i/>
        </w:rPr>
        <w:t xml:space="preserve">ervaren als het gaat om de tenuitvoerlegging van uitspraken? Gebeurt daar veel? </w:t>
      </w:r>
    </w:p>
    <w:p w14:paraId="69747C88" w14:textId="77777777" w:rsidR="00EF09C9" w:rsidRDefault="00EF09C9" w:rsidP="00A80264">
      <w:pPr>
        <w:pStyle w:val="Geenafstand"/>
        <w:jc w:val="both"/>
      </w:pPr>
    </w:p>
    <w:p w14:paraId="34DA4CDE" w14:textId="2A7444EF" w:rsidR="00EF09C9" w:rsidRDefault="001F6DEA" w:rsidP="00A80264">
      <w:pPr>
        <w:pStyle w:val="Geenafstand"/>
        <w:jc w:val="both"/>
      </w:pPr>
      <w:r w:rsidRPr="00DC6EE1">
        <w:lastRenderedPageBreak/>
        <w:t>Ik ben daar zelf natuurlijk niet bij betrokken. Dat gaat via de permanente vertegenwoo</w:t>
      </w:r>
      <w:r w:rsidR="00A95758" w:rsidRPr="00DC6EE1">
        <w:t>rdigers</w:t>
      </w:r>
      <w:r w:rsidRPr="00626EB7">
        <w:t xml:space="preserve">. Dat zijn de </w:t>
      </w:r>
      <w:r w:rsidR="00872159" w:rsidRPr="00A80264">
        <w:rPr>
          <w:i/>
        </w:rPr>
        <w:t xml:space="preserve">de </w:t>
      </w:r>
      <w:r w:rsidRPr="00A80264">
        <w:rPr>
          <w:i/>
        </w:rPr>
        <w:t>facto</w:t>
      </w:r>
      <w:r w:rsidRPr="00EF09C9">
        <w:t xml:space="preserve"> ambassadeurs van de landen die daar </w:t>
      </w:r>
      <w:r w:rsidR="00872159" w:rsidRPr="00DC6EE1">
        <w:t xml:space="preserve">namens </w:t>
      </w:r>
      <w:r w:rsidRPr="00626EB7">
        <w:t xml:space="preserve">de ministers vergaderen, en zij worden natuurlijk weer door de specialisten op het gebied van mensenrechten </w:t>
      </w:r>
      <w:r w:rsidR="00872159" w:rsidRPr="00B01C64">
        <w:t>geholpen</w:t>
      </w:r>
      <w:r w:rsidRPr="00B01C64">
        <w:t xml:space="preserve">. </w:t>
      </w:r>
      <w:r w:rsidR="007A5A6F" w:rsidRPr="000437DB">
        <w:t xml:space="preserve">Ik </w:t>
      </w:r>
      <w:r w:rsidRPr="000437DB">
        <w:t>zie wel de publicaties</w:t>
      </w:r>
      <w:r w:rsidR="00E14F0E">
        <w:t>,</w:t>
      </w:r>
      <w:r w:rsidRPr="000437DB">
        <w:t xml:space="preserve"> die ook </w:t>
      </w:r>
      <w:r w:rsidR="002655A5">
        <w:t>via</w:t>
      </w:r>
      <w:r w:rsidR="002655A5" w:rsidRPr="000437DB">
        <w:t xml:space="preserve"> </w:t>
      </w:r>
      <w:r w:rsidRPr="000437DB">
        <w:t xml:space="preserve">HUDOC te vinden zijn, </w:t>
      </w:r>
      <w:r w:rsidR="002655A5">
        <w:t>die laten zien wat</w:t>
      </w:r>
      <w:r w:rsidRPr="000437DB">
        <w:t xml:space="preserve"> </w:t>
      </w:r>
      <w:r w:rsidR="002655A5">
        <w:t xml:space="preserve">er </w:t>
      </w:r>
      <w:r w:rsidRPr="000437DB">
        <w:t xml:space="preserve">gebeurt met de arresten. </w:t>
      </w:r>
      <w:r w:rsidR="002655A5">
        <w:t>D</w:t>
      </w:r>
      <w:r w:rsidRPr="000437DB">
        <w:t xml:space="preserve">an zie je ook dat het soms wel heel erg lang duurt voordat een zaak wordt afgerond. </w:t>
      </w:r>
      <w:r w:rsidR="002655A5">
        <w:t>I</w:t>
      </w:r>
      <w:r w:rsidRPr="000437DB">
        <w:t xml:space="preserve">k denk wel dat </w:t>
      </w:r>
      <w:r w:rsidR="00872159" w:rsidRPr="000437DB">
        <w:t xml:space="preserve">het Comité </w:t>
      </w:r>
      <w:r w:rsidRPr="000437DB">
        <w:t xml:space="preserve">een belangrijk instrument is, ook om te </w:t>
      </w:r>
      <w:r w:rsidR="00872159" w:rsidRPr="000437DB">
        <w:t xml:space="preserve">laten </w:t>
      </w:r>
      <w:r w:rsidRPr="000437DB">
        <w:t xml:space="preserve">zien dat het niet alleen maar de </w:t>
      </w:r>
      <w:r w:rsidR="002655A5">
        <w:t>‘</w:t>
      </w:r>
      <w:r w:rsidRPr="000437DB">
        <w:t>jonge</w:t>
      </w:r>
      <w:r w:rsidR="002655A5">
        <w:t>’</w:t>
      </w:r>
      <w:r w:rsidRPr="000437DB">
        <w:t xml:space="preserve"> </w:t>
      </w:r>
      <w:r w:rsidR="002655A5">
        <w:t>verdrag</w:t>
      </w:r>
      <w:r w:rsidRPr="000437DB">
        <w:t xml:space="preserve">staten zijn waar de problemen </w:t>
      </w:r>
      <w:r w:rsidR="00872159" w:rsidRPr="000437DB">
        <w:t>zitten</w:t>
      </w:r>
      <w:r w:rsidRPr="000437DB">
        <w:t xml:space="preserve">. Ik denk dat het belangrijk is voor de communicatie naar de hoofdsteden van de landen </w:t>
      </w:r>
      <w:r w:rsidR="002655A5">
        <w:t xml:space="preserve">om te zien </w:t>
      </w:r>
      <w:r w:rsidRPr="000437DB">
        <w:t xml:space="preserve">hoe </w:t>
      </w:r>
      <w:r w:rsidR="002655A5">
        <w:t>men</w:t>
      </w:r>
      <w:r w:rsidR="002655A5" w:rsidRPr="000437DB">
        <w:t xml:space="preserve"> </w:t>
      </w:r>
      <w:r w:rsidRPr="000437DB">
        <w:t>in Straatsburg verder werk</w:t>
      </w:r>
      <w:r w:rsidR="002655A5">
        <w:t>t</w:t>
      </w:r>
      <w:r w:rsidRPr="000437DB">
        <w:t xml:space="preserve"> met die rechtspraak om wel degelijk te bevorderen dat er conformiteit</w:t>
      </w:r>
      <w:r w:rsidR="007A5A6F" w:rsidRPr="000437DB">
        <w:t xml:space="preserve"> met</w:t>
      </w:r>
      <w:r w:rsidRPr="000437DB">
        <w:t xml:space="preserve"> d</w:t>
      </w:r>
      <w:r w:rsidR="007A5A6F" w:rsidRPr="000437DB">
        <w:t xml:space="preserve">e </w:t>
      </w:r>
      <w:r w:rsidRPr="000437DB">
        <w:t xml:space="preserve">uitspraken ontstaat. En niet blind, want het </w:t>
      </w:r>
      <w:r w:rsidR="00A95758" w:rsidRPr="000437DB">
        <w:t xml:space="preserve">Comité van Ministers heeft wel degelijk </w:t>
      </w:r>
      <w:r w:rsidRPr="000437DB">
        <w:t xml:space="preserve">begrip voor allerlei praktische uitvoeringsproblemen bij de executie. Dus ik denk dat het systeem goed werkt. Maar écht heel veel zicht erop heb ik niet, die rol heb je </w:t>
      </w:r>
      <w:r w:rsidR="002655A5">
        <w:t xml:space="preserve">ook </w:t>
      </w:r>
      <w:r w:rsidRPr="000437DB">
        <w:t>niet</w:t>
      </w:r>
      <w:r w:rsidR="00872159" w:rsidRPr="000437DB">
        <w:t xml:space="preserve"> als rechter</w:t>
      </w:r>
      <w:r w:rsidRPr="000437DB">
        <w:t xml:space="preserve">. </w:t>
      </w:r>
      <w:r w:rsidR="002655A5">
        <w:t>I</w:t>
      </w:r>
      <w:r w:rsidRPr="000437DB">
        <w:t xml:space="preserve">k lees natuurlijk </w:t>
      </w:r>
      <w:r w:rsidR="002655A5">
        <w:t>wel de</w:t>
      </w:r>
      <w:r w:rsidR="002655A5" w:rsidRPr="000437DB">
        <w:t xml:space="preserve"> </w:t>
      </w:r>
      <w:r w:rsidRPr="000437DB">
        <w:t xml:space="preserve">uitspraken en </w:t>
      </w:r>
      <w:r w:rsidR="002655A5">
        <w:t xml:space="preserve">ik </w:t>
      </w:r>
      <w:r w:rsidRPr="000437DB">
        <w:t>krijg het jaarverslag</w:t>
      </w:r>
      <w:r w:rsidR="002655A5">
        <w:t>,</w:t>
      </w:r>
      <w:r w:rsidRPr="000437DB">
        <w:t xml:space="preserve"> waarin je veel kunt vinden.</w:t>
      </w:r>
      <w:r w:rsidR="00872159" w:rsidRPr="00EF09C9">
        <w:rPr>
          <w:rStyle w:val="Voetnootmarkering"/>
          <w:rFonts w:cstheme="minorHAnsi"/>
        </w:rPr>
        <w:footnoteReference w:id="33"/>
      </w:r>
      <w:r w:rsidRPr="00EF09C9">
        <w:t xml:space="preserve"> </w:t>
      </w:r>
    </w:p>
    <w:p w14:paraId="35C3A3DC" w14:textId="77777777" w:rsidR="001F6DEA" w:rsidRPr="00EF09C9" w:rsidRDefault="001F6DEA" w:rsidP="00A80264">
      <w:pPr>
        <w:pStyle w:val="Geenafstand"/>
        <w:jc w:val="both"/>
      </w:pPr>
    </w:p>
    <w:p w14:paraId="2D720624" w14:textId="77777777" w:rsidR="00382844" w:rsidRPr="00A80264" w:rsidRDefault="009556D4" w:rsidP="00A80264">
      <w:pPr>
        <w:pStyle w:val="Geenafstand"/>
        <w:jc w:val="both"/>
        <w:rPr>
          <w:b/>
        </w:rPr>
      </w:pPr>
      <w:r>
        <w:rPr>
          <w:b/>
        </w:rPr>
        <w:t xml:space="preserve">Het Hof en efficiency </w:t>
      </w:r>
    </w:p>
    <w:p w14:paraId="0A62570B" w14:textId="77777777" w:rsidR="00EF09C9" w:rsidRPr="00A80264" w:rsidRDefault="00EF09C9" w:rsidP="00A80264">
      <w:pPr>
        <w:pStyle w:val="Geenafstand"/>
        <w:jc w:val="both"/>
      </w:pPr>
    </w:p>
    <w:p w14:paraId="79B1EACE" w14:textId="4BF41033" w:rsidR="003356B2" w:rsidRPr="00A80264" w:rsidRDefault="001F6DEA" w:rsidP="00A80264">
      <w:pPr>
        <w:pStyle w:val="Geenafstand"/>
        <w:jc w:val="both"/>
        <w:rPr>
          <w:i/>
        </w:rPr>
      </w:pPr>
      <w:r w:rsidRPr="00A80264">
        <w:rPr>
          <w:i/>
        </w:rPr>
        <w:t xml:space="preserve">We </w:t>
      </w:r>
      <w:r w:rsidR="001B5F30">
        <w:rPr>
          <w:i/>
        </w:rPr>
        <w:t>willen u</w:t>
      </w:r>
      <w:r w:rsidR="001B5F30" w:rsidRPr="00A80264">
        <w:rPr>
          <w:i/>
        </w:rPr>
        <w:t xml:space="preserve"> </w:t>
      </w:r>
      <w:r w:rsidRPr="00A80264">
        <w:rPr>
          <w:i/>
        </w:rPr>
        <w:t>ook naar aanleiding van uw installatierede wat vragen stellen</w:t>
      </w:r>
      <w:r w:rsidR="001B5F30">
        <w:rPr>
          <w:i/>
        </w:rPr>
        <w:t xml:space="preserve">. In uw rede </w:t>
      </w:r>
      <w:r w:rsidR="003A1AEF">
        <w:rPr>
          <w:i/>
        </w:rPr>
        <w:t xml:space="preserve">sprak </w:t>
      </w:r>
      <w:r w:rsidR="001B5F30">
        <w:rPr>
          <w:i/>
        </w:rPr>
        <w:t>u</w:t>
      </w:r>
      <w:r w:rsidRPr="00A80264">
        <w:rPr>
          <w:i/>
        </w:rPr>
        <w:t xml:space="preserve"> </w:t>
      </w:r>
      <w:r w:rsidR="003A1AEF">
        <w:rPr>
          <w:i/>
        </w:rPr>
        <w:t xml:space="preserve">ook </w:t>
      </w:r>
      <w:r w:rsidRPr="00A80264">
        <w:rPr>
          <w:i/>
        </w:rPr>
        <w:t>over efficiency. U zei</w:t>
      </w:r>
      <w:r w:rsidR="003356B2" w:rsidRPr="00A80264">
        <w:rPr>
          <w:i/>
        </w:rPr>
        <w:t>:</w:t>
      </w:r>
      <w:r w:rsidRPr="00A80264">
        <w:rPr>
          <w:i/>
        </w:rPr>
        <w:t xml:space="preserve"> </w:t>
      </w:r>
      <w:r w:rsidR="001B5F30">
        <w:rPr>
          <w:i/>
        </w:rPr>
        <w:t>“E</w:t>
      </w:r>
      <w:r w:rsidRPr="00A80264">
        <w:rPr>
          <w:i/>
        </w:rPr>
        <w:t>fficiency in de rechtspleging is noodzakelijk</w:t>
      </w:r>
      <w:r w:rsidR="003356B2" w:rsidRPr="00A80264">
        <w:rPr>
          <w:i/>
        </w:rPr>
        <w:t>, maar de toegang tot het recht</w:t>
      </w:r>
      <w:r w:rsidRPr="00A80264">
        <w:rPr>
          <w:i/>
        </w:rPr>
        <w:t xml:space="preserve"> mag niet worden weggecijferd</w:t>
      </w:r>
      <w:r w:rsidR="001B5F30">
        <w:rPr>
          <w:i/>
        </w:rPr>
        <w:t>.”</w:t>
      </w:r>
      <w:r w:rsidR="001B5F30">
        <w:rPr>
          <w:rStyle w:val="Voetnootmarkering"/>
          <w:i/>
        </w:rPr>
        <w:footnoteReference w:id="34"/>
      </w:r>
      <w:r w:rsidRPr="00A80264">
        <w:rPr>
          <w:i/>
        </w:rPr>
        <w:t xml:space="preserve"> Om daar even op door te gaan:</w:t>
      </w:r>
      <w:r w:rsidR="00A95758" w:rsidRPr="00A80264">
        <w:rPr>
          <w:i/>
        </w:rPr>
        <w:t xml:space="preserve"> </w:t>
      </w:r>
      <w:r w:rsidR="003A1AEF">
        <w:rPr>
          <w:i/>
        </w:rPr>
        <w:t xml:space="preserve">de aangepaste </w:t>
      </w:r>
      <w:r w:rsidR="003356B2" w:rsidRPr="00A80264">
        <w:rPr>
          <w:i/>
        </w:rPr>
        <w:t>regel 47</w:t>
      </w:r>
      <w:r w:rsidR="003A1AEF">
        <w:rPr>
          <w:i/>
        </w:rPr>
        <w:t xml:space="preserve"> van het Reglement van het Hof</w:t>
      </w:r>
      <w:r w:rsidR="001B5F30">
        <w:rPr>
          <w:i/>
        </w:rPr>
        <w:t xml:space="preserve">, </w:t>
      </w:r>
      <w:r w:rsidR="003A1AEF">
        <w:rPr>
          <w:i/>
        </w:rPr>
        <w:t xml:space="preserve">met de strengere regels voor </w:t>
      </w:r>
      <w:r w:rsidR="001B5F30">
        <w:rPr>
          <w:i/>
        </w:rPr>
        <w:t>het indienen van verzoekschriften</w:t>
      </w:r>
      <w:r w:rsidR="003A1AEF">
        <w:rPr>
          <w:i/>
        </w:rPr>
        <w:t>,</w:t>
      </w:r>
      <w:r w:rsidR="001B5F30">
        <w:rPr>
          <w:i/>
        </w:rPr>
        <w:t xml:space="preserve"> </w:t>
      </w:r>
      <w:r w:rsidR="003356B2" w:rsidRPr="00A80264">
        <w:rPr>
          <w:i/>
        </w:rPr>
        <w:t>is nu al een tijdje in werking.</w:t>
      </w:r>
      <w:r w:rsidR="001B5F30">
        <w:rPr>
          <w:rStyle w:val="Voetnootmarkering"/>
          <w:i/>
        </w:rPr>
        <w:footnoteReference w:id="35"/>
      </w:r>
      <w:r w:rsidR="003356B2" w:rsidRPr="00A80264">
        <w:rPr>
          <w:i/>
        </w:rPr>
        <w:t xml:space="preserve"> In 2014 voldeed 23% van alle verzoekschriften niet aan d</w:t>
      </w:r>
      <w:r w:rsidR="001B5F30">
        <w:rPr>
          <w:i/>
        </w:rPr>
        <w:t>ie</w:t>
      </w:r>
      <w:r w:rsidR="003356B2" w:rsidRPr="00A80264">
        <w:rPr>
          <w:i/>
        </w:rPr>
        <w:t xml:space="preserve"> regel</w:t>
      </w:r>
      <w:r w:rsidR="001B5F30">
        <w:rPr>
          <w:i/>
        </w:rPr>
        <w:t>.</w:t>
      </w:r>
      <w:r w:rsidR="001B5F30">
        <w:rPr>
          <w:rStyle w:val="Voetnootmarkering"/>
          <w:i/>
        </w:rPr>
        <w:footnoteReference w:id="36"/>
      </w:r>
      <w:r w:rsidR="003356B2" w:rsidRPr="00A80264">
        <w:rPr>
          <w:i/>
        </w:rPr>
        <w:t xml:space="preserve"> </w:t>
      </w:r>
      <w:r w:rsidR="001B5F30">
        <w:rPr>
          <w:i/>
        </w:rPr>
        <w:t>D</w:t>
      </w:r>
      <w:r w:rsidR="00A95758" w:rsidRPr="00A80264">
        <w:rPr>
          <w:i/>
        </w:rPr>
        <w:t xml:space="preserve">it </w:t>
      </w:r>
      <w:r w:rsidR="003356B2" w:rsidRPr="00A80264">
        <w:rPr>
          <w:i/>
        </w:rPr>
        <w:t xml:space="preserve">betekende eigenlijk dat </w:t>
      </w:r>
      <w:r w:rsidR="001B5F30">
        <w:rPr>
          <w:i/>
        </w:rPr>
        <w:t>deze verzoekschriften</w:t>
      </w:r>
      <w:r w:rsidR="001B5F30" w:rsidRPr="00A80264">
        <w:rPr>
          <w:i/>
        </w:rPr>
        <w:t xml:space="preserve"> </w:t>
      </w:r>
      <w:r w:rsidR="003356B2" w:rsidRPr="00A80264">
        <w:rPr>
          <w:i/>
        </w:rPr>
        <w:t>uit het systeem werden gefilterd</w:t>
      </w:r>
      <w:r w:rsidR="001B5F30">
        <w:rPr>
          <w:i/>
        </w:rPr>
        <w:t>,</w:t>
      </w:r>
      <w:r w:rsidR="003356B2" w:rsidRPr="00A80264">
        <w:rPr>
          <w:i/>
        </w:rPr>
        <w:t xml:space="preserve"> nog voordat</w:t>
      </w:r>
      <w:r w:rsidR="001B5F30">
        <w:rPr>
          <w:i/>
        </w:rPr>
        <w:t xml:space="preserve"> er</w:t>
      </w:r>
      <w:r w:rsidR="003356B2" w:rsidRPr="00A80264">
        <w:rPr>
          <w:i/>
        </w:rPr>
        <w:t xml:space="preserve"> een rechter aan </w:t>
      </w:r>
      <w:r w:rsidR="001B5F30">
        <w:rPr>
          <w:i/>
        </w:rPr>
        <w:t xml:space="preserve">te pas </w:t>
      </w:r>
      <w:r w:rsidR="003356B2" w:rsidRPr="00A80264">
        <w:rPr>
          <w:i/>
        </w:rPr>
        <w:t>kon komen. Naar aanleiding van dat cijfer vroeg</w:t>
      </w:r>
      <w:r w:rsidR="001B5F30">
        <w:rPr>
          <w:i/>
        </w:rPr>
        <w:t>en wij ons</w:t>
      </w:r>
      <w:r w:rsidR="003356B2" w:rsidRPr="00A80264">
        <w:rPr>
          <w:i/>
        </w:rPr>
        <w:t xml:space="preserve"> af hoe het </w:t>
      </w:r>
      <w:r w:rsidR="001B5F30">
        <w:rPr>
          <w:i/>
        </w:rPr>
        <w:t>Hof</w:t>
      </w:r>
      <w:r w:rsidR="001B5F30" w:rsidRPr="00A80264">
        <w:rPr>
          <w:i/>
        </w:rPr>
        <w:t xml:space="preserve"> </w:t>
      </w:r>
      <w:r w:rsidR="003356B2" w:rsidRPr="00A80264">
        <w:rPr>
          <w:i/>
        </w:rPr>
        <w:t>voorkomt dat het</w:t>
      </w:r>
      <w:r w:rsidR="001B5F30">
        <w:rPr>
          <w:i/>
        </w:rPr>
        <w:t>,</w:t>
      </w:r>
      <w:r w:rsidR="003356B2" w:rsidRPr="00A80264">
        <w:rPr>
          <w:i/>
        </w:rPr>
        <w:t xml:space="preserve"> zoals het </w:t>
      </w:r>
      <w:r w:rsidR="001B5F30">
        <w:rPr>
          <w:i/>
        </w:rPr>
        <w:t xml:space="preserve">dat </w:t>
      </w:r>
      <w:r w:rsidR="003356B2" w:rsidRPr="00A80264">
        <w:rPr>
          <w:i/>
        </w:rPr>
        <w:t>zelf noemt</w:t>
      </w:r>
      <w:r w:rsidR="001B5F30">
        <w:rPr>
          <w:i/>
        </w:rPr>
        <w:t xml:space="preserve">, </w:t>
      </w:r>
      <w:r w:rsidR="003A1AEF">
        <w:rPr>
          <w:i/>
        </w:rPr>
        <w:t>‘</w:t>
      </w:r>
      <w:r w:rsidR="003356B2" w:rsidRPr="00A80264">
        <w:rPr>
          <w:i/>
        </w:rPr>
        <w:t>unduly formalistic</w:t>
      </w:r>
      <w:r w:rsidR="003A1AEF">
        <w:rPr>
          <w:i/>
        </w:rPr>
        <w:t>’</w:t>
      </w:r>
      <w:r w:rsidR="003356B2" w:rsidRPr="00A80264">
        <w:rPr>
          <w:i/>
        </w:rPr>
        <w:t xml:space="preserve"> is en het recht op toegang </w:t>
      </w:r>
      <w:r w:rsidR="001B5F30">
        <w:rPr>
          <w:i/>
        </w:rPr>
        <w:t>tot</w:t>
      </w:r>
      <w:r w:rsidR="001B5F30" w:rsidRPr="00A80264">
        <w:rPr>
          <w:i/>
        </w:rPr>
        <w:t xml:space="preserve"> </w:t>
      </w:r>
      <w:r w:rsidR="003356B2" w:rsidRPr="00A80264">
        <w:rPr>
          <w:i/>
        </w:rPr>
        <w:t>de rechter te vergaand beperkt</w:t>
      </w:r>
      <w:r w:rsidR="001B5F30">
        <w:rPr>
          <w:i/>
        </w:rPr>
        <w:t xml:space="preserve">. </w:t>
      </w:r>
    </w:p>
    <w:p w14:paraId="3989C850" w14:textId="77777777" w:rsidR="00EF09C9" w:rsidRPr="00DC6EE1" w:rsidRDefault="00EF09C9" w:rsidP="00A80264">
      <w:pPr>
        <w:pStyle w:val="Geenafstand"/>
        <w:jc w:val="both"/>
      </w:pPr>
    </w:p>
    <w:p w14:paraId="75D6790E" w14:textId="3528628D" w:rsidR="003356B2" w:rsidRDefault="003356B2" w:rsidP="00A80264">
      <w:pPr>
        <w:pStyle w:val="Geenafstand"/>
        <w:jc w:val="both"/>
      </w:pPr>
      <w:r w:rsidRPr="00626EB7">
        <w:t>Regel 4</w:t>
      </w:r>
      <w:r w:rsidR="00A95758" w:rsidRPr="00626EB7">
        <w:t xml:space="preserve">7, een onderdeel van de </w:t>
      </w:r>
      <w:r w:rsidR="00A95758" w:rsidRPr="00A80264">
        <w:rPr>
          <w:i/>
        </w:rPr>
        <w:t>Rules of C</w:t>
      </w:r>
      <w:r w:rsidRPr="00A80264">
        <w:rPr>
          <w:i/>
        </w:rPr>
        <w:t>ourt</w:t>
      </w:r>
      <w:r w:rsidRPr="00626EB7">
        <w:t xml:space="preserve">, is </w:t>
      </w:r>
      <w:r w:rsidR="001B5F30">
        <w:t>aange</w:t>
      </w:r>
      <w:r w:rsidRPr="00626EB7">
        <w:t>scherpt</w:t>
      </w:r>
      <w:r w:rsidRPr="009B6DCF">
        <w:t xml:space="preserve"> nadat het </w:t>
      </w:r>
      <w:r w:rsidR="001B5F30">
        <w:t>H</w:t>
      </w:r>
      <w:r w:rsidR="001B5F30" w:rsidRPr="00626EB7">
        <w:t xml:space="preserve">of </w:t>
      </w:r>
      <w:r w:rsidRPr="009B6DCF">
        <w:t xml:space="preserve">overspoeld was met heel veel klachten. </w:t>
      </w:r>
      <w:r w:rsidR="003A1AEF">
        <w:t>E</w:t>
      </w:r>
      <w:r w:rsidRPr="009B6DCF">
        <w:t>en goede klachtbehandeling is gebaat bij de helderheid van de klacht</w:t>
      </w:r>
      <w:r w:rsidR="00E92655">
        <w:t xml:space="preserve"> en </w:t>
      </w:r>
      <w:r w:rsidRPr="00B01C64">
        <w:t xml:space="preserve">de status van de klager. Dus </w:t>
      </w:r>
      <w:r w:rsidR="001B5F30">
        <w:t>éé</w:t>
      </w:r>
      <w:r w:rsidR="001B5F30" w:rsidRPr="00626EB7">
        <w:t xml:space="preserve">n </w:t>
      </w:r>
      <w:r w:rsidRPr="00626EB7">
        <w:t>van de oplo</w:t>
      </w:r>
      <w:r w:rsidR="00A95758" w:rsidRPr="009B6DCF">
        <w:t>s</w:t>
      </w:r>
      <w:r w:rsidRPr="009B6DCF">
        <w:t xml:space="preserve">singen voor het goed en </w:t>
      </w:r>
      <w:r w:rsidR="00A95758" w:rsidRPr="00B01C64">
        <w:t>efficiënt</w:t>
      </w:r>
      <w:r w:rsidRPr="00B01C64">
        <w:t xml:space="preserve"> kunnen behandelen van alle binnenkomende klachten, </w:t>
      </w:r>
      <w:r w:rsidRPr="000437DB">
        <w:t xml:space="preserve">is </w:t>
      </w:r>
      <w:r w:rsidR="00A95758" w:rsidRPr="000437DB">
        <w:t xml:space="preserve">hogere eisen </w:t>
      </w:r>
      <w:r w:rsidR="001B5F30">
        <w:t>s</w:t>
      </w:r>
      <w:r w:rsidR="00A95758" w:rsidRPr="00626EB7">
        <w:t>tel</w:t>
      </w:r>
      <w:r w:rsidR="001B5F30">
        <w:t>len</w:t>
      </w:r>
      <w:r w:rsidRPr="009B6DCF">
        <w:t xml:space="preserve"> aan </w:t>
      </w:r>
      <w:r w:rsidR="003A1AEF">
        <w:t>de manier waarop</w:t>
      </w:r>
      <w:r w:rsidR="003A1AEF" w:rsidRPr="009B6DCF">
        <w:t xml:space="preserve"> </w:t>
      </w:r>
      <w:r w:rsidRPr="009B6DCF">
        <w:t>de klachten binnen</w:t>
      </w:r>
      <w:r w:rsidR="001B5F30">
        <w:t>komen, in een vroeg stadium</w:t>
      </w:r>
      <w:r w:rsidRPr="00626EB7">
        <w:t xml:space="preserve">. </w:t>
      </w:r>
      <w:r w:rsidR="003A1AEF">
        <w:t>Daardoor kun</w:t>
      </w:r>
      <w:r w:rsidR="003A1AEF" w:rsidRPr="00626EB7">
        <w:t xml:space="preserve"> </w:t>
      </w:r>
      <w:r w:rsidRPr="00626EB7">
        <w:t xml:space="preserve">je </w:t>
      </w:r>
      <w:r w:rsidR="003A1AEF">
        <w:t xml:space="preserve">ze </w:t>
      </w:r>
      <w:r w:rsidRPr="00626EB7">
        <w:t xml:space="preserve">snel beoordelen: is </w:t>
      </w:r>
      <w:r w:rsidR="003A1AEF">
        <w:t xml:space="preserve">er </w:t>
      </w:r>
      <w:r w:rsidRPr="00626EB7">
        <w:t xml:space="preserve">een machtiging, </w:t>
      </w:r>
      <w:r w:rsidRPr="009B6DCF">
        <w:t xml:space="preserve">gaat </w:t>
      </w:r>
      <w:r w:rsidR="001B5F30">
        <w:t xml:space="preserve">het </w:t>
      </w:r>
      <w:r w:rsidRPr="00626EB7">
        <w:t>over zaken die beschermenswaardig zijn binnen het EVRM</w:t>
      </w:r>
      <w:r w:rsidR="00A95758" w:rsidRPr="00626EB7">
        <w:t>,</w:t>
      </w:r>
      <w:r w:rsidRPr="009B6DCF">
        <w:t xml:space="preserve"> enzovoort. Ja, dat is een hogere drempel voor </w:t>
      </w:r>
      <w:r w:rsidR="000677E7">
        <w:t>accepteren van een klacht</w:t>
      </w:r>
      <w:r w:rsidR="00A95758" w:rsidRPr="00626EB7">
        <w:t>. Maar nie</w:t>
      </w:r>
      <w:r w:rsidRPr="00626EB7">
        <w:t xml:space="preserve">ttemin is daarvoor gekozen. Want wat </w:t>
      </w:r>
      <w:r w:rsidRPr="009B6DCF">
        <w:t>was de situatie in 2012</w:t>
      </w:r>
      <w:r w:rsidR="000677E7">
        <w:t xml:space="preserve">? </w:t>
      </w:r>
      <w:r w:rsidRPr="00626EB7">
        <w:t xml:space="preserve">160.000 zaken lagen </w:t>
      </w:r>
      <w:r w:rsidRPr="009B6DCF">
        <w:t>te wachten op behandeling. Je kunt naga</w:t>
      </w:r>
      <w:r w:rsidR="00A95758" w:rsidRPr="009B6DCF">
        <w:t xml:space="preserve">an: het </w:t>
      </w:r>
      <w:r w:rsidR="000677E7">
        <w:t>H</w:t>
      </w:r>
      <w:r w:rsidR="00A95758" w:rsidRPr="00626EB7">
        <w:t xml:space="preserve">of </w:t>
      </w:r>
      <w:r w:rsidR="000677E7">
        <w:t>wijst</w:t>
      </w:r>
      <w:r w:rsidR="000677E7" w:rsidRPr="00626EB7">
        <w:t xml:space="preserve"> </w:t>
      </w:r>
      <w:r w:rsidR="00A95758" w:rsidRPr="00626EB7">
        <w:t>ongeveer 1</w:t>
      </w:r>
      <w:r w:rsidR="000677E7">
        <w:t>.</w:t>
      </w:r>
      <w:r w:rsidR="00A95758" w:rsidRPr="00626EB7">
        <w:t>600</w:t>
      </w:r>
      <w:r w:rsidR="000677E7">
        <w:t>-</w:t>
      </w:r>
      <w:r w:rsidRPr="00626EB7">
        <w:t>1</w:t>
      </w:r>
      <w:r w:rsidR="000677E7">
        <w:t>.</w:t>
      </w:r>
      <w:r w:rsidRPr="00626EB7">
        <w:t>700 arresten op jaarbasis</w:t>
      </w:r>
      <w:r w:rsidR="003A1AEF">
        <w:t>,</w:t>
      </w:r>
      <w:r w:rsidRPr="00626EB7">
        <w:t xml:space="preserve"> </w:t>
      </w:r>
      <w:r w:rsidR="003A1AEF">
        <w:t>d</w:t>
      </w:r>
      <w:r w:rsidRPr="00626EB7">
        <w:t xml:space="preserve">e </w:t>
      </w:r>
      <w:r w:rsidR="000677E7">
        <w:t>G</w:t>
      </w:r>
      <w:r w:rsidR="000677E7" w:rsidRPr="00626EB7">
        <w:t xml:space="preserve">rote </w:t>
      </w:r>
      <w:r w:rsidR="000677E7">
        <w:t>K</w:t>
      </w:r>
      <w:r w:rsidR="000677E7" w:rsidRPr="00626EB7">
        <w:t xml:space="preserve">amer </w:t>
      </w:r>
      <w:r w:rsidRPr="00626EB7">
        <w:t>maxim</w:t>
      </w:r>
      <w:r w:rsidR="00A95758" w:rsidRPr="009B6DCF">
        <w:t>a</w:t>
      </w:r>
      <w:r w:rsidRPr="009B6DCF">
        <w:t xml:space="preserve">al 20. En dan zijn er nog een paar duizend </w:t>
      </w:r>
      <w:r w:rsidR="003A1AEF">
        <w:t>ontvankelijkheids</w:t>
      </w:r>
      <w:r w:rsidRPr="009B6DCF">
        <w:t>beslissingen. Dat was zo</w:t>
      </w:r>
      <w:r w:rsidR="003A1AEF">
        <w:t>’n</w:t>
      </w:r>
      <w:r w:rsidR="000677E7">
        <w:t xml:space="preserve"> </w:t>
      </w:r>
      <w:r w:rsidRPr="00626EB7">
        <w:t>beetje de</w:t>
      </w:r>
      <w:r w:rsidRPr="009B6DCF">
        <w:t xml:space="preserve"> situatie. Daa</w:t>
      </w:r>
      <w:r w:rsidR="00A95758" w:rsidRPr="009B6DCF">
        <w:t>rmee los je een instroom van 80.000</w:t>
      </w:r>
      <w:r w:rsidRPr="00B01C64">
        <w:t xml:space="preserve"> zaken en 160.000 zaken op de plank niet mee op. Dus </w:t>
      </w:r>
      <w:r w:rsidRPr="00A80264">
        <w:rPr>
          <w:i/>
        </w:rPr>
        <w:t>de facto</w:t>
      </w:r>
      <w:r w:rsidRPr="00626EB7">
        <w:t xml:space="preserve"> was er onbelemmerde toegang tot het </w:t>
      </w:r>
      <w:r w:rsidR="00A95758" w:rsidRPr="009B6DCF">
        <w:t>H</w:t>
      </w:r>
      <w:r w:rsidRPr="009B6DCF">
        <w:t>of, maar feitelijk konden de meeste mensen nag</w:t>
      </w:r>
      <w:r w:rsidR="00A95758" w:rsidRPr="00B01C64">
        <w:t>a</w:t>
      </w:r>
      <w:r w:rsidRPr="00B01C64">
        <w:t>an dat zij niet aan bod zouden komen. Tegen die achtergrond zijn er</w:t>
      </w:r>
      <w:r w:rsidRPr="000437DB">
        <w:t xml:space="preserve"> oplossingen gevonden. Je kunt Straatsburg veel groter maken, meer re</w:t>
      </w:r>
      <w:r w:rsidR="00A95758" w:rsidRPr="000437DB">
        <w:t xml:space="preserve">chters, enzovoorts. </w:t>
      </w:r>
      <w:r w:rsidRPr="000437DB">
        <w:t>Maar</w:t>
      </w:r>
      <w:r w:rsidR="00A95758" w:rsidRPr="000437DB">
        <w:t xml:space="preserve"> </w:t>
      </w:r>
      <w:r w:rsidRPr="000437DB">
        <w:t xml:space="preserve">dan dijt het </w:t>
      </w:r>
      <w:r w:rsidR="000677E7">
        <w:t xml:space="preserve">systeem </w:t>
      </w:r>
      <w:r w:rsidR="00A95758" w:rsidRPr="00626EB7">
        <w:t xml:space="preserve">natuurlijk </w:t>
      </w:r>
      <w:r w:rsidRPr="00626EB7">
        <w:t xml:space="preserve">zo enorm uit, en staten zullen daar </w:t>
      </w:r>
      <w:r w:rsidR="00A95758" w:rsidRPr="009B6DCF">
        <w:t>het geld niet voor willen fourneren,</w:t>
      </w:r>
      <w:r w:rsidRPr="009B6DCF">
        <w:t xml:space="preserve"> dus die oplossing is niet aanvaard. Toen is bedacht, net als in een heleboel andere landen: zaken van </w:t>
      </w:r>
      <w:r w:rsidRPr="00A80264">
        <w:rPr>
          <w:i/>
        </w:rPr>
        <w:t>insignificant disadvantage</w:t>
      </w:r>
      <w:r w:rsidR="00C4027D" w:rsidRPr="00626EB7">
        <w:t>,</w:t>
      </w:r>
      <w:r w:rsidRPr="00626EB7">
        <w:t xml:space="preserve"> die moeten gemakkelijker opzij worden gezet als bagatellen. Zaken die niet kunnen leiden tot succes</w:t>
      </w:r>
      <w:r w:rsidR="000677E7">
        <w:t>,</w:t>
      </w:r>
      <w:r w:rsidRPr="00626EB7">
        <w:t xml:space="preserve"> die moeten zonder uitgebreide motive</w:t>
      </w:r>
      <w:r w:rsidR="00C4027D" w:rsidRPr="00626EB7">
        <w:t>ring ook terz</w:t>
      </w:r>
      <w:r w:rsidR="00C4027D" w:rsidRPr="009B6DCF">
        <w:t>ijde gelegd</w:t>
      </w:r>
      <w:r w:rsidRPr="009B6DCF">
        <w:t xml:space="preserve"> worden. Zaken waar </w:t>
      </w:r>
      <w:r w:rsidR="000133E6">
        <w:t xml:space="preserve">evidente </w:t>
      </w:r>
      <w:r w:rsidRPr="009B6DCF">
        <w:t>ontvankelijkheidsproblemen zijn, moeten terzijde worden geschoven. Dat zijn allemaal zaken die</w:t>
      </w:r>
      <w:r w:rsidR="00C4027D" w:rsidRPr="00B01C64">
        <w:t xml:space="preserve"> pas aan de orde</w:t>
      </w:r>
      <w:r w:rsidR="000677E7">
        <w:t xml:space="preserve"> </w:t>
      </w:r>
      <w:r w:rsidR="000677E7" w:rsidRPr="00022BFB">
        <w:t>komen</w:t>
      </w:r>
      <w:r w:rsidR="00C4027D" w:rsidRPr="00626EB7">
        <w:t xml:space="preserve"> </w:t>
      </w:r>
      <w:r w:rsidRPr="009B6DCF">
        <w:t xml:space="preserve">nadat regel 47 is gepasseerd. Regel 47 gaat over de directe administratieve toegang tot de rechter, dus </w:t>
      </w:r>
      <w:r w:rsidRPr="00B01C64">
        <w:t xml:space="preserve">niet over de toegang tot de rechter als iets </w:t>
      </w:r>
      <w:r w:rsidR="003A1AEF">
        <w:t>d</w:t>
      </w:r>
      <w:r w:rsidRPr="00B01C64">
        <w:t xml:space="preserve">at aan de orde komt nadat de rechter </w:t>
      </w:r>
      <w:r w:rsidR="000133E6">
        <w:t xml:space="preserve">voor het eerst </w:t>
      </w:r>
      <w:r w:rsidRPr="00B01C64">
        <w:t>kennis neemt van de zaak. Die regel is tot stand gekomen</w:t>
      </w:r>
      <w:r w:rsidR="000677E7">
        <w:t>,</w:t>
      </w:r>
      <w:r w:rsidRPr="00626EB7">
        <w:t xml:space="preserve"> puur om het aantal verkeerd ingediende klachten te beperken</w:t>
      </w:r>
      <w:r w:rsidR="000677E7">
        <w:t>, e</w:t>
      </w:r>
      <w:r w:rsidRPr="00626EB7">
        <w:t xml:space="preserve">n </w:t>
      </w:r>
      <w:r w:rsidR="00E14F0E">
        <w:t xml:space="preserve">dat </w:t>
      </w:r>
      <w:r w:rsidR="000677E7">
        <w:t xml:space="preserve">was </w:t>
      </w:r>
      <w:r w:rsidRPr="00626EB7">
        <w:t xml:space="preserve">ook noodzakelijk. </w:t>
      </w:r>
      <w:r w:rsidR="000D1F21" w:rsidRPr="00626EB7">
        <w:t>Maar ik ben</w:t>
      </w:r>
      <w:r w:rsidR="00C4027D" w:rsidRPr="009B6DCF">
        <w:t xml:space="preserve"> het ermee eens dat het H</w:t>
      </w:r>
      <w:r w:rsidR="000D1F21" w:rsidRPr="009B6DCF">
        <w:t xml:space="preserve">of zelf in oudere jurisprudentie nationale </w:t>
      </w:r>
      <w:r w:rsidR="000D1F21" w:rsidRPr="009B6DCF">
        <w:lastRenderedPageBreak/>
        <w:t>systemen wel heeft becommentarieerd van</w:t>
      </w:r>
      <w:r w:rsidR="000677E7">
        <w:t>: “N</w:t>
      </w:r>
      <w:r w:rsidR="00C4027D" w:rsidRPr="00626EB7">
        <w:t>ou d</w:t>
      </w:r>
      <w:r w:rsidR="000133E6">
        <w:t>ie beperking</w:t>
      </w:r>
      <w:r w:rsidR="00C4027D" w:rsidRPr="00626EB7">
        <w:t xml:space="preserve"> is </w:t>
      </w:r>
      <w:r w:rsidR="00C4027D" w:rsidRPr="00A80264">
        <w:rPr>
          <w:i/>
        </w:rPr>
        <w:t>unduly formalistic</w:t>
      </w:r>
      <w:r w:rsidR="000677E7">
        <w:t>.” E</w:t>
      </w:r>
      <w:r w:rsidR="00C4027D" w:rsidRPr="00626EB7">
        <w:t>n n</w:t>
      </w:r>
      <w:r w:rsidR="000D1F21" w:rsidRPr="00626EB7">
        <w:t xml:space="preserve">u is het </w:t>
      </w:r>
      <w:r w:rsidR="000677E7">
        <w:t>H</w:t>
      </w:r>
      <w:r w:rsidR="000677E7" w:rsidRPr="00626EB7">
        <w:t xml:space="preserve">of </w:t>
      </w:r>
      <w:r w:rsidR="000D1F21" w:rsidRPr="00626EB7">
        <w:t xml:space="preserve">in bepaalde opzichten zelf heel </w:t>
      </w:r>
      <w:r w:rsidR="000D1F21" w:rsidRPr="00A80264">
        <w:rPr>
          <w:i/>
        </w:rPr>
        <w:t>formalistic</w:t>
      </w:r>
      <w:r w:rsidR="000D1F21" w:rsidRPr="00626EB7">
        <w:t xml:space="preserve">. </w:t>
      </w:r>
      <w:r w:rsidR="000677E7">
        <w:t xml:space="preserve"> </w:t>
      </w:r>
    </w:p>
    <w:p w14:paraId="3FEEFFAD" w14:textId="77777777" w:rsidR="00EF09C9" w:rsidRPr="00DC6EE1" w:rsidRDefault="00EF09C9" w:rsidP="00A80264">
      <w:pPr>
        <w:pStyle w:val="Geenafstand"/>
        <w:jc w:val="both"/>
      </w:pPr>
    </w:p>
    <w:p w14:paraId="4ED377C6" w14:textId="27FCB84E" w:rsidR="00EF09C9" w:rsidRPr="00A80264" w:rsidRDefault="000D1F21" w:rsidP="00A80264">
      <w:pPr>
        <w:pStyle w:val="Geenafstand"/>
        <w:jc w:val="both"/>
      </w:pPr>
      <w:r w:rsidRPr="00A80264">
        <w:rPr>
          <w:i/>
        </w:rPr>
        <w:t>U noemde alleenzit</w:t>
      </w:r>
      <w:r w:rsidR="00C4027D" w:rsidRPr="00A80264">
        <w:rPr>
          <w:i/>
        </w:rPr>
        <w:t>tende rechters al</w:t>
      </w:r>
      <w:r w:rsidR="000677E7">
        <w:rPr>
          <w:i/>
        </w:rPr>
        <w:t>. Het</w:t>
      </w:r>
      <w:r w:rsidR="00C4027D" w:rsidRPr="00A80264">
        <w:rPr>
          <w:i/>
        </w:rPr>
        <w:t xml:space="preserve"> </w:t>
      </w:r>
      <w:r w:rsidR="000677E7">
        <w:rPr>
          <w:i/>
        </w:rPr>
        <w:t>H</w:t>
      </w:r>
      <w:r w:rsidR="00C4027D" w:rsidRPr="00A80264">
        <w:rPr>
          <w:i/>
        </w:rPr>
        <w:t>of is daarover</w:t>
      </w:r>
      <w:r w:rsidRPr="00A80264">
        <w:rPr>
          <w:i/>
        </w:rPr>
        <w:t xml:space="preserve"> ook wel bekritiseerd omdat </w:t>
      </w:r>
      <w:r w:rsidR="003A1AEF">
        <w:rPr>
          <w:i/>
        </w:rPr>
        <w:t>het</w:t>
      </w:r>
      <w:r w:rsidR="003A1AEF" w:rsidRPr="00A80264">
        <w:rPr>
          <w:i/>
        </w:rPr>
        <w:t xml:space="preserve"> </w:t>
      </w:r>
      <w:r w:rsidRPr="00A80264">
        <w:rPr>
          <w:i/>
        </w:rPr>
        <w:t xml:space="preserve">heel veel beslissingen </w:t>
      </w:r>
      <w:r w:rsidR="000677E7">
        <w:rPr>
          <w:i/>
        </w:rPr>
        <w:t>ne</w:t>
      </w:r>
      <w:r w:rsidR="00E14F0E">
        <w:rPr>
          <w:i/>
        </w:rPr>
        <w:t>emt</w:t>
      </w:r>
      <w:r w:rsidR="000677E7" w:rsidRPr="00A80264">
        <w:rPr>
          <w:i/>
        </w:rPr>
        <w:t xml:space="preserve"> </w:t>
      </w:r>
      <w:r w:rsidRPr="00A80264">
        <w:rPr>
          <w:i/>
        </w:rPr>
        <w:t>en die niet beredene</w:t>
      </w:r>
      <w:r w:rsidR="00E14F0E">
        <w:rPr>
          <w:i/>
        </w:rPr>
        <w:t>ert</w:t>
      </w:r>
      <w:r w:rsidRPr="00A80264">
        <w:rPr>
          <w:i/>
        </w:rPr>
        <w:t xml:space="preserve">. De president </w:t>
      </w:r>
      <w:r w:rsidR="000677E7">
        <w:rPr>
          <w:i/>
        </w:rPr>
        <w:t xml:space="preserve">van het Hof </w:t>
      </w:r>
      <w:r w:rsidR="003A1AEF">
        <w:rPr>
          <w:i/>
        </w:rPr>
        <w:t>heeft</w:t>
      </w:r>
      <w:r w:rsidR="003A1AEF" w:rsidRPr="00A80264">
        <w:rPr>
          <w:i/>
        </w:rPr>
        <w:t xml:space="preserve"> </w:t>
      </w:r>
      <w:r w:rsidRPr="00A80264">
        <w:rPr>
          <w:i/>
        </w:rPr>
        <w:t xml:space="preserve">in januari 2016 aangekondigd </w:t>
      </w:r>
      <w:r w:rsidR="000677E7">
        <w:rPr>
          <w:i/>
        </w:rPr>
        <w:t xml:space="preserve">dat deze beslissingen zouden worden </w:t>
      </w:r>
      <w:r w:rsidR="000677E7" w:rsidRPr="00626EB7">
        <w:rPr>
          <w:i/>
        </w:rPr>
        <w:t>berede</w:t>
      </w:r>
      <w:r w:rsidR="000677E7">
        <w:rPr>
          <w:i/>
        </w:rPr>
        <w:t>neerd</w:t>
      </w:r>
      <w:r w:rsidRPr="00A80264">
        <w:rPr>
          <w:i/>
        </w:rPr>
        <w:t>, weliswaar heel kort</w:t>
      </w:r>
      <w:r w:rsidR="003A1AEF">
        <w:rPr>
          <w:i/>
        </w:rPr>
        <w:t>,</w:t>
      </w:r>
      <w:r w:rsidRPr="00A80264">
        <w:rPr>
          <w:i/>
        </w:rPr>
        <w:t xml:space="preserve"> maar er </w:t>
      </w:r>
      <w:r w:rsidR="000677E7">
        <w:rPr>
          <w:i/>
        </w:rPr>
        <w:t>zou</w:t>
      </w:r>
      <w:r w:rsidR="000677E7" w:rsidRPr="00A80264">
        <w:rPr>
          <w:i/>
        </w:rPr>
        <w:t xml:space="preserve"> </w:t>
      </w:r>
      <w:r w:rsidRPr="00A80264">
        <w:rPr>
          <w:i/>
        </w:rPr>
        <w:t xml:space="preserve">een reden op </w:t>
      </w:r>
      <w:r w:rsidR="000677E7">
        <w:rPr>
          <w:i/>
        </w:rPr>
        <w:t>een</w:t>
      </w:r>
      <w:r w:rsidR="000677E7" w:rsidRPr="00A80264">
        <w:rPr>
          <w:i/>
        </w:rPr>
        <w:t xml:space="preserve"> </w:t>
      </w:r>
      <w:r w:rsidRPr="00A80264">
        <w:rPr>
          <w:i/>
        </w:rPr>
        <w:t xml:space="preserve">A4tje </w:t>
      </w:r>
      <w:r w:rsidR="000677E7">
        <w:rPr>
          <w:i/>
        </w:rPr>
        <w:t xml:space="preserve">komen </w:t>
      </w:r>
      <w:r w:rsidRPr="00A80264">
        <w:rPr>
          <w:i/>
        </w:rPr>
        <w:t xml:space="preserve">te staan. Voor zover </w:t>
      </w:r>
      <w:r w:rsidR="000677E7">
        <w:rPr>
          <w:i/>
        </w:rPr>
        <w:t xml:space="preserve">wij weten </w:t>
      </w:r>
      <w:r w:rsidRPr="00A80264">
        <w:rPr>
          <w:i/>
        </w:rPr>
        <w:t xml:space="preserve">is </w:t>
      </w:r>
      <w:r w:rsidR="000677E7">
        <w:rPr>
          <w:i/>
        </w:rPr>
        <w:t>dit</w:t>
      </w:r>
      <w:r w:rsidR="000677E7" w:rsidRPr="00A80264">
        <w:rPr>
          <w:i/>
        </w:rPr>
        <w:t xml:space="preserve"> </w:t>
      </w:r>
      <w:r w:rsidRPr="00A80264">
        <w:rPr>
          <w:i/>
        </w:rPr>
        <w:t xml:space="preserve">nog niet gebeurd. Waarom is </w:t>
      </w:r>
      <w:r w:rsidR="000677E7">
        <w:rPr>
          <w:i/>
        </w:rPr>
        <w:t>dit</w:t>
      </w:r>
      <w:r w:rsidR="000677E7" w:rsidRPr="00A80264">
        <w:rPr>
          <w:i/>
        </w:rPr>
        <w:t xml:space="preserve"> </w:t>
      </w:r>
      <w:r w:rsidRPr="00A80264">
        <w:rPr>
          <w:i/>
        </w:rPr>
        <w:t>zo moeilijk gebleken?</w:t>
      </w:r>
      <w:r w:rsidR="00E724A2" w:rsidRPr="00A80264">
        <w:rPr>
          <w:i/>
        </w:rPr>
        <w:t xml:space="preserve">  </w:t>
      </w:r>
      <w:r w:rsidR="000677E7">
        <w:rPr>
          <w:i/>
        </w:rPr>
        <w:t xml:space="preserve"> </w:t>
      </w:r>
    </w:p>
    <w:p w14:paraId="21A6BE4C" w14:textId="77777777" w:rsidR="00EF09C9" w:rsidRDefault="00EF09C9" w:rsidP="00A80264">
      <w:pPr>
        <w:pStyle w:val="Geenafstand"/>
        <w:jc w:val="both"/>
      </w:pPr>
    </w:p>
    <w:p w14:paraId="14DF3B82" w14:textId="57C13566" w:rsidR="000D1F21" w:rsidRDefault="00196CDB" w:rsidP="00A80264">
      <w:pPr>
        <w:pStyle w:val="Geenafstand"/>
        <w:jc w:val="both"/>
      </w:pPr>
      <w:r>
        <w:t>Het Hof was van plan een nieuwe wijze van berichtgeving naar klagers</w:t>
      </w:r>
      <w:r w:rsidR="000D1F21" w:rsidRPr="00DC6EE1">
        <w:t xml:space="preserve"> in te voeren in de loop van 2016. Het plan was ook dat </w:t>
      </w:r>
      <w:r w:rsidR="00626EB7">
        <w:t>die maatregel</w:t>
      </w:r>
      <w:r w:rsidR="00626EB7" w:rsidRPr="00DC6EE1">
        <w:t xml:space="preserve"> </w:t>
      </w:r>
      <w:r w:rsidR="000D1F21" w:rsidRPr="00DC6EE1">
        <w:t>niet moest leiden tot een hee</w:t>
      </w:r>
      <w:r w:rsidR="003A1AEF">
        <w:t>l</w:t>
      </w:r>
      <w:r w:rsidR="000D1F21" w:rsidRPr="00DC6EE1">
        <w:t xml:space="preserve"> uitgebreide motivering</w:t>
      </w:r>
      <w:r w:rsidR="003A1AEF">
        <w:t>,</w:t>
      </w:r>
      <w:r w:rsidR="000D1F21" w:rsidRPr="00DC6EE1">
        <w:t xml:space="preserve"> maar</w:t>
      </w:r>
      <w:r w:rsidR="00626EB7">
        <w:t xml:space="preserve"> tot</w:t>
      </w:r>
      <w:r w:rsidR="000D1F21" w:rsidRPr="00DC6EE1">
        <w:t xml:space="preserve"> een hee</w:t>
      </w:r>
      <w:r w:rsidR="003A1AEF">
        <w:t>l</w:t>
      </w:r>
      <w:r w:rsidR="000D1F21" w:rsidRPr="00DC6EE1">
        <w:t xml:space="preserve"> korte indicatie van de grond. Dus bijvoorbeeld: </w:t>
      </w:r>
      <w:r w:rsidR="000D1F21" w:rsidRPr="00626EB7">
        <w:t>niet</w:t>
      </w:r>
      <w:r w:rsidR="00626EB7">
        <w:t>-</w:t>
      </w:r>
      <w:r w:rsidR="000D1F21" w:rsidRPr="00626EB7">
        <w:t>uitputting van nationale rechtsmiddelen</w:t>
      </w:r>
      <w:r>
        <w:t>, overschrijding termijn van zes maanden</w:t>
      </w:r>
      <w:r w:rsidR="000D1F21" w:rsidRPr="00626EB7">
        <w:t xml:space="preserve">. Of </w:t>
      </w:r>
      <w:r w:rsidR="000D1F21" w:rsidRPr="00A80264">
        <w:rPr>
          <w:i/>
        </w:rPr>
        <w:t>manifestly ill-founded</w:t>
      </w:r>
      <w:r w:rsidR="000D1F21" w:rsidRPr="00626EB7">
        <w:t>, wat natuurlijk een beetje een hybride grond is</w:t>
      </w:r>
      <w:r w:rsidR="000D1F21" w:rsidRPr="009B6DCF">
        <w:t xml:space="preserve">. Of </w:t>
      </w:r>
      <w:r w:rsidR="000D1F21" w:rsidRPr="00A80264">
        <w:rPr>
          <w:i/>
        </w:rPr>
        <w:t>insignificant disadvantage</w:t>
      </w:r>
      <w:r w:rsidR="000D1F21" w:rsidRPr="00626EB7">
        <w:t xml:space="preserve">, wat ik </w:t>
      </w:r>
      <w:r w:rsidR="00626EB7">
        <w:t xml:space="preserve">eerder </w:t>
      </w:r>
      <w:r w:rsidR="000D1F21" w:rsidRPr="00626EB7">
        <w:t>noemde. Dus een van die mogelijke niet-</w:t>
      </w:r>
      <w:r w:rsidR="00C4027D" w:rsidRPr="009B6DCF">
        <w:t>ontvankelijkheidsgronden zou geï</w:t>
      </w:r>
      <w:r w:rsidR="000D1F21" w:rsidRPr="009B6DCF">
        <w:t>ndiceerd kunnen worden. Is dat een probleem? Je zou erover kunnen discussiëren. Wanneer j</w:t>
      </w:r>
      <w:r w:rsidR="00C4027D" w:rsidRPr="00B01C64">
        <w:t>e</w:t>
      </w:r>
      <w:r w:rsidR="000D1F21" w:rsidRPr="00B01C64">
        <w:t xml:space="preserve"> een formulier hebt met een klacht en er zijn drie of vier mogelijke </w:t>
      </w:r>
      <w:r w:rsidR="00626EB7">
        <w:t>niet-ontvankelijkheids</w:t>
      </w:r>
      <w:r w:rsidR="000D1F21" w:rsidRPr="00626EB7">
        <w:t xml:space="preserve">gronden, en </w:t>
      </w:r>
      <w:r w:rsidR="000D1F21" w:rsidRPr="009B6DCF">
        <w:t xml:space="preserve">iedereen is het erover eens dat er ten minste </w:t>
      </w:r>
      <w:r w:rsidR="00626EB7">
        <w:t xml:space="preserve">twee </w:t>
      </w:r>
      <w:r w:rsidR="000D1F21" w:rsidRPr="00626EB7">
        <w:t xml:space="preserve">van </w:t>
      </w:r>
      <w:r w:rsidR="00626EB7">
        <w:t xml:space="preserve">toepassing </w:t>
      </w:r>
      <w:r w:rsidR="000D1F21" w:rsidRPr="00626EB7">
        <w:t xml:space="preserve">zijn, </w:t>
      </w:r>
      <w:r w:rsidR="00626EB7">
        <w:t xml:space="preserve">kan </w:t>
      </w:r>
      <w:r>
        <w:t>het tijdrovend zijn te beslissen welk</w:t>
      </w:r>
      <w:r w:rsidR="00626EB7">
        <w:t xml:space="preserve">e </w:t>
      </w:r>
      <w:r>
        <w:t>grond de doorslag geeft</w:t>
      </w:r>
      <w:r w:rsidR="000D1F21" w:rsidRPr="009B6DCF">
        <w:t xml:space="preserve">. </w:t>
      </w:r>
      <w:r>
        <w:t>Ook al staat de beslissing vast dat de</w:t>
      </w:r>
      <w:r w:rsidR="00626EB7">
        <w:t xml:space="preserve"> klacht </w:t>
      </w:r>
      <w:r w:rsidR="000D1F21" w:rsidRPr="009B6DCF">
        <w:t xml:space="preserve">het niet </w:t>
      </w:r>
      <w:r w:rsidR="00626EB7">
        <w:t xml:space="preserve">gaat redden, </w:t>
      </w:r>
      <w:r w:rsidR="000D1F21" w:rsidRPr="00626EB7">
        <w:t xml:space="preserve">het precies </w:t>
      </w:r>
      <w:r>
        <w:t>uitwerken waarom kost tijd en creëert kwetsbaarheid</w:t>
      </w:r>
      <w:r w:rsidR="00626EB7">
        <w:t xml:space="preserve">. </w:t>
      </w:r>
      <w:r>
        <w:t>En je moet bedenken dat het om tienduizenden zaken gaat. Maar ik begrijp de onvrede.</w:t>
      </w:r>
    </w:p>
    <w:p w14:paraId="52FAB228" w14:textId="77777777" w:rsidR="00EF09C9" w:rsidRPr="00DC6EE1" w:rsidRDefault="00EF09C9" w:rsidP="00A80264">
      <w:pPr>
        <w:pStyle w:val="Geenafstand"/>
        <w:jc w:val="both"/>
      </w:pPr>
    </w:p>
    <w:p w14:paraId="769190C1" w14:textId="77777777" w:rsidR="00606748" w:rsidRDefault="00606748" w:rsidP="00A80264">
      <w:pPr>
        <w:pStyle w:val="Geenafstand"/>
        <w:jc w:val="both"/>
        <w:rPr>
          <w:i/>
        </w:rPr>
      </w:pPr>
      <w:r w:rsidRPr="00A80264">
        <w:rPr>
          <w:i/>
        </w:rPr>
        <w:t>Zeker als je nationale rechters wel vraagt om uitgebreid te motiveren.</w:t>
      </w:r>
      <w:r w:rsidR="00E724A2" w:rsidRPr="00A80264">
        <w:rPr>
          <w:i/>
        </w:rPr>
        <w:t xml:space="preserve"> </w:t>
      </w:r>
    </w:p>
    <w:p w14:paraId="496B2F5A" w14:textId="77777777" w:rsidR="00F109D6" w:rsidRPr="00A80264" w:rsidRDefault="00F109D6" w:rsidP="00A80264">
      <w:pPr>
        <w:pStyle w:val="Geenafstand"/>
        <w:jc w:val="both"/>
        <w:rPr>
          <w:i/>
        </w:rPr>
      </w:pPr>
    </w:p>
    <w:p w14:paraId="3004779F" w14:textId="5E2B4A34" w:rsidR="00606748" w:rsidRDefault="00196CDB" w:rsidP="00A80264">
      <w:pPr>
        <w:pStyle w:val="Geenafstand"/>
        <w:jc w:val="both"/>
      </w:pPr>
      <w:r>
        <w:t>E</w:t>
      </w:r>
      <w:r w:rsidR="00606748" w:rsidRPr="00626EB7">
        <w:t>r zijn wel zaken</w:t>
      </w:r>
      <w:r w:rsidR="00626EB7">
        <w:t xml:space="preserve"> zoals </w:t>
      </w:r>
      <w:r w:rsidR="00606748" w:rsidRPr="00626EB7">
        <w:t xml:space="preserve">Janneke Gerards </w:t>
      </w:r>
      <w:r w:rsidR="00626EB7">
        <w:t xml:space="preserve">die </w:t>
      </w:r>
      <w:r w:rsidR="00606748" w:rsidRPr="00626EB7">
        <w:t xml:space="preserve">bijvoorbeeld </w:t>
      </w:r>
      <w:r w:rsidR="00626EB7">
        <w:t xml:space="preserve">heeft </w:t>
      </w:r>
      <w:r w:rsidR="00606748" w:rsidRPr="00626EB7">
        <w:t>besproken waarvan je zegt:</w:t>
      </w:r>
      <w:r w:rsidR="00626EB7" w:rsidRPr="00626EB7">
        <w:rPr>
          <w:rStyle w:val="Voetnootmarkering"/>
        </w:rPr>
        <w:t xml:space="preserve"> </w:t>
      </w:r>
      <w:r w:rsidR="00626EB7">
        <w:t>“H</w:t>
      </w:r>
      <w:r w:rsidR="00606748" w:rsidRPr="00626EB7">
        <w:t>ad</w:t>
      </w:r>
      <w:r w:rsidR="00626EB7">
        <w:t>den die</w:t>
      </w:r>
      <w:r w:rsidR="00606748" w:rsidRPr="00626EB7">
        <w:t xml:space="preserve"> nou niet een beter lot verdiend</w:t>
      </w:r>
      <w:r w:rsidR="00626EB7">
        <w:t>, e</w:t>
      </w:r>
      <w:r w:rsidR="00606748" w:rsidRPr="00626EB7">
        <w:t>en echte bespreking in de kamer</w:t>
      </w:r>
      <w:r w:rsidR="00626EB7">
        <w:t>?”</w:t>
      </w:r>
      <w:r w:rsidR="004C24D6">
        <w:rPr>
          <w:rStyle w:val="Voetnootmarkering"/>
        </w:rPr>
        <w:footnoteReference w:id="37"/>
      </w:r>
      <w:r w:rsidR="00606748" w:rsidRPr="00626EB7">
        <w:t xml:space="preserve"> </w:t>
      </w:r>
      <w:r>
        <w:t xml:space="preserve">Dat betrof </w:t>
      </w:r>
      <w:r w:rsidR="002F6DC8">
        <w:t xml:space="preserve">vooral </w:t>
      </w:r>
      <w:r>
        <w:t>een comit</w:t>
      </w:r>
      <w:r w:rsidR="002F6DC8">
        <w:t>é</w:t>
      </w:r>
      <w:r>
        <w:t xml:space="preserve">-zaak, maar het principe is hetzelfde. </w:t>
      </w:r>
      <w:r w:rsidR="00147597">
        <w:t>Filtersystemen</w:t>
      </w:r>
      <w:r>
        <w:t xml:space="preserve"> zijn nodig</w:t>
      </w:r>
      <w:r w:rsidR="003A1AEF">
        <w:t>,</w:t>
      </w:r>
      <w:r>
        <w:t xml:space="preserve"> </w:t>
      </w:r>
      <w:r w:rsidR="002F6DC8">
        <w:t xml:space="preserve">maar </w:t>
      </w:r>
      <w:r w:rsidR="003A1AEF">
        <w:t xml:space="preserve">we </w:t>
      </w:r>
      <w:r w:rsidR="002F6DC8">
        <w:t>kunnen ook</w:t>
      </w:r>
      <w:r w:rsidR="00606748" w:rsidRPr="00626EB7">
        <w:t xml:space="preserve"> in Nederland </w:t>
      </w:r>
      <w:r w:rsidR="002F6DC8">
        <w:t>zaken wegsluizen waarvan</w:t>
      </w:r>
      <w:r w:rsidR="00626EB7">
        <w:t xml:space="preserve"> </w:t>
      </w:r>
      <w:r w:rsidR="00606748" w:rsidRPr="00626EB7">
        <w:t xml:space="preserve">je achteraf kunt zeggen </w:t>
      </w:r>
      <w:r w:rsidR="00626EB7">
        <w:t xml:space="preserve">dat </w:t>
      </w:r>
      <w:r w:rsidR="002F6DC8">
        <w:t xml:space="preserve">die </w:t>
      </w:r>
      <w:r w:rsidR="00606748" w:rsidRPr="00626EB7">
        <w:t xml:space="preserve">een beter lot </w:t>
      </w:r>
      <w:r w:rsidR="002F6DC8">
        <w:t>hadden verdiend; misschien ook bij de opsteller van middelen</w:t>
      </w:r>
      <w:r w:rsidR="00606748" w:rsidRPr="00626EB7">
        <w:t xml:space="preserve">. </w:t>
      </w:r>
      <w:r w:rsidR="002F6DC8">
        <w:t>Ook bij niet-gefilterde zaken kan het mislopen</w:t>
      </w:r>
      <w:r w:rsidR="00F109D6">
        <w:t xml:space="preserve">. </w:t>
      </w:r>
      <w:r w:rsidR="00606748" w:rsidRPr="009B6DCF">
        <w:t xml:space="preserve">Het </w:t>
      </w:r>
      <w:r w:rsidR="00626EB7">
        <w:t xml:space="preserve">filteren </w:t>
      </w:r>
      <w:r w:rsidR="00606748" w:rsidRPr="009B6DCF">
        <w:t>heeft zeker nadelen</w:t>
      </w:r>
      <w:r w:rsidR="002F6DC8">
        <w:t>, maar is onmisbaar</w:t>
      </w:r>
      <w:r w:rsidR="003A1AEF">
        <w:t>.</w:t>
      </w:r>
      <w:r w:rsidR="002F6DC8">
        <w:t xml:space="preserve"> </w:t>
      </w:r>
    </w:p>
    <w:p w14:paraId="366DE621" w14:textId="77777777" w:rsidR="00EF09C9" w:rsidRPr="00DC6EE1" w:rsidRDefault="00EF09C9" w:rsidP="00A80264">
      <w:pPr>
        <w:pStyle w:val="Geenafstand"/>
        <w:jc w:val="both"/>
      </w:pPr>
    </w:p>
    <w:p w14:paraId="312251E3" w14:textId="17E187F8" w:rsidR="00606748" w:rsidRPr="00A80264" w:rsidRDefault="00AC41FC" w:rsidP="00A80264">
      <w:pPr>
        <w:pStyle w:val="Geenafstand"/>
        <w:jc w:val="both"/>
        <w:rPr>
          <w:i/>
        </w:rPr>
      </w:pPr>
      <w:r>
        <w:rPr>
          <w:i/>
        </w:rPr>
        <w:t>G</w:t>
      </w:r>
      <w:r w:rsidR="00606748" w:rsidRPr="00A80264">
        <w:rPr>
          <w:i/>
        </w:rPr>
        <w:t xml:space="preserve">riffiemedewerkers </w:t>
      </w:r>
      <w:r>
        <w:rPr>
          <w:i/>
        </w:rPr>
        <w:t>bereiden</w:t>
      </w:r>
      <w:r w:rsidRPr="00A80264">
        <w:rPr>
          <w:i/>
        </w:rPr>
        <w:t xml:space="preserve"> </w:t>
      </w:r>
      <w:r w:rsidR="00606748" w:rsidRPr="00A80264">
        <w:rPr>
          <w:i/>
        </w:rPr>
        <w:t>alles voor</w:t>
      </w:r>
      <w:r>
        <w:rPr>
          <w:i/>
        </w:rPr>
        <w:t xml:space="preserve"> alleenzittende rechters voor</w:t>
      </w:r>
      <w:r w:rsidR="00C4027D" w:rsidRPr="00A80264">
        <w:rPr>
          <w:i/>
        </w:rPr>
        <w:t>, dus ook de brief die naar de klager gaat</w:t>
      </w:r>
      <w:r w:rsidR="00606748" w:rsidRPr="00A80264">
        <w:rPr>
          <w:i/>
        </w:rPr>
        <w:t>. Hun dossier wordt dan in een paar zinnen uiteengeze</w:t>
      </w:r>
      <w:r>
        <w:rPr>
          <w:i/>
        </w:rPr>
        <w:t>t en</w:t>
      </w:r>
      <w:r w:rsidR="00606748" w:rsidRPr="00A80264">
        <w:rPr>
          <w:i/>
        </w:rPr>
        <w:t xml:space="preserve"> rechters </w:t>
      </w:r>
      <w:r>
        <w:rPr>
          <w:i/>
        </w:rPr>
        <w:t>‘</w:t>
      </w:r>
      <w:r w:rsidR="00606748" w:rsidRPr="00A80264">
        <w:rPr>
          <w:i/>
        </w:rPr>
        <w:t>rubberstampen</w:t>
      </w:r>
      <w:r>
        <w:rPr>
          <w:i/>
        </w:rPr>
        <w:t>’</w:t>
      </w:r>
      <w:r w:rsidR="00606748" w:rsidRPr="00A80264">
        <w:rPr>
          <w:i/>
        </w:rPr>
        <w:t xml:space="preserve"> de beslissingen die </w:t>
      </w:r>
      <w:r>
        <w:rPr>
          <w:i/>
        </w:rPr>
        <w:t>al</w:t>
      </w:r>
      <w:r w:rsidRPr="00A80264">
        <w:rPr>
          <w:i/>
        </w:rPr>
        <w:t xml:space="preserve"> </w:t>
      </w:r>
      <w:r w:rsidR="00606748" w:rsidRPr="00A80264">
        <w:rPr>
          <w:i/>
        </w:rPr>
        <w:t xml:space="preserve">door de </w:t>
      </w:r>
      <w:r w:rsidRPr="00A80264">
        <w:rPr>
          <w:i/>
        </w:rPr>
        <w:t>griffie</w:t>
      </w:r>
      <w:r>
        <w:rPr>
          <w:i/>
        </w:rPr>
        <w:t>medewerkers</w:t>
      </w:r>
      <w:r w:rsidRPr="00A80264">
        <w:rPr>
          <w:i/>
        </w:rPr>
        <w:t xml:space="preserve"> </w:t>
      </w:r>
      <w:r w:rsidR="00606748" w:rsidRPr="00A80264">
        <w:rPr>
          <w:i/>
        </w:rPr>
        <w:t xml:space="preserve">zijn genomen. In hoeverre vindt u dat problematisch? Het </w:t>
      </w:r>
      <w:r>
        <w:rPr>
          <w:i/>
        </w:rPr>
        <w:t>V</w:t>
      </w:r>
      <w:r w:rsidRPr="00A80264">
        <w:rPr>
          <w:i/>
        </w:rPr>
        <w:t xml:space="preserve">erdrag </w:t>
      </w:r>
      <w:r w:rsidR="00606748" w:rsidRPr="00A80264">
        <w:rPr>
          <w:i/>
        </w:rPr>
        <w:t>gaat er</w:t>
      </w:r>
      <w:r>
        <w:rPr>
          <w:i/>
        </w:rPr>
        <w:t xml:space="preserve"> namelijk </w:t>
      </w:r>
      <w:r w:rsidR="00606748" w:rsidRPr="00A80264">
        <w:rPr>
          <w:i/>
        </w:rPr>
        <w:t>vanuit dat beslissingen worden genomen door rechters, en er gelden bepaalde eisen van onafhankelijkheid</w:t>
      </w:r>
      <w:r>
        <w:rPr>
          <w:i/>
        </w:rPr>
        <w:t xml:space="preserve"> en</w:t>
      </w:r>
      <w:r w:rsidR="00606748" w:rsidRPr="00A80264">
        <w:rPr>
          <w:i/>
        </w:rPr>
        <w:t xml:space="preserve"> onpartijdigheid voor </w:t>
      </w:r>
      <w:r>
        <w:rPr>
          <w:i/>
        </w:rPr>
        <w:t xml:space="preserve">de </w:t>
      </w:r>
      <w:r w:rsidR="00606748" w:rsidRPr="00A80264">
        <w:rPr>
          <w:i/>
        </w:rPr>
        <w:t>rechters. I</w:t>
      </w:r>
      <w:r w:rsidR="00C4027D" w:rsidRPr="00A80264">
        <w:rPr>
          <w:i/>
        </w:rPr>
        <w:t xml:space="preserve">s </w:t>
      </w:r>
      <w:r w:rsidRPr="00A80264">
        <w:rPr>
          <w:i/>
        </w:rPr>
        <w:t>d</w:t>
      </w:r>
      <w:r>
        <w:rPr>
          <w:i/>
        </w:rPr>
        <w:t>e</w:t>
      </w:r>
      <w:r w:rsidRPr="00A80264">
        <w:rPr>
          <w:i/>
        </w:rPr>
        <w:t xml:space="preserve"> </w:t>
      </w:r>
      <w:r w:rsidR="00C4027D" w:rsidRPr="00A80264">
        <w:rPr>
          <w:i/>
        </w:rPr>
        <w:t>rol van griffiemedewerker</w:t>
      </w:r>
      <w:r w:rsidR="00606748" w:rsidRPr="00A80264">
        <w:rPr>
          <w:i/>
        </w:rPr>
        <w:t xml:space="preserve"> misschien te groot geworden?</w:t>
      </w:r>
      <w:r w:rsidR="00E724A2" w:rsidRPr="00A80264">
        <w:rPr>
          <w:i/>
        </w:rPr>
        <w:t xml:space="preserve"> </w:t>
      </w:r>
    </w:p>
    <w:p w14:paraId="0CAC3966" w14:textId="77777777" w:rsidR="00AC41FC" w:rsidRPr="00DC6EE1" w:rsidRDefault="00AC41FC" w:rsidP="00A80264">
      <w:pPr>
        <w:pStyle w:val="Geenafstand"/>
        <w:jc w:val="both"/>
        <w:rPr>
          <w:b/>
        </w:rPr>
      </w:pPr>
    </w:p>
    <w:p w14:paraId="4622BFEB" w14:textId="7CE3ACDC" w:rsidR="00606748" w:rsidRDefault="00606748" w:rsidP="00A80264">
      <w:pPr>
        <w:pStyle w:val="Geenafstand"/>
        <w:jc w:val="both"/>
      </w:pPr>
      <w:r w:rsidRPr="00626EB7">
        <w:t xml:space="preserve">Kijk, u zegt griffiemedewerker, </w:t>
      </w:r>
      <w:r w:rsidR="00AC41FC">
        <w:t xml:space="preserve">maar </w:t>
      </w:r>
      <w:r w:rsidRPr="00626EB7">
        <w:t xml:space="preserve">de rechter beslist en is verantwoordelijk. Het systeem is zo dat er </w:t>
      </w:r>
      <w:r w:rsidR="00AC41FC">
        <w:t xml:space="preserve">een </w:t>
      </w:r>
      <w:r w:rsidRPr="00626EB7">
        <w:t xml:space="preserve">filtersectie is bij het </w:t>
      </w:r>
      <w:r w:rsidR="00C4027D" w:rsidRPr="009B6DCF">
        <w:t>H</w:t>
      </w:r>
      <w:r w:rsidRPr="009B6DCF">
        <w:t>of, die eigenlijk voor de andere secties uit de zaken bekijkt. En als daar bepaalde zaken worden voorgedragen voor een enkelvoudige beoordeling</w:t>
      </w:r>
      <w:r w:rsidR="00AC41FC">
        <w:t>,</w:t>
      </w:r>
      <w:r w:rsidRPr="009B6DCF">
        <w:t xml:space="preserve"> zitten er </w:t>
      </w:r>
      <w:r w:rsidRPr="00B01C64">
        <w:t>se</w:t>
      </w:r>
      <w:r w:rsidR="00C4027D" w:rsidRPr="00B01C64">
        <w:t>nior</w:t>
      </w:r>
      <w:r w:rsidR="00C4027D" w:rsidRPr="000437DB">
        <w:t>medewerkers achter</w:t>
      </w:r>
      <w:r w:rsidR="00E92655">
        <w:t xml:space="preserve"> </w:t>
      </w:r>
      <w:r w:rsidR="002210AA" w:rsidRPr="009B6DCF">
        <w:t>die daar</w:t>
      </w:r>
      <w:r w:rsidRPr="00B01C64">
        <w:t>naar kijken</w:t>
      </w:r>
      <w:r w:rsidR="00AC41FC">
        <w:t xml:space="preserve">. Zij </w:t>
      </w:r>
      <w:r w:rsidR="002210AA" w:rsidRPr="00B01C64">
        <w:t>kom</w:t>
      </w:r>
      <w:r w:rsidR="00AC41FC">
        <w:t xml:space="preserve">en </w:t>
      </w:r>
      <w:r w:rsidRPr="00B01C64">
        <w:t xml:space="preserve">tot </w:t>
      </w:r>
      <w:r w:rsidR="00AC41FC">
        <w:t>de</w:t>
      </w:r>
      <w:r w:rsidRPr="009B6DCF">
        <w:t xml:space="preserve"> conclusie</w:t>
      </w:r>
      <w:r w:rsidR="00AC41FC">
        <w:t xml:space="preserve"> dat een </w:t>
      </w:r>
      <w:r w:rsidRPr="009B6DCF">
        <w:t>zaak</w:t>
      </w:r>
      <w:r w:rsidR="00AC41FC">
        <w:t xml:space="preserve"> gefilterd moet worden</w:t>
      </w:r>
      <w:r w:rsidR="002210AA" w:rsidRPr="009B6DCF">
        <w:t xml:space="preserve">, en dan gaat </w:t>
      </w:r>
      <w:r w:rsidR="00AC41FC">
        <w:t xml:space="preserve">die conclusie </w:t>
      </w:r>
      <w:r w:rsidR="002210AA" w:rsidRPr="009B6DCF">
        <w:t xml:space="preserve">van </w:t>
      </w:r>
      <w:r w:rsidR="00E14F0E">
        <w:t xml:space="preserve">een </w:t>
      </w:r>
      <w:r w:rsidR="002210AA" w:rsidRPr="009B6DCF">
        <w:t xml:space="preserve">voorbereider naar een rechter, die uiteindelijk beslist over die zaak. Het systeem is zo dat de enkelvoudige rechters </w:t>
      </w:r>
      <w:r w:rsidR="003A1AEF">
        <w:t>geen</w:t>
      </w:r>
      <w:r w:rsidR="003A1AEF" w:rsidRPr="00B01C64">
        <w:t xml:space="preserve"> </w:t>
      </w:r>
      <w:r w:rsidR="002210AA" w:rsidRPr="000437DB">
        <w:t>rechters</w:t>
      </w:r>
      <w:r w:rsidR="00AC41FC">
        <w:t xml:space="preserve"> mogen zijn</w:t>
      </w:r>
      <w:r w:rsidR="002210AA" w:rsidRPr="009B6DCF">
        <w:t xml:space="preserve"> uit het land waar de klacht vandaan komt. Dat is om te voorkom</w:t>
      </w:r>
      <w:r w:rsidR="00C4027D" w:rsidRPr="009B6DCF">
        <w:t xml:space="preserve">en dat </w:t>
      </w:r>
      <w:r w:rsidR="00AC41FC">
        <w:t xml:space="preserve">er </w:t>
      </w:r>
      <w:r w:rsidR="00C4027D" w:rsidRPr="009B6DCF">
        <w:t xml:space="preserve">misschien </w:t>
      </w:r>
      <w:r w:rsidR="00AC41FC">
        <w:t xml:space="preserve">een </w:t>
      </w:r>
      <w:r w:rsidR="00C4027D" w:rsidRPr="009B6DCF">
        <w:t xml:space="preserve">zekere </w:t>
      </w:r>
      <w:r w:rsidR="00C4027D" w:rsidRPr="00B01C64">
        <w:rPr>
          <w:i/>
        </w:rPr>
        <w:t>bias</w:t>
      </w:r>
      <w:r w:rsidR="002210AA" w:rsidRPr="00B01C64">
        <w:t xml:space="preserve"> zou zijn ter bescherming van je eigen land. Of dat redelijk is of niet, dat </w:t>
      </w:r>
      <w:r w:rsidR="00AC41FC">
        <w:t xml:space="preserve">laat ik </w:t>
      </w:r>
      <w:r w:rsidR="002210AA" w:rsidRPr="009B6DCF">
        <w:t>in het midden</w:t>
      </w:r>
      <w:r w:rsidR="002210AA" w:rsidRPr="00B01C64">
        <w:t>. Maar qua taalvaardigheid houdt dat dus in da</w:t>
      </w:r>
      <w:r w:rsidR="00C4027D" w:rsidRPr="00B01C64">
        <w:t xml:space="preserve">t de </w:t>
      </w:r>
      <w:r w:rsidR="002F6DC8">
        <w:t xml:space="preserve">enkelvoudige </w:t>
      </w:r>
      <w:r w:rsidR="00C4027D" w:rsidRPr="00B01C64">
        <w:t xml:space="preserve">rechter die </w:t>
      </w:r>
      <w:r w:rsidR="002F6DC8">
        <w:t xml:space="preserve">over de ontvankelijkheid van </w:t>
      </w:r>
      <w:r w:rsidR="00C4027D" w:rsidRPr="000437DB">
        <w:t xml:space="preserve">een </w:t>
      </w:r>
      <w:r w:rsidR="002210AA" w:rsidRPr="000437DB">
        <w:t xml:space="preserve">zaak beslist, niet persoonlijk toegang zal kunnen hebben tot de dossiers. Soms wel, vaak ook niet. Als </w:t>
      </w:r>
      <w:r w:rsidR="00C4027D" w:rsidRPr="000437DB">
        <w:t xml:space="preserve">ik </w:t>
      </w:r>
      <w:r w:rsidR="00AC41FC">
        <w:t xml:space="preserve">alleenzittende </w:t>
      </w:r>
      <w:r w:rsidR="00C4027D" w:rsidRPr="009B6DCF">
        <w:t>rechter in een R</w:t>
      </w:r>
      <w:r w:rsidR="002210AA" w:rsidRPr="009B6DCF">
        <w:t>ussische zaak ben, kan ik de meeste van d</w:t>
      </w:r>
      <w:r w:rsidR="002210AA" w:rsidRPr="00B01C64">
        <w:t xml:space="preserve">e dossiers niet goed lezen. Dus ben </w:t>
      </w:r>
      <w:r w:rsidR="002F6DC8">
        <w:t>ik</w:t>
      </w:r>
      <w:r w:rsidR="002210AA" w:rsidRPr="00B01C64">
        <w:t xml:space="preserve"> in zo’n geval aangewezen op bijstand van de medewerkers, ja.</w:t>
      </w:r>
    </w:p>
    <w:p w14:paraId="3E29673F" w14:textId="77777777" w:rsidR="00EF09C9" w:rsidRPr="00DC6EE1" w:rsidRDefault="00EF09C9" w:rsidP="00A80264">
      <w:pPr>
        <w:pStyle w:val="Geenafstand"/>
        <w:jc w:val="both"/>
      </w:pPr>
    </w:p>
    <w:p w14:paraId="556AC3A9" w14:textId="456B7C84" w:rsidR="002210AA" w:rsidRPr="00A80264" w:rsidRDefault="002210AA" w:rsidP="00A80264">
      <w:pPr>
        <w:pStyle w:val="Geenafstand"/>
        <w:jc w:val="both"/>
        <w:rPr>
          <w:i/>
        </w:rPr>
      </w:pPr>
      <w:r w:rsidRPr="00A80264">
        <w:rPr>
          <w:i/>
        </w:rPr>
        <w:t>En hoe gaat dat dan? Ligt er dan een stapel van heel veel zaken en is het dan een kwestie van</w:t>
      </w:r>
      <w:r w:rsidR="00872159" w:rsidRPr="00A80264">
        <w:rPr>
          <w:i/>
        </w:rPr>
        <w:t xml:space="preserve"> – </w:t>
      </w:r>
      <w:r w:rsidRPr="00A80264">
        <w:rPr>
          <w:i/>
        </w:rPr>
        <w:t>niet oneerbiedig bedoeld – stempelen, of is er dan met de griffiemedewerker voorbespreking van die z</w:t>
      </w:r>
      <w:r w:rsidR="00C4027D" w:rsidRPr="00A80264">
        <w:rPr>
          <w:i/>
        </w:rPr>
        <w:t xml:space="preserve">aak en </w:t>
      </w:r>
      <w:r w:rsidR="00872159" w:rsidRPr="00A80264">
        <w:rPr>
          <w:i/>
        </w:rPr>
        <w:t>daar</w:t>
      </w:r>
      <w:r w:rsidR="00C4027D" w:rsidRPr="00A80264">
        <w:rPr>
          <w:i/>
        </w:rPr>
        <w:t>na uitvoerig beraad</w:t>
      </w:r>
      <w:r w:rsidR="00872159" w:rsidRPr="00A80264">
        <w:rPr>
          <w:i/>
        </w:rPr>
        <w:t xml:space="preserve">? </w:t>
      </w:r>
      <w:r w:rsidR="00E724A2" w:rsidRPr="00A80264">
        <w:rPr>
          <w:i/>
        </w:rPr>
        <w:t xml:space="preserve"> </w:t>
      </w:r>
    </w:p>
    <w:p w14:paraId="7BE11A2F" w14:textId="77777777" w:rsidR="00EF09C9" w:rsidRPr="00DC6EE1" w:rsidRDefault="00EF09C9" w:rsidP="00A80264">
      <w:pPr>
        <w:pStyle w:val="Geenafstand"/>
        <w:jc w:val="both"/>
        <w:rPr>
          <w:b/>
        </w:rPr>
      </w:pPr>
    </w:p>
    <w:p w14:paraId="05B67D95" w14:textId="77777777" w:rsidR="00EF09C9" w:rsidRDefault="002210AA" w:rsidP="00A80264">
      <w:pPr>
        <w:pStyle w:val="Geenafstand"/>
        <w:jc w:val="both"/>
      </w:pPr>
      <w:r w:rsidRPr="00626EB7">
        <w:t>Ja, dat is een beetje de cuisine, hè, daar kan ik niet zoveel over zeggen. Maar je kunt gewoon uitrekenen dat</w:t>
      </w:r>
      <w:r w:rsidR="00872159" w:rsidRPr="009B6DCF">
        <w:t>,</w:t>
      </w:r>
      <w:r w:rsidRPr="009B6DCF">
        <w:t xml:space="preserve"> als je uitgaat van 80.000 zaken op jaarbasis die door die 47 rechters worden beslist, </w:t>
      </w:r>
      <w:r w:rsidRPr="00B01C64">
        <w:t xml:space="preserve">dat </w:t>
      </w:r>
      <w:r w:rsidRPr="000437DB">
        <w:t>geen uitgebreide studies per zaak kunnen zijn. In alle rechterlijke systemen heb je categorieën van zaken die in grote mate berusten op het werk van medewerke</w:t>
      </w:r>
      <w:r w:rsidR="00C4027D" w:rsidRPr="000437DB">
        <w:t>rs. Ik heb ook in een van die ‘Z</w:t>
      </w:r>
      <w:r w:rsidRPr="000437DB">
        <w:t xml:space="preserve">icht op </w:t>
      </w:r>
      <w:r w:rsidR="00C4027D" w:rsidRPr="000437DB">
        <w:t>S</w:t>
      </w:r>
      <w:r w:rsidRPr="000437DB">
        <w:t>traatsburg’-s</w:t>
      </w:r>
      <w:r w:rsidR="00C4027D" w:rsidRPr="000437DB">
        <w:t>tukken wel</w:t>
      </w:r>
      <w:r w:rsidRPr="000437DB">
        <w:t xml:space="preserve">eens over het schrijven van </w:t>
      </w:r>
      <w:r w:rsidR="002F6DC8">
        <w:t xml:space="preserve">beslissingen en </w:t>
      </w:r>
      <w:r w:rsidRPr="000437DB">
        <w:t xml:space="preserve">arresten geschreven, en in hoeverre rechters dat zelf doen of </w:t>
      </w:r>
      <w:r w:rsidR="007A5A6F" w:rsidRPr="000437DB">
        <w:t xml:space="preserve">hun </w:t>
      </w:r>
      <w:r w:rsidRPr="000437DB">
        <w:t>medewerkers</w:t>
      </w:r>
      <w:r w:rsidRPr="00EF09C9">
        <w:t>.</w:t>
      </w:r>
      <w:r w:rsidR="00E14F0E">
        <w:rPr>
          <w:rStyle w:val="Voetnootmarkering"/>
        </w:rPr>
        <w:footnoteReference w:id="38"/>
      </w:r>
      <w:r w:rsidRPr="00EF09C9">
        <w:t xml:space="preserve"> </w:t>
      </w:r>
      <w:r w:rsidR="007A5A6F" w:rsidRPr="00EF09C9">
        <w:t xml:space="preserve">Daar heb ik </w:t>
      </w:r>
      <w:r w:rsidR="007A5A6F" w:rsidRPr="00DC6EE1">
        <w:t>v</w:t>
      </w:r>
      <w:r w:rsidRPr="00626EB7">
        <w:t xml:space="preserve">oorbeelden gegeven vanuit </w:t>
      </w:r>
      <w:r w:rsidR="006804A8" w:rsidRPr="00626EB7">
        <w:t>de</w:t>
      </w:r>
      <w:r w:rsidR="006804A8" w:rsidRPr="009B6DCF">
        <w:t xml:space="preserve"> </w:t>
      </w:r>
      <w:r w:rsidRPr="009B6DCF">
        <w:t>Verenigde Staten</w:t>
      </w:r>
      <w:r w:rsidR="007A5A6F" w:rsidRPr="00B01C64">
        <w:t xml:space="preserve"> </w:t>
      </w:r>
      <w:r w:rsidR="006804A8" w:rsidRPr="000437DB">
        <w:t xml:space="preserve">en </w:t>
      </w:r>
      <w:r w:rsidR="00C4027D" w:rsidRPr="000437DB">
        <w:t>Zuid-Afrika en andere gerechten</w:t>
      </w:r>
      <w:r w:rsidR="007A5A6F" w:rsidRPr="000437DB">
        <w:t xml:space="preserve"> om te laten zien </w:t>
      </w:r>
      <w:r w:rsidRPr="000437DB">
        <w:t xml:space="preserve">dat het beeld dat </w:t>
      </w:r>
      <w:r w:rsidR="007A5A6F" w:rsidRPr="000437DB">
        <w:t xml:space="preserve">de </w:t>
      </w:r>
      <w:r w:rsidRPr="000437DB">
        <w:t xml:space="preserve">rechter het volledige arrest </w:t>
      </w:r>
      <w:r w:rsidR="006804A8" w:rsidRPr="000437DB">
        <w:t xml:space="preserve">zelf </w:t>
      </w:r>
      <w:r w:rsidRPr="000437DB">
        <w:t xml:space="preserve">componeert niet zo met de werkelijkheid </w:t>
      </w:r>
      <w:r w:rsidR="00C4027D" w:rsidRPr="000437DB">
        <w:t xml:space="preserve">overeenstemt. </w:t>
      </w:r>
    </w:p>
    <w:p w14:paraId="44FC5E06" w14:textId="77777777" w:rsidR="00EF09C9" w:rsidRDefault="00EF09C9" w:rsidP="00A80264">
      <w:pPr>
        <w:pStyle w:val="Geenafstand"/>
        <w:jc w:val="both"/>
      </w:pPr>
    </w:p>
    <w:p w14:paraId="20AFDC0E" w14:textId="77777777" w:rsidR="00EF09C9" w:rsidRPr="00A80264" w:rsidRDefault="009556D4" w:rsidP="00A80264">
      <w:pPr>
        <w:pStyle w:val="Geenafstand"/>
        <w:jc w:val="both"/>
        <w:rPr>
          <w:b/>
        </w:rPr>
      </w:pPr>
      <w:r>
        <w:rPr>
          <w:b/>
        </w:rPr>
        <w:t xml:space="preserve">Het Hof en zijn toekomst </w:t>
      </w:r>
    </w:p>
    <w:p w14:paraId="1599D0B1" w14:textId="77777777" w:rsidR="002210AA" w:rsidRPr="009B6DCF" w:rsidRDefault="002210AA" w:rsidP="00A80264">
      <w:pPr>
        <w:pStyle w:val="Geenafstand"/>
        <w:jc w:val="both"/>
      </w:pPr>
    </w:p>
    <w:p w14:paraId="48E7D457" w14:textId="14B0CB6F" w:rsidR="002210AA" w:rsidRPr="00A80264" w:rsidRDefault="00AC41FC" w:rsidP="00A80264">
      <w:pPr>
        <w:pStyle w:val="Geenafstand"/>
        <w:jc w:val="both"/>
        <w:rPr>
          <w:rFonts w:cstheme="minorHAnsi"/>
          <w:i/>
        </w:rPr>
      </w:pPr>
      <w:r>
        <w:rPr>
          <w:rFonts w:cstheme="minorHAnsi"/>
          <w:i/>
        </w:rPr>
        <w:t>U</w:t>
      </w:r>
      <w:r w:rsidR="002210AA" w:rsidRPr="00A80264">
        <w:rPr>
          <w:rFonts w:cstheme="minorHAnsi"/>
          <w:i/>
        </w:rPr>
        <w:t>w voorganger, Egbert Myjer</w:t>
      </w:r>
      <w:r w:rsidR="003A1AEF">
        <w:rPr>
          <w:rFonts w:cstheme="minorHAnsi"/>
          <w:i/>
        </w:rPr>
        <w:t>,</w:t>
      </w:r>
      <w:r w:rsidR="002210AA" w:rsidRPr="00A80264">
        <w:rPr>
          <w:rFonts w:cstheme="minorHAnsi"/>
          <w:i/>
        </w:rPr>
        <w:t xml:space="preserve"> </w:t>
      </w:r>
      <w:r w:rsidR="00FF63D1" w:rsidRPr="00A80264">
        <w:rPr>
          <w:rFonts w:cstheme="minorHAnsi"/>
          <w:i/>
        </w:rPr>
        <w:t xml:space="preserve">werd in 2004 </w:t>
      </w:r>
      <w:r>
        <w:rPr>
          <w:rFonts w:cstheme="minorHAnsi"/>
          <w:i/>
        </w:rPr>
        <w:t xml:space="preserve">nog </w:t>
      </w:r>
      <w:r w:rsidR="00FF63D1" w:rsidRPr="00A80264">
        <w:rPr>
          <w:rFonts w:cstheme="minorHAnsi"/>
          <w:i/>
        </w:rPr>
        <w:t xml:space="preserve">gevraagd: </w:t>
      </w:r>
      <w:r>
        <w:rPr>
          <w:rFonts w:cstheme="minorHAnsi"/>
          <w:i/>
        </w:rPr>
        <w:t>“Haalt</w:t>
      </w:r>
      <w:r w:rsidR="00FF63D1" w:rsidRPr="00A80264">
        <w:rPr>
          <w:rFonts w:cstheme="minorHAnsi"/>
          <w:i/>
        </w:rPr>
        <w:t xml:space="preserve"> het H</w:t>
      </w:r>
      <w:r w:rsidR="002210AA" w:rsidRPr="00A80264">
        <w:rPr>
          <w:rFonts w:cstheme="minorHAnsi"/>
          <w:i/>
        </w:rPr>
        <w:t>of 2013</w:t>
      </w:r>
      <w:r w:rsidR="00FF63D1" w:rsidRPr="00A80264">
        <w:rPr>
          <w:rFonts w:cstheme="minorHAnsi"/>
          <w:i/>
        </w:rPr>
        <w:t>?</w:t>
      </w:r>
      <w:r>
        <w:rPr>
          <w:rFonts w:cstheme="minorHAnsi"/>
          <w:i/>
        </w:rPr>
        <w:t>”</w:t>
      </w:r>
      <w:r>
        <w:rPr>
          <w:rStyle w:val="Voetnootmarkering"/>
          <w:rFonts w:cstheme="minorHAnsi"/>
          <w:i/>
        </w:rPr>
        <w:footnoteReference w:id="39"/>
      </w:r>
      <w:r w:rsidR="002210AA" w:rsidRPr="00A80264">
        <w:rPr>
          <w:rFonts w:cstheme="minorHAnsi"/>
          <w:i/>
        </w:rPr>
        <w:t xml:space="preserve"> We hebben nu gezien dat het </w:t>
      </w:r>
      <w:r>
        <w:rPr>
          <w:rFonts w:cstheme="minorHAnsi"/>
          <w:i/>
        </w:rPr>
        <w:t>Verdrag</w:t>
      </w:r>
      <w:r w:rsidRPr="00A80264">
        <w:rPr>
          <w:rFonts w:cstheme="minorHAnsi"/>
          <w:i/>
        </w:rPr>
        <w:t xml:space="preserve"> </w:t>
      </w:r>
      <w:r w:rsidR="002210AA" w:rsidRPr="00A80264">
        <w:rPr>
          <w:rFonts w:cstheme="minorHAnsi"/>
          <w:i/>
        </w:rPr>
        <w:t xml:space="preserve">zelfs de 65 jaar al is gepasseerd, in 2015. Wat nu als wij willen dat het </w:t>
      </w:r>
      <w:r>
        <w:rPr>
          <w:rFonts w:cstheme="minorHAnsi"/>
          <w:i/>
        </w:rPr>
        <w:t>Verdrag</w:t>
      </w:r>
      <w:r w:rsidRPr="00A80264">
        <w:rPr>
          <w:rFonts w:cstheme="minorHAnsi"/>
          <w:i/>
        </w:rPr>
        <w:t xml:space="preserve"> </w:t>
      </w:r>
      <w:r w:rsidR="002210AA" w:rsidRPr="00A80264">
        <w:rPr>
          <w:rFonts w:cstheme="minorHAnsi"/>
          <w:i/>
        </w:rPr>
        <w:t>ook de 100 jaar haalt? Zijn er bepaalde dingen die echt doorgevoerd moeten worden of lukt het zo ook wel?</w:t>
      </w:r>
      <w:r w:rsidR="00E724A2" w:rsidRPr="00A80264">
        <w:rPr>
          <w:rFonts w:cstheme="minorHAnsi"/>
          <w:i/>
        </w:rPr>
        <w:t xml:space="preserve"> </w:t>
      </w:r>
    </w:p>
    <w:p w14:paraId="00C9F6BC" w14:textId="77777777" w:rsidR="00EF09C9" w:rsidRPr="00DC6EE1" w:rsidRDefault="00EF09C9" w:rsidP="00A80264">
      <w:pPr>
        <w:pStyle w:val="Geenafstand"/>
        <w:jc w:val="both"/>
        <w:rPr>
          <w:rFonts w:cstheme="minorHAnsi"/>
          <w:b/>
        </w:rPr>
      </w:pPr>
    </w:p>
    <w:p w14:paraId="5F0B37B4" w14:textId="77777777" w:rsidR="00B11CBB" w:rsidRDefault="002210AA" w:rsidP="00A80264">
      <w:pPr>
        <w:pStyle w:val="Geenafstand"/>
        <w:jc w:val="both"/>
        <w:rPr>
          <w:rFonts w:cstheme="minorHAnsi"/>
        </w:rPr>
      </w:pPr>
      <w:r w:rsidRPr="00626EB7">
        <w:rPr>
          <w:rFonts w:cstheme="minorHAnsi"/>
        </w:rPr>
        <w:t>Dat is heel moeilijk te zeggen.</w:t>
      </w:r>
      <w:r w:rsidR="00AD6C26" w:rsidRPr="009B6DCF">
        <w:rPr>
          <w:rFonts w:cstheme="minorHAnsi"/>
        </w:rPr>
        <w:t xml:space="preserve"> U zegt het </w:t>
      </w:r>
      <w:r w:rsidR="002E20FE">
        <w:rPr>
          <w:rFonts w:cstheme="minorHAnsi"/>
        </w:rPr>
        <w:t>Verdrag</w:t>
      </w:r>
      <w:r w:rsidR="00AD6C26" w:rsidRPr="009B6DCF">
        <w:rPr>
          <w:rFonts w:cstheme="minorHAnsi"/>
        </w:rPr>
        <w:t xml:space="preserve">. In de huidige context houdt dat </w:t>
      </w:r>
      <w:r w:rsidR="00AD6C26" w:rsidRPr="00B01C64">
        <w:rPr>
          <w:rFonts w:cstheme="minorHAnsi"/>
        </w:rPr>
        <w:t>ook het Hof</w:t>
      </w:r>
      <w:r w:rsidR="002E20FE">
        <w:rPr>
          <w:rFonts w:cstheme="minorHAnsi"/>
        </w:rPr>
        <w:t xml:space="preserve"> in</w:t>
      </w:r>
      <w:r w:rsidR="00AD6C26" w:rsidRPr="009B6DCF">
        <w:rPr>
          <w:rFonts w:cstheme="minorHAnsi"/>
        </w:rPr>
        <w:t>, maar het Hof is natuurlijk wel voortdurend aan het veranderen. En ongetwijfeld gaat dat door.</w:t>
      </w:r>
    </w:p>
    <w:p w14:paraId="4C64D114" w14:textId="77777777" w:rsidR="00EF09C9" w:rsidRPr="00DC6EE1" w:rsidRDefault="00EF09C9" w:rsidP="00A80264">
      <w:pPr>
        <w:pStyle w:val="Geenafstand"/>
        <w:jc w:val="both"/>
        <w:rPr>
          <w:rFonts w:cstheme="minorHAnsi"/>
        </w:rPr>
      </w:pPr>
    </w:p>
    <w:p w14:paraId="52B5C5A7" w14:textId="77777777" w:rsidR="00AD6C26" w:rsidRDefault="00AD6C26" w:rsidP="00A80264">
      <w:pPr>
        <w:pStyle w:val="Geenafstand"/>
        <w:jc w:val="both"/>
        <w:rPr>
          <w:rFonts w:cstheme="minorHAnsi"/>
          <w:i/>
        </w:rPr>
      </w:pPr>
      <w:r w:rsidRPr="00A80264">
        <w:rPr>
          <w:rFonts w:cstheme="minorHAnsi"/>
          <w:i/>
        </w:rPr>
        <w:t xml:space="preserve">Maar er is niet </w:t>
      </w:r>
      <w:r w:rsidR="002E20FE">
        <w:rPr>
          <w:rFonts w:cstheme="minorHAnsi"/>
          <w:i/>
        </w:rPr>
        <w:t>één</w:t>
      </w:r>
      <w:r w:rsidR="002E20FE" w:rsidRPr="00A80264">
        <w:rPr>
          <w:rFonts w:cstheme="minorHAnsi"/>
          <w:i/>
        </w:rPr>
        <w:t xml:space="preserve"> </w:t>
      </w:r>
      <w:r w:rsidRPr="00A80264">
        <w:rPr>
          <w:rFonts w:cstheme="minorHAnsi"/>
          <w:i/>
        </w:rPr>
        <w:t xml:space="preserve">ding waarvan u zegt: </w:t>
      </w:r>
      <w:r w:rsidR="002E20FE">
        <w:rPr>
          <w:rFonts w:cstheme="minorHAnsi"/>
          <w:i/>
        </w:rPr>
        <w:t>“D</w:t>
      </w:r>
      <w:r w:rsidRPr="00A80264">
        <w:rPr>
          <w:rFonts w:cstheme="minorHAnsi"/>
          <w:i/>
        </w:rPr>
        <w:t xml:space="preserve">it </w:t>
      </w:r>
      <w:r w:rsidR="00B470B5" w:rsidRPr="00A80264">
        <w:rPr>
          <w:rFonts w:cstheme="minorHAnsi"/>
          <w:i/>
        </w:rPr>
        <w:t xml:space="preserve">zou </w:t>
      </w:r>
      <w:r w:rsidRPr="00A80264">
        <w:rPr>
          <w:rFonts w:cstheme="minorHAnsi"/>
          <w:i/>
        </w:rPr>
        <w:t>toch wel echt</w:t>
      </w:r>
      <w:r w:rsidR="002E20FE">
        <w:rPr>
          <w:rFonts w:cstheme="minorHAnsi"/>
          <w:i/>
        </w:rPr>
        <w:t xml:space="preserve"> moeten veranderen?” E</w:t>
      </w:r>
      <w:r w:rsidR="00B470B5" w:rsidRPr="00A80264">
        <w:rPr>
          <w:rFonts w:cstheme="minorHAnsi"/>
          <w:i/>
        </w:rPr>
        <w:t xml:space="preserve">en heel groot probleem is dat er </w:t>
      </w:r>
      <w:r w:rsidR="002E20FE">
        <w:rPr>
          <w:rFonts w:cstheme="minorHAnsi"/>
          <w:i/>
        </w:rPr>
        <w:t xml:space="preserve">bijvoorbeeld </w:t>
      </w:r>
      <w:r w:rsidR="00B470B5" w:rsidRPr="00A80264">
        <w:rPr>
          <w:rFonts w:cstheme="minorHAnsi"/>
          <w:i/>
        </w:rPr>
        <w:t xml:space="preserve">nu heel veel zaken zijn die én geen prioriteit </w:t>
      </w:r>
      <w:r w:rsidR="002E20FE">
        <w:rPr>
          <w:rFonts w:cstheme="minorHAnsi"/>
          <w:i/>
        </w:rPr>
        <w:t>hebben</w:t>
      </w:r>
      <w:r w:rsidR="002E20FE" w:rsidRPr="00A80264">
        <w:rPr>
          <w:rFonts w:cstheme="minorHAnsi"/>
          <w:i/>
        </w:rPr>
        <w:t xml:space="preserve"> </w:t>
      </w:r>
      <w:r w:rsidR="002E20FE">
        <w:rPr>
          <w:rFonts w:cstheme="minorHAnsi"/>
          <w:i/>
        </w:rPr>
        <w:t>é</w:t>
      </w:r>
      <w:r w:rsidR="00B470B5" w:rsidRPr="00A80264">
        <w:rPr>
          <w:rFonts w:cstheme="minorHAnsi"/>
          <w:i/>
        </w:rPr>
        <w:t xml:space="preserve">n niet repetitief zijn, dus ze gaan niet snel uit het systeem, </w:t>
      </w:r>
      <w:r w:rsidR="002E20FE">
        <w:rPr>
          <w:rFonts w:cstheme="minorHAnsi"/>
          <w:i/>
        </w:rPr>
        <w:t>maar</w:t>
      </w:r>
      <w:r w:rsidR="002E20FE" w:rsidRPr="00A80264">
        <w:rPr>
          <w:rFonts w:cstheme="minorHAnsi"/>
          <w:i/>
        </w:rPr>
        <w:t xml:space="preserve"> </w:t>
      </w:r>
      <w:r w:rsidR="00B470B5" w:rsidRPr="00A80264">
        <w:rPr>
          <w:rFonts w:cstheme="minorHAnsi"/>
          <w:i/>
        </w:rPr>
        <w:t xml:space="preserve">blijven op de plank liggen. Vormt </w:t>
      </w:r>
      <w:r w:rsidR="002E20FE">
        <w:rPr>
          <w:rFonts w:cstheme="minorHAnsi"/>
          <w:i/>
        </w:rPr>
        <w:t>dit</w:t>
      </w:r>
      <w:r w:rsidR="002E20FE" w:rsidRPr="00A80264">
        <w:rPr>
          <w:rFonts w:cstheme="minorHAnsi"/>
          <w:i/>
        </w:rPr>
        <w:t xml:space="preserve"> </w:t>
      </w:r>
      <w:r w:rsidR="00B470B5" w:rsidRPr="00A80264">
        <w:rPr>
          <w:rFonts w:cstheme="minorHAnsi"/>
          <w:i/>
        </w:rPr>
        <w:t xml:space="preserve">niet een </w:t>
      </w:r>
      <w:r w:rsidR="002E20FE">
        <w:rPr>
          <w:rFonts w:cstheme="minorHAnsi"/>
          <w:i/>
        </w:rPr>
        <w:t>groot</w:t>
      </w:r>
      <w:r w:rsidR="00FF63D1" w:rsidRPr="00A80264">
        <w:rPr>
          <w:rFonts w:cstheme="minorHAnsi"/>
          <w:i/>
        </w:rPr>
        <w:t xml:space="preserve"> proble</w:t>
      </w:r>
      <w:r w:rsidR="002E20FE">
        <w:rPr>
          <w:rFonts w:cstheme="minorHAnsi"/>
          <w:i/>
        </w:rPr>
        <w:t>e</w:t>
      </w:r>
      <w:r w:rsidR="00FF63D1" w:rsidRPr="00A80264">
        <w:rPr>
          <w:rFonts w:cstheme="minorHAnsi"/>
          <w:i/>
        </w:rPr>
        <w:t>m</w:t>
      </w:r>
      <w:r w:rsidR="002E20FE">
        <w:rPr>
          <w:rFonts w:cstheme="minorHAnsi"/>
          <w:i/>
        </w:rPr>
        <w:t xml:space="preserve"> </w:t>
      </w:r>
      <w:r w:rsidR="00FF63D1" w:rsidRPr="00A80264">
        <w:rPr>
          <w:rFonts w:cstheme="minorHAnsi"/>
          <w:i/>
        </w:rPr>
        <w:t>e</w:t>
      </w:r>
      <w:r w:rsidR="00580FE2">
        <w:rPr>
          <w:rFonts w:cstheme="minorHAnsi"/>
          <w:i/>
        </w:rPr>
        <w:t>n</w:t>
      </w:r>
      <w:r w:rsidR="00FF63D1" w:rsidRPr="00A80264">
        <w:rPr>
          <w:rFonts w:cstheme="minorHAnsi"/>
          <w:i/>
        </w:rPr>
        <w:t xml:space="preserve"> wat zou je </w:t>
      </w:r>
      <w:r w:rsidR="002E20FE">
        <w:rPr>
          <w:rFonts w:cstheme="minorHAnsi"/>
          <w:i/>
        </w:rPr>
        <w:t>er</w:t>
      </w:r>
      <w:r w:rsidR="002E20FE" w:rsidRPr="00A80264">
        <w:rPr>
          <w:rFonts w:cstheme="minorHAnsi"/>
          <w:i/>
        </w:rPr>
        <w:t xml:space="preserve">aan </w:t>
      </w:r>
      <w:r w:rsidR="00B470B5" w:rsidRPr="00A80264">
        <w:rPr>
          <w:rFonts w:cstheme="minorHAnsi"/>
          <w:i/>
        </w:rPr>
        <w:t xml:space="preserve">kunnen doen? </w:t>
      </w:r>
    </w:p>
    <w:p w14:paraId="226C8C42" w14:textId="77777777" w:rsidR="009556D4" w:rsidRPr="00A80264" w:rsidRDefault="009556D4" w:rsidP="00A80264">
      <w:pPr>
        <w:pStyle w:val="Geenafstand"/>
        <w:jc w:val="both"/>
        <w:rPr>
          <w:rFonts w:cstheme="minorHAnsi"/>
          <w:i/>
        </w:rPr>
      </w:pPr>
    </w:p>
    <w:p w14:paraId="394D8BBB" w14:textId="37C5B394" w:rsidR="00B470B5" w:rsidRDefault="00B470B5" w:rsidP="00A80264">
      <w:pPr>
        <w:pStyle w:val="Geenafstand"/>
        <w:jc w:val="both"/>
      </w:pPr>
      <w:r w:rsidRPr="00DC6EE1">
        <w:t xml:space="preserve">Ja, er </w:t>
      </w:r>
      <w:r w:rsidR="002E20FE">
        <w:t xml:space="preserve">zijn </w:t>
      </w:r>
      <w:r w:rsidRPr="00DC6EE1">
        <w:t>zo’n 15-20</w:t>
      </w:r>
      <w:r w:rsidR="002E20FE">
        <w:t>.000</w:t>
      </w:r>
      <w:r w:rsidRPr="00DC6EE1">
        <w:t xml:space="preserve"> zaken</w:t>
      </w:r>
      <w:r w:rsidR="003A1AEF">
        <w:t xml:space="preserve"> die</w:t>
      </w:r>
      <w:r w:rsidRPr="00DC6EE1">
        <w:t xml:space="preserve"> </w:t>
      </w:r>
      <w:r w:rsidR="002F6DC8">
        <w:t xml:space="preserve">misschien meer </w:t>
      </w:r>
      <w:r w:rsidRPr="00A80264">
        <w:rPr>
          <w:i/>
        </w:rPr>
        <w:t xml:space="preserve">potentially meritorious non-repetitive </w:t>
      </w:r>
      <w:r w:rsidRPr="00626EB7">
        <w:t>zaken</w:t>
      </w:r>
      <w:r w:rsidR="003A1AEF">
        <w:t xml:space="preserve"> zijn</w:t>
      </w:r>
      <w:r w:rsidR="002E20FE">
        <w:t xml:space="preserve">, </w:t>
      </w:r>
      <w:r w:rsidRPr="009B6DCF">
        <w:t>en dat is ontzettend moeilijk. Daar ben ik het mee eens. Het kan zijn dat er op een gegeven moment vo</w:t>
      </w:r>
      <w:r w:rsidRPr="00B01C64">
        <w:t xml:space="preserve">or gekozen zal moeten worden extra voorzieningen aan het Hof te geven, misschien extra rechters, specifiek </w:t>
      </w:r>
      <w:r w:rsidR="002E20FE">
        <w:t>om deze zaken op te lossen</w:t>
      </w:r>
      <w:r w:rsidR="00FF63D1" w:rsidRPr="009B6DCF">
        <w:t xml:space="preserve">. Ik geloof dat in </w:t>
      </w:r>
      <w:r w:rsidR="002E20FE">
        <w:t>een</w:t>
      </w:r>
      <w:r w:rsidR="002E20FE" w:rsidRPr="009B6DCF">
        <w:t xml:space="preserve"> </w:t>
      </w:r>
      <w:r w:rsidR="00FF63D1" w:rsidRPr="009B6DCF">
        <w:t>CD</w:t>
      </w:r>
      <w:r w:rsidRPr="00B01C64">
        <w:t>DH</w:t>
      </w:r>
      <w:r w:rsidR="007B6F00">
        <w:t>-</w:t>
      </w:r>
      <w:r w:rsidR="00FF63D1" w:rsidRPr="00B01C64">
        <w:t>rapport expliciet een bedrag werd</w:t>
      </w:r>
      <w:r w:rsidRPr="000437DB">
        <w:t xml:space="preserve"> genoemd dat nodig is om het probleem op te lossen. Dat is wel een heel optimistisch bedrag en eerlijk gezegd denk ik niet dat het alleen een financieel probleem is, maar ook een probleem van </w:t>
      </w:r>
      <w:r w:rsidRPr="009B6DCF">
        <w:t>werkwijze.</w:t>
      </w:r>
      <w:r w:rsidR="000F22D2">
        <w:t xml:space="preserve"> </w:t>
      </w:r>
      <w:r w:rsidR="007B6F00">
        <w:t xml:space="preserve">Op dit punt </w:t>
      </w:r>
      <w:r w:rsidR="000F22D2">
        <w:t>verschil</w:t>
      </w:r>
      <w:r w:rsidR="007B6F00">
        <w:t xml:space="preserve"> ik</w:t>
      </w:r>
      <w:r w:rsidR="000F22D2">
        <w:t xml:space="preserve"> van mening met </w:t>
      </w:r>
      <w:r w:rsidR="007B6F00">
        <w:t xml:space="preserve">een voormalige </w:t>
      </w:r>
      <w:r w:rsidR="000F22D2">
        <w:t>Griffier van het Hof</w:t>
      </w:r>
      <w:r w:rsidR="00F109D6">
        <w:t>.</w:t>
      </w:r>
      <w:r w:rsidR="000F22D2">
        <w:rPr>
          <w:rStyle w:val="Voetnootmarkering"/>
        </w:rPr>
        <w:footnoteReference w:id="40"/>
      </w:r>
      <w:r w:rsidRPr="009B6DCF">
        <w:t xml:space="preserve"> </w:t>
      </w:r>
      <w:r w:rsidR="002E20FE">
        <w:t>Zo</w:t>
      </w:r>
      <w:r w:rsidRPr="009B6DCF">
        <w:t xml:space="preserve"> komen </w:t>
      </w:r>
      <w:r w:rsidR="002E20FE">
        <w:t xml:space="preserve">er </w:t>
      </w:r>
      <w:r w:rsidRPr="009B6DCF">
        <w:t>allerlei suggesties voor nie</w:t>
      </w:r>
      <w:r w:rsidR="00FF63D1" w:rsidRPr="009B6DCF">
        <w:t xml:space="preserve">uwe extra activiteiten </w:t>
      </w:r>
      <w:r w:rsidR="002E20FE">
        <w:t>voor</w:t>
      </w:r>
      <w:r w:rsidR="002E20FE" w:rsidRPr="009B6DCF">
        <w:t xml:space="preserve"> </w:t>
      </w:r>
      <w:r w:rsidR="00FF63D1" w:rsidRPr="009B6DCF">
        <w:t>het H</w:t>
      </w:r>
      <w:r w:rsidRPr="00B01C64">
        <w:t xml:space="preserve">of, zoals de </w:t>
      </w:r>
      <w:r w:rsidR="002E20FE">
        <w:t>adviesprocedure</w:t>
      </w:r>
      <w:r w:rsidRPr="009B6DCF">
        <w:t>.</w:t>
      </w:r>
      <w:r w:rsidR="002E20FE">
        <w:rPr>
          <w:rStyle w:val="Voetnootmarkering"/>
        </w:rPr>
        <w:footnoteReference w:id="41"/>
      </w:r>
      <w:r w:rsidRPr="009B6DCF">
        <w:t xml:space="preserve"> Ja, dan wordt het wel he</w:t>
      </w:r>
      <w:r w:rsidR="00FF63D1" w:rsidRPr="00B01C64">
        <w:t>el moeilijk</w:t>
      </w:r>
      <w:r w:rsidR="000640FA">
        <w:t xml:space="preserve"> als daarnaast de oude werklast blijft</w:t>
      </w:r>
      <w:r w:rsidR="00FF63D1" w:rsidRPr="00B01C64">
        <w:t xml:space="preserve">. Tot nu toe is een </w:t>
      </w:r>
      <w:r w:rsidR="002E20FE" w:rsidRPr="00A80264">
        <w:rPr>
          <w:i/>
        </w:rPr>
        <w:t xml:space="preserve">sunset </w:t>
      </w:r>
      <w:r w:rsidRPr="00A80264">
        <w:rPr>
          <w:i/>
        </w:rPr>
        <w:t>clause</w:t>
      </w:r>
      <w:r w:rsidRPr="009B6DCF">
        <w:t xml:space="preserve"> afgewezen. Maar je vraagt je af of dat bij hele oude zaken</w:t>
      </w:r>
      <w:r w:rsidR="00FF63D1" w:rsidRPr="009B6DCF">
        <w:t xml:space="preserve"> op een gegeven moment</w:t>
      </w:r>
      <w:r w:rsidRPr="00B01C64">
        <w:t xml:space="preserve"> niet toch moet gebeuren, dat er erkend moet worden dat die zaken niet meer</w:t>
      </w:r>
      <w:r w:rsidR="00FF63D1" w:rsidRPr="00B01C64">
        <w:t xml:space="preserve"> behandeld kunnen worden. En dan</w:t>
      </w:r>
      <w:r w:rsidRPr="000437DB">
        <w:t xml:space="preserve"> met name tegen de achtergrond van het feit dat er gewoon ook niets meer aan gedaan kan worden. </w:t>
      </w:r>
    </w:p>
    <w:p w14:paraId="6EF650E9" w14:textId="77777777" w:rsidR="009556D4" w:rsidRPr="00DC6EE1" w:rsidRDefault="009556D4" w:rsidP="00A80264">
      <w:pPr>
        <w:pStyle w:val="Geenafstand"/>
        <w:jc w:val="both"/>
      </w:pPr>
    </w:p>
    <w:p w14:paraId="7A8ADB86" w14:textId="72430932" w:rsidR="00B470B5" w:rsidRPr="00A80264" w:rsidRDefault="009B6DCF" w:rsidP="00A80264">
      <w:pPr>
        <w:pStyle w:val="Geenafstand"/>
        <w:jc w:val="both"/>
        <w:rPr>
          <w:i/>
        </w:rPr>
      </w:pPr>
      <w:r>
        <w:rPr>
          <w:i/>
        </w:rPr>
        <w:t>Een suns</w:t>
      </w:r>
      <w:r w:rsidR="00E92655">
        <w:rPr>
          <w:i/>
        </w:rPr>
        <w:t>e</w:t>
      </w:r>
      <w:r>
        <w:rPr>
          <w:i/>
        </w:rPr>
        <w:t>t clause</w:t>
      </w:r>
      <w:r w:rsidRPr="00A80264">
        <w:rPr>
          <w:i/>
        </w:rPr>
        <w:t xml:space="preserve"> </w:t>
      </w:r>
      <w:r w:rsidR="00B470B5" w:rsidRPr="00A80264">
        <w:rPr>
          <w:i/>
        </w:rPr>
        <w:t xml:space="preserve">is een hele pragmatische oplossing. </w:t>
      </w:r>
      <w:r w:rsidR="007B6F00">
        <w:rPr>
          <w:i/>
        </w:rPr>
        <w:t>Als</w:t>
      </w:r>
      <w:r>
        <w:rPr>
          <w:i/>
        </w:rPr>
        <w:t xml:space="preserve"> redactie</w:t>
      </w:r>
      <w:r w:rsidR="007B6F00">
        <w:rPr>
          <w:i/>
        </w:rPr>
        <w:t>leden</w:t>
      </w:r>
      <w:r>
        <w:rPr>
          <w:i/>
        </w:rPr>
        <w:t xml:space="preserve"> </w:t>
      </w:r>
      <w:r w:rsidR="007B6F00">
        <w:rPr>
          <w:i/>
        </w:rPr>
        <w:t>zijn we wetenschappers,</w:t>
      </w:r>
      <w:r w:rsidR="00B470B5" w:rsidRPr="00A80264">
        <w:rPr>
          <w:i/>
        </w:rPr>
        <w:t xml:space="preserve"> en</w:t>
      </w:r>
      <w:r w:rsidR="007B6F00">
        <w:rPr>
          <w:i/>
        </w:rPr>
        <w:t xml:space="preserve"> we</w:t>
      </w:r>
      <w:r w:rsidR="00B470B5" w:rsidRPr="00A80264">
        <w:rPr>
          <w:i/>
        </w:rPr>
        <w:t xml:space="preserve"> denken </w:t>
      </w:r>
      <w:r>
        <w:rPr>
          <w:i/>
        </w:rPr>
        <w:t>misschien minder pragmatisch</w:t>
      </w:r>
      <w:r w:rsidR="00B470B5" w:rsidRPr="00A80264">
        <w:rPr>
          <w:i/>
        </w:rPr>
        <w:t>. Denkt u</w:t>
      </w:r>
      <w:r>
        <w:rPr>
          <w:i/>
        </w:rPr>
        <w:t xml:space="preserve">, </w:t>
      </w:r>
      <w:r w:rsidR="00B470B5" w:rsidRPr="00A80264">
        <w:rPr>
          <w:i/>
        </w:rPr>
        <w:t>omdat u in Straatsburg hebt gezeten</w:t>
      </w:r>
      <w:r>
        <w:rPr>
          <w:i/>
        </w:rPr>
        <w:t xml:space="preserve">, </w:t>
      </w:r>
      <w:r w:rsidR="007B6F00">
        <w:rPr>
          <w:i/>
        </w:rPr>
        <w:t xml:space="preserve">dat </w:t>
      </w:r>
      <w:r>
        <w:rPr>
          <w:i/>
        </w:rPr>
        <w:t>u</w:t>
      </w:r>
      <w:r w:rsidR="00B470B5" w:rsidRPr="00A80264">
        <w:rPr>
          <w:i/>
        </w:rPr>
        <w:t xml:space="preserve"> pragmatischer bent gaan kijken naar </w:t>
      </w:r>
      <w:r w:rsidRPr="00A80264">
        <w:rPr>
          <w:i/>
        </w:rPr>
        <w:t>d</w:t>
      </w:r>
      <w:r>
        <w:rPr>
          <w:i/>
        </w:rPr>
        <w:t>e</w:t>
      </w:r>
      <w:r w:rsidRPr="00A80264">
        <w:rPr>
          <w:i/>
        </w:rPr>
        <w:t xml:space="preserve"> </w:t>
      </w:r>
      <w:r w:rsidR="00B470B5" w:rsidRPr="00A80264">
        <w:rPr>
          <w:i/>
        </w:rPr>
        <w:t>problemen van Straatsburg en de oplossingen voor die problemen?</w:t>
      </w:r>
      <w:r w:rsidR="00E724A2" w:rsidRPr="00A80264">
        <w:rPr>
          <w:i/>
        </w:rPr>
        <w:t xml:space="preserve"> </w:t>
      </w:r>
    </w:p>
    <w:p w14:paraId="3C149EA3" w14:textId="77777777" w:rsidR="009556D4" w:rsidRPr="00DC6EE1" w:rsidRDefault="009556D4" w:rsidP="00A80264">
      <w:pPr>
        <w:pStyle w:val="Geenafstand"/>
        <w:jc w:val="both"/>
        <w:rPr>
          <w:b/>
        </w:rPr>
      </w:pPr>
    </w:p>
    <w:p w14:paraId="7E16AFE6" w14:textId="77777777" w:rsidR="00B470B5" w:rsidRPr="000437DB" w:rsidRDefault="00B470B5" w:rsidP="00A80264">
      <w:pPr>
        <w:pStyle w:val="Geenafstand"/>
        <w:jc w:val="both"/>
      </w:pPr>
      <w:r w:rsidRPr="00626EB7">
        <w:t>Nou ik weet niet of dit pragmatisch is. Het is meer een soort realistisch pessimisme, in de zin dat ik denk dat het niet allemaal oplosbaar is en dat je soms moet constateren dat</w:t>
      </w:r>
      <w:r w:rsidR="009B6DCF">
        <w:t xml:space="preserve"> dat zo is, </w:t>
      </w:r>
      <w:r w:rsidRPr="009B6DCF">
        <w:t xml:space="preserve">omdat </w:t>
      </w:r>
      <w:r w:rsidRPr="00B01C64">
        <w:t xml:space="preserve">je </w:t>
      </w:r>
      <w:r w:rsidR="009B6DCF">
        <w:t xml:space="preserve">anders </w:t>
      </w:r>
      <w:r w:rsidRPr="009B6DCF">
        <w:t>doorgaat met het zoeken naar oplossingen waar ze niet gevonden kunnen worden</w:t>
      </w:r>
      <w:r w:rsidR="009B6DCF">
        <w:t>. Dat werkt</w:t>
      </w:r>
      <w:r w:rsidRPr="009B6DCF">
        <w:t xml:space="preserve"> belemmerend </w:t>
      </w:r>
      <w:r w:rsidRPr="00B01C64">
        <w:t xml:space="preserve">ten opzichte van de mogelijkheden die je wel hebt. Dat is het probleem van de keuze, maar dat dat een pijnlijke keuze is, </w:t>
      </w:r>
      <w:r w:rsidR="00FF63D1" w:rsidRPr="000437DB">
        <w:t xml:space="preserve">dat </w:t>
      </w:r>
      <w:r w:rsidRPr="000437DB">
        <w:t xml:space="preserve">is wel duidelijk ja. </w:t>
      </w:r>
    </w:p>
    <w:p w14:paraId="4766FED8" w14:textId="77777777" w:rsidR="009556D4" w:rsidRPr="00A80264" w:rsidRDefault="009556D4" w:rsidP="00A80264">
      <w:pPr>
        <w:pStyle w:val="Geenafstand"/>
        <w:jc w:val="both"/>
        <w:rPr>
          <w:i/>
        </w:rPr>
      </w:pPr>
    </w:p>
    <w:p w14:paraId="554B7AB6" w14:textId="2A5FA873" w:rsidR="00B470B5" w:rsidRPr="00A80264" w:rsidRDefault="00B470B5" w:rsidP="00A80264">
      <w:pPr>
        <w:pStyle w:val="Geenafstand"/>
        <w:jc w:val="both"/>
        <w:rPr>
          <w:i/>
        </w:rPr>
      </w:pPr>
      <w:r w:rsidRPr="00A80264">
        <w:rPr>
          <w:i/>
        </w:rPr>
        <w:t>Het Hof van Justit</w:t>
      </w:r>
      <w:r w:rsidR="00FF63D1" w:rsidRPr="00A80264">
        <w:rPr>
          <w:i/>
        </w:rPr>
        <w:t xml:space="preserve">ie tovert zo 28 rechters erbij, </w:t>
      </w:r>
      <w:r w:rsidR="007A5A6F" w:rsidRPr="00A80264">
        <w:rPr>
          <w:i/>
        </w:rPr>
        <w:t>daar lijkt</w:t>
      </w:r>
      <w:r w:rsidR="009556D4">
        <w:rPr>
          <w:i/>
        </w:rPr>
        <w:t xml:space="preserve"> </w:t>
      </w:r>
      <w:r w:rsidR="00FF63D1" w:rsidRPr="00A80264">
        <w:rPr>
          <w:i/>
        </w:rPr>
        <w:t>het geld tegen de plinten</w:t>
      </w:r>
      <w:r w:rsidR="007A5A6F" w:rsidRPr="00A80264">
        <w:rPr>
          <w:i/>
        </w:rPr>
        <w:t xml:space="preserve"> </w:t>
      </w:r>
      <w:r w:rsidR="007B6F00">
        <w:rPr>
          <w:i/>
        </w:rPr>
        <w:t xml:space="preserve">te </w:t>
      </w:r>
      <w:r w:rsidR="007A5A6F" w:rsidRPr="00A80264">
        <w:rPr>
          <w:i/>
        </w:rPr>
        <w:t>klotsen</w:t>
      </w:r>
      <w:r w:rsidR="00FF63D1" w:rsidRPr="00A80264">
        <w:rPr>
          <w:i/>
        </w:rPr>
        <w:t>.</w:t>
      </w:r>
    </w:p>
    <w:p w14:paraId="4BAF7494" w14:textId="77777777" w:rsidR="009556D4" w:rsidRPr="00EF09C9" w:rsidRDefault="009556D4" w:rsidP="00A80264">
      <w:pPr>
        <w:pStyle w:val="Geenafstand"/>
        <w:jc w:val="both"/>
      </w:pPr>
    </w:p>
    <w:p w14:paraId="25183127" w14:textId="32662E2C" w:rsidR="009556D4" w:rsidRDefault="00B470B5" w:rsidP="00A80264">
      <w:pPr>
        <w:pStyle w:val="Geenafstand"/>
        <w:jc w:val="both"/>
        <w:rPr>
          <w:b/>
        </w:rPr>
      </w:pPr>
      <w:r w:rsidRPr="00DC6EE1">
        <w:t xml:space="preserve">Dat is een enorm verschil. Het </w:t>
      </w:r>
      <w:r w:rsidR="007A5A6F" w:rsidRPr="00626EB7">
        <w:t>H</w:t>
      </w:r>
      <w:r w:rsidRPr="009B6DCF">
        <w:t>of in Straatsburg werkt met een budget dat even groot is als de vuilnisdienst van Hamburg</w:t>
      </w:r>
      <w:r w:rsidR="007A5A6F" w:rsidRPr="009B6DCF">
        <w:t xml:space="preserve">, zoals </w:t>
      </w:r>
      <w:r w:rsidR="000640FA">
        <w:t>ik meen</w:t>
      </w:r>
      <w:r w:rsidR="007A5A6F" w:rsidRPr="009B6DCF">
        <w:t xml:space="preserve"> </w:t>
      </w:r>
      <w:r w:rsidR="007B6F00">
        <w:t xml:space="preserve">dat </w:t>
      </w:r>
      <w:r w:rsidR="007A5A6F" w:rsidRPr="009B6DCF">
        <w:t>Rick Lawson ooit een keer opmerkte</w:t>
      </w:r>
      <w:r w:rsidRPr="00B01C64">
        <w:t xml:space="preserve">. Je moet </w:t>
      </w:r>
      <w:r w:rsidR="007A5A6F" w:rsidRPr="00B01C64">
        <w:t xml:space="preserve">dit </w:t>
      </w:r>
      <w:r w:rsidRPr="000437DB">
        <w:t xml:space="preserve">niet te vaak zeggen </w:t>
      </w:r>
      <w:r w:rsidR="000640FA">
        <w:t xml:space="preserve">werd er bij gezegd </w:t>
      </w:r>
      <w:r w:rsidRPr="000437DB">
        <w:t xml:space="preserve">want </w:t>
      </w:r>
      <w:r w:rsidR="007A5A6F" w:rsidRPr="000437DB">
        <w:t xml:space="preserve">dan </w:t>
      </w:r>
      <w:r w:rsidRPr="000437DB">
        <w:t xml:space="preserve">gaat </w:t>
      </w:r>
      <w:r w:rsidR="007A5A6F" w:rsidRPr="000437DB">
        <w:t xml:space="preserve">het </w:t>
      </w:r>
      <w:r w:rsidRPr="000437DB">
        <w:t xml:space="preserve">zijn eigen leven leiden. </w:t>
      </w:r>
      <w:r w:rsidR="007A5A6F" w:rsidRPr="000437DB">
        <w:t xml:space="preserve">De </w:t>
      </w:r>
      <w:r w:rsidRPr="000437DB">
        <w:t xml:space="preserve">Rechtbank </w:t>
      </w:r>
      <w:r w:rsidR="00FF63D1" w:rsidRPr="000437DB">
        <w:t>R</w:t>
      </w:r>
      <w:r w:rsidRPr="000437DB">
        <w:t>otterdam heeft een groter budget</w:t>
      </w:r>
      <w:r w:rsidR="000640FA">
        <w:t xml:space="preserve"> dan het Hof</w:t>
      </w:r>
      <w:r w:rsidRPr="000437DB">
        <w:t>. En je moet je ook voorstellen da</w:t>
      </w:r>
      <w:r w:rsidR="00FF63D1" w:rsidRPr="000437DB">
        <w:t>t je in Straatsburg met vertaal</w:t>
      </w:r>
      <w:r w:rsidRPr="000437DB">
        <w:t>kosten</w:t>
      </w:r>
      <w:r w:rsidR="007A5A6F" w:rsidRPr="000437DB">
        <w:t xml:space="preserve"> zit. H</w:t>
      </w:r>
      <w:r w:rsidR="00FF63D1" w:rsidRPr="000437DB">
        <w:t>et is</w:t>
      </w:r>
      <w:r w:rsidRPr="000437DB">
        <w:t xml:space="preserve"> niet</w:t>
      </w:r>
      <w:r w:rsidR="00FF63D1" w:rsidRPr="000437DB">
        <w:t xml:space="preserve"> een</w:t>
      </w:r>
      <w:r w:rsidRPr="000437DB">
        <w:t xml:space="preserve"> eenv</w:t>
      </w:r>
      <w:r w:rsidR="00FF63D1" w:rsidRPr="000437DB">
        <w:t>oudig te organiseren geheel</w:t>
      </w:r>
      <w:r w:rsidRPr="000437DB">
        <w:t>. Tegelijkertijd weet je dat de lidstaten niet veel meer geld aan</w:t>
      </w:r>
      <w:r w:rsidR="007A5A6F" w:rsidRPr="000437DB">
        <w:t xml:space="preserve"> het systeem</w:t>
      </w:r>
      <w:r w:rsidRPr="000437DB">
        <w:t xml:space="preserve"> willen besteden. Het belangrijkste is niet eens al</w:t>
      </w:r>
      <w:r w:rsidR="005E5CE3">
        <w:t>le</w:t>
      </w:r>
      <w:r w:rsidRPr="000437DB">
        <w:t xml:space="preserve"> zaken </w:t>
      </w:r>
      <w:r w:rsidR="005E5CE3">
        <w:t>tot in detail</w:t>
      </w:r>
      <w:r w:rsidRPr="000437DB">
        <w:t xml:space="preserve"> af te </w:t>
      </w:r>
      <w:r w:rsidR="005E5CE3">
        <w:t xml:space="preserve">kunnen </w:t>
      </w:r>
      <w:r w:rsidRPr="000437DB">
        <w:t>doen, het belangrijkste is dat er in de lidstaten een verhoogd niveau van mensenrechtenbescherming zal ontstaan. Daar zit</w:t>
      </w:r>
      <w:r w:rsidR="007B6F00">
        <w:t>,</w:t>
      </w:r>
      <w:r w:rsidRPr="000437DB">
        <w:t xml:space="preserve"> denk ik</w:t>
      </w:r>
      <w:r w:rsidR="007B6F00">
        <w:t>,</w:t>
      </w:r>
      <w:r w:rsidRPr="000437DB">
        <w:t xml:space="preserve"> het kernprobleem. </w:t>
      </w:r>
    </w:p>
    <w:p w14:paraId="2C226169" w14:textId="77777777" w:rsidR="009556D4" w:rsidRDefault="009556D4" w:rsidP="00A80264">
      <w:pPr>
        <w:pStyle w:val="Geenafstand"/>
        <w:jc w:val="both"/>
        <w:rPr>
          <w:b/>
        </w:rPr>
      </w:pPr>
    </w:p>
    <w:p w14:paraId="3DFFD47C" w14:textId="77777777" w:rsidR="00B470B5" w:rsidRPr="00A80264" w:rsidRDefault="00B470B5" w:rsidP="00A80264">
      <w:pPr>
        <w:pStyle w:val="Geenafstand"/>
        <w:jc w:val="both"/>
        <w:rPr>
          <w:i/>
        </w:rPr>
      </w:pPr>
      <w:r w:rsidRPr="00A80264">
        <w:rPr>
          <w:i/>
        </w:rPr>
        <w:t>Ziet u dat positief in?</w:t>
      </w:r>
      <w:r w:rsidR="00E724A2" w:rsidRPr="00A80264">
        <w:rPr>
          <w:i/>
        </w:rPr>
        <w:t xml:space="preserve"> </w:t>
      </w:r>
    </w:p>
    <w:p w14:paraId="1A875CA3" w14:textId="77777777" w:rsidR="009556D4" w:rsidRPr="00DC6EE1" w:rsidRDefault="009556D4" w:rsidP="00A80264">
      <w:pPr>
        <w:pStyle w:val="Geenafstand"/>
        <w:jc w:val="both"/>
      </w:pPr>
    </w:p>
    <w:p w14:paraId="55F9868C" w14:textId="10C4C864" w:rsidR="00B470B5" w:rsidRDefault="00FF63D1" w:rsidP="00A80264">
      <w:pPr>
        <w:pStyle w:val="Geenafstand"/>
        <w:jc w:val="both"/>
      </w:pPr>
      <w:r w:rsidRPr="00DC6EE1">
        <w:t>Nou, ik vind</w:t>
      </w:r>
      <w:r w:rsidR="00B470B5" w:rsidRPr="00626EB7">
        <w:t xml:space="preserve"> dat </w:t>
      </w:r>
      <w:r w:rsidR="009556D4" w:rsidRPr="00022BFB">
        <w:t>Europa, breder gesproken, in een hee</w:t>
      </w:r>
      <w:r w:rsidR="007B6F00">
        <w:t>l</w:t>
      </w:r>
      <w:r w:rsidR="009556D4" w:rsidRPr="00022BFB">
        <w:t xml:space="preserve"> problematische fase verkeert. </w:t>
      </w:r>
      <w:r w:rsidRPr="009B6DCF">
        <w:t>Dat is onmiskenbaar.</w:t>
      </w:r>
      <w:r w:rsidR="00B470B5" w:rsidRPr="00B01C64">
        <w:t xml:space="preserve"> Zoals al genoemd, </w:t>
      </w:r>
      <w:r w:rsidR="007B6F00">
        <w:t xml:space="preserve">is er </w:t>
      </w:r>
      <w:r w:rsidR="007A5A6F" w:rsidRPr="00B01C64">
        <w:t xml:space="preserve">de activering van </w:t>
      </w:r>
      <w:r w:rsidR="00B470B5" w:rsidRPr="00B01C64">
        <w:t xml:space="preserve">artikel 15 </w:t>
      </w:r>
      <w:r w:rsidR="007B6F00">
        <w:t xml:space="preserve">EVRM </w:t>
      </w:r>
      <w:r w:rsidR="00B470B5" w:rsidRPr="00B01C64">
        <w:t xml:space="preserve">in een aantal </w:t>
      </w:r>
      <w:r w:rsidR="00B470B5" w:rsidRPr="000437DB">
        <w:t>staten</w:t>
      </w:r>
      <w:r w:rsidR="007A5A6F" w:rsidRPr="000437DB">
        <w:t xml:space="preserve"> en</w:t>
      </w:r>
      <w:r w:rsidR="00B470B5" w:rsidRPr="000437DB">
        <w:t xml:space="preserve"> </w:t>
      </w:r>
      <w:r w:rsidR="007A5A6F" w:rsidRPr="000437DB">
        <w:t xml:space="preserve">de </w:t>
      </w:r>
      <w:r w:rsidR="00B470B5" w:rsidRPr="000437DB">
        <w:t>problemen die er lijken te zijn in Hongarije</w:t>
      </w:r>
      <w:r w:rsidR="007A5A6F" w:rsidRPr="000437DB">
        <w:t xml:space="preserve"> en</w:t>
      </w:r>
      <w:r w:rsidR="00B470B5" w:rsidRPr="000437DB">
        <w:t xml:space="preserve"> Polen</w:t>
      </w:r>
      <w:r w:rsidR="007A5A6F" w:rsidRPr="00DC6EE1">
        <w:t>.</w:t>
      </w:r>
      <w:r w:rsidR="00837530">
        <w:t xml:space="preserve"> </w:t>
      </w:r>
      <w:r w:rsidR="007A5A6F" w:rsidRPr="009B6DCF">
        <w:t>H</w:t>
      </w:r>
      <w:r w:rsidR="00B470B5" w:rsidRPr="009B6DCF">
        <w:t>et wordt een moeilijke periode voor Europa, dat is voor de Raad van Europa,</w:t>
      </w:r>
      <w:r w:rsidR="007A5A6F" w:rsidRPr="00B01C64">
        <w:t xml:space="preserve"> maar</w:t>
      </w:r>
      <w:r w:rsidR="00B470B5" w:rsidRPr="00B01C64">
        <w:t xml:space="preserve"> ook voor de Europese Unie het geval. Brexit is natuurlijk al een voorbeeld daarvan. Maar het hee</w:t>
      </w:r>
      <w:r w:rsidR="00B470B5" w:rsidRPr="000437DB">
        <w:t>ft niet zo’n zin om daarover te somberen.</w:t>
      </w:r>
    </w:p>
    <w:p w14:paraId="60AB7E93" w14:textId="77777777" w:rsidR="009556D4" w:rsidRPr="00DC6EE1" w:rsidRDefault="009556D4" w:rsidP="00A80264">
      <w:pPr>
        <w:pStyle w:val="Geenafstand"/>
        <w:jc w:val="both"/>
      </w:pPr>
    </w:p>
    <w:p w14:paraId="2E23C5D0" w14:textId="6848564E" w:rsidR="00B470B5" w:rsidRPr="00A80264" w:rsidRDefault="00785A05" w:rsidP="00A80264">
      <w:pPr>
        <w:pStyle w:val="Geenafstand"/>
        <w:jc w:val="both"/>
        <w:rPr>
          <w:i/>
        </w:rPr>
      </w:pPr>
      <w:r w:rsidRPr="00A80264">
        <w:rPr>
          <w:i/>
        </w:rPr>
        <w:t>Moet je niet op een gegeven moment zeggen, als draconische maatregel,</w:t>
      </w:r>
      <w:r w:rsidR="007A5A6F" w:rsidRPr="00A80264">
        <w:rPr>
          <w:i/>
        </w:rPr>
        <w:t xml:space="preserve"> dat als je je niet aan de waarden </w:t>
      </w:r>
      <w:r w:rsidR="0091345B">
        <w:rPr>
          <w:i/>
        </w:rPr>
        <w:t xml:space="preserve">van de Raad van Europa </w:t>
      </w:r>
      <w:r w:rsidR="007A5A6F" w:rsidRPr="00A80264">
        <w:rPr>
          <w:i/>
        </w:rPr>
        <w:t>kan houden</w:t>
      </w:r>
      <w:r w:rsidR="0091345B">
        <w:rPr>
          <w:i/>
        </w:rPr>
        <w:t>,</w:t>
      </w:r>
      <w:r w:rsidR="007A5A6F" w:rsidRPr="00A80264">
        <w:rPr>
          <w:i/>
        </w:rPr>
        <w:t xml:space="preserve"> dat het op een gegeven moment exit is </w:t>
      </w:r>
      <w:r w:rsidRPr="00A80264">
        <w:rPr>
          <w:i/>
        </w:rPr>
        <w:t>voor bepaalde lidstaten</w:t>
      </w:r>
      <w:r w:rsidR="00474A22" w:rsidRPr="00A80264">
        <w:rPr>
          <w:i/>
        </w:rPr>
        <w:t xml:space="preserve"> zoals Rusland</w:t>
      </w:r>
      <w:r w:rsidR="007B6F00">
        <w:rPr>
          <w:i/>
        </w:rPr>
        <w:t>?</w:t>
      </w:r>
      <w:r w:rsidRPr="00A80264">
        <w:rPr>
          <w:i/>
        </w:rPr>
        <w:t xml:space="preserve"> </w:t>
      </w:r>
      <w:r w:rsidR="007A5A6F" w:rsidRPr="00A80264">
        <w:rPr>
          <w:i/>
        </w:rPr>
        <w:t>Dit is o</w:t>
      </w:r>
      <w:r w:rsidRPr="00A80264">
        <w:rPr>
          <w:i/>
        </w:rPr>
        <w:t xml:space="preserve">ok </w:t>
      </w:r>
      <w:r w:rsidR="007A5A6F" w:rsidRPr="00A80264">
        <w:rPr>
          <w:i/>
        </w:rPr>
        <w:t xml:space="preserve">gelijk </w:t>
      </w:r>
      <w:r w:rsidRPr="00A80264">
        <w:rPr>
          <w:i/>
        </w:rPr>
        <w:t xml:space="preserve">een soort oplossing </w:t>
      </w:r>
      <w:r w:rsidR="0091345B">
        <w:rPr>
          <w:i/>
        </w:rPr>
        <w:t xml:space="preserve">voor </w:t>
      </w:r>
      <w:r w:rsidR="007A5A6F" w:rsidRPr="00A80264">
        <w:rPr>
          <w:i/>
        </w:rPr>
        <w:t>de achterstanden natuurlijk</w:t>
      </w:r>
      <w:r w:rsidR="0091345B">
        <w:rPr>
          <w:i/>
        </w:rPr>
        <w:t>.</w:t>
      </w:r>
      <w:r w:rsidR="007A5A6F" w:rsidRPr="00A80264">
        <w:rPr>
          <w:i/>
        </w:rPr>
        <w:t xml:space="preserve"> </w:t>
      </w:r>
      <w:r w:rsidRPr="00A80264">
        <w:rPr>
          <w:i/>
        </w:rPr>
        <w:t xml:space="preserve"> </w:t>
      </w:r>
    </w:p>
    <w:p w14:paraId="2D68926F" w14:textId="77777777" w:rsidR="009556D4" w:rsidRPr="00DC6EE1" w:rsidRDefault="009556D4" w:rsidP="00A80264">
      <w:pPr>
        <w:pStyle w:val="Geenafstand"/>
        <w:jc w:val="both"/>
        <w:rPr>
          <w:b/>
        </w:rPr>
      </w:pPr>
    </w:p>
    <w:p w14:paraId="1FC665F2" w14:textId="77777777" w:rsidR="00785A05" w:rsidRDefault="00785A05" w:rsidP="00A80264">
      <w:pPr>
        <w:pStyle w:val="Geenafstand"/>
        <w:jc w:val="both"/>
      </w:pPr>
      <w:r w:rsidRPr="00626EB7">
        <w:t>Als je kijkt naar de geschiedenis van de Raad v</w:t>
      </w:r>
      <w:r w:rsidRPr="009B6DCF">
        <w:t>an Europa is Griekenland er een keer een p</w:t>
      </w:r>
      <w:r w:rsidR="00FF63D1" w:rsidRPr="009B6DCF">
        <w:t>oosje uit geweest</w:t>
      </w:r>
      <w:r w:rsidR="007A5A6F" w:rsidRPr="00B01C64">
        <w:t>,</w:t>
      </w:r>
      <w:r w:rsidR="00FF63D1" w:rsidRPr="00B01C64">
        <w:t xml:space="preserve"> maar </w:t>
      </w:r>
      <w:r w:rsidR="007A5A6F" w:rsidRPr="000437DB">
        <w:t>uiteindelijk</w:t>
      </w:r>
      <w:r w:rsidR="00FF63D1" w:rsidRPr="000437DB">
        <w:t xml:space="preserve"> terug</w:t>
      </w:r>
      <w:r w:rsidRPr="000437DB">
        <w:t>gekomen. Dat was rond een bots</w:t>
      </w:r>
      <w:r w:rsidR="00FF63D1" w:rsidRPr="000437DB">
        <w:t xml:space="preserve">ing </w:t>
      </w:r>
      <w:r w:rsidR="00474A22" w:rsidRPr="000437DB">
        <w:t>met</w:t>
      </w:r>
      <w:r w:rsidR="00FF63D1" w:rsidRPr="000437DB">
        <w:t xml:space="preserve"> het kolonelsregime. Verder is het</w:t>
      </w:r>
      <w:r w:rsidRPr="000437DB">
        <w:t xml:space="preserve"> niet tot uitstootgedrag gekomen, ook nu niet. Het verste is de Secretaris-Generaal denk ik gegaan richting Azerbeid</w:t>
      </w:r>
      <w:r w:rsidR="00FF63D1" w:rsidRPr="000437DB">
        <w:t>zjan, waar w</w:t>
      </w:r>
      <w:r w:rsidRPr="000437DB">
        <w:t>aarschuwingen</w:t>
      </w:r>
      <w:r w:rsidR="00474A22" w:rsidRPr="000437DB">
        <w:t xml:space="preserve"> zijn</w:t>
      </w:r>
      <w:r w:rsidRPr="000437DB">
        <w:t xml:space="preserve"> </w:t>
      </w:r>
      <w:r w:rsidR="00FF63D1" w:rsidRPr="000437DB">
        <w:t>gegeven</w:t>
      </w:r>
      <w:r w:rsidR="00474A22" w:rsidRPr="000437DB">
        <w:t>. R</w:t>
      </w:r>
      <w:r w:rsidR="00FF63D1" w:rsidRPr="000437DB">
        <w:t>egelmatig worden</w:t>
      </w:r>
      <w:r w:rsidRPr="000437DB">
        <w:t xml:space="preserve"> natuurlijk zorgen geuit over de ontwikkelingen in bepaalde staten, maar dat kan alle stat</w:t>
      </w:r>
      <w:r w:rsidR="00FD0765" w:rsidRPr="000437DB">
        <w:t xml:space="preserve">en betreffen. </w:t>
      </w:r>
      <w:r w:rsidR="00E14F0E">
        <w:t>U</w:t>
      </w:r>
      <w:r w:rsidR="00474A22" w:rsidRPr="000437DB">
        <w:t xml:space="preserve"> n</w:t>
      </w:r>
      <w:r w:rsidR="00FD0765" w:rsidRPr="000437DB">
        <w:t>oem</w:t>
      </w:r>
      <w:r w:rsidR="00474A22" w:rsidRPr="000437DB">
        <w:t>t</w:t>
      </w:r>
      <w:r w:rsidR="00FD0765" w:rsidRPr="000437DB">
        <w:t xml:space="preserve"> </w:t>
      </w:r>
      <w:r w:rsidRPr="000437DB">
        <w:t>Rusland</w:t>
      </w:r>
      <w:r w:rsidR="00474A22" w:rsidRPr="000437DB">
        <w:t>. I</w:t>
      </w:r>
      <w:r w:rsidRPr="000437DB">
        <w:t xml:space="preserve">n Rusland </w:t>
      </w:r>
      <w:r w:rsidR="00474A22" w:rsidRPr="000437DB">
        <w:t xml:space="preserve">zijn </w:t>
      </w:r>
      <w:r w:rsidRPr="000437DB">
        <w:t xml:space="preserve">een heleboel positieve effecten aan te wijzen ten gevolge van het </w:t>
      </w:r>
      <w:r w:rsidR="007724AF">
        <w:t>Hof</w:t>
      </w:r>
      <w:r w:rsidRPr="000437DB">
        <w:t xml:space="preserve">. De rechters in Rusland kennen de uitspraken van het Hof over het algemeen goed. Dat wil niet zeggen dat er geen zorgen zijn, die zijn er zeker. Maar positieve effecten zijn er ook. </w:t>
      </w:r>
    </w:p>
    <w:p w14:paraId="1941C28B" w14:textId="77777777" w:rsidR="009556D4" w:rsidRPr="00DC6EE1" w:rsidRDefault="009556D4" w:rsidP="00A80264">
      <w:pPr>
        <w:pStyle w:val="Geenafstand"/>
        <w:jc w:val="both"/>
      </w:pPr>
    </w:p>
    <w:p w14:paraId="0AD108DE" w14:textId="77777777" w:rsidR="00785A05" w:rsidRPr="00A80264" w:rsidRDefault="00785A05" w:rsidP="00A80264">
      <w:pPr>
        <w:jc w:val="both"/>
        <w:rPr>
          <w:rFonts w:cstheme="minorHAnsi"/>
          <w:i/>
        </w:rPr>
      </w:pPr>
      <w:r w:rsidRPr="00A80264">
        <w:rPr>
          <w:rFonts w:cstheme="minorHAnsi"/>
          <w:i/>
        </w:rPr>
        <w:t>Dus dat zou niet wenselijk zijn, zo’n maatregel?</w:t>
      </w:r>
      <w:r w:rsidR="00E724A2" w:rsidRPr="00A80264">
        <w:rPr>
          <w:rFonts w:cstheme="minorHAnsi"/>
          <w:i/>
        </w:rPr>
        <w:t xml:space="preserve"> </w:t>
      </w:r>
    </w:p>
    <w:p w14:paraId="104DF33C" w14:textId="3A23CE18" w:rsidR="00785A05" w:rsidRPr="000437DB" w:rsidRDefault="00785A05" w:rsidP="00A80264">
      <w:pPr>
        <w:pStyle w:val="Geenafstand"/>
        <w:jc w:val="both"/>
      </w:pPr>
      <w:r w:rsidRPr="00DC6EE1">
        <w:t>Wanneer je kijkt naar de totstandkoming van de Raad van Europa, wa</w:t>
      </w:r>
      <w:r w:rsidR="007B6F00">
        <w:t>s</w:t>
      </w:r>
      <w:r w:rsidRPr="00DC6EE1">
        <w:t xml:space="preserve"> </w:t>
      </w:r>
      <w:r w:rsidR="00474A22" w:rsidRPr="00626EB7">
        <w:t xml:space="preserve">er in feite al </w:t>
      </w:r>
      <w:r w:rsidRPr="009B6DCF">
        <w:t>een aantal van die conflicten rondom bijzondere gebieden zoals Transnistrië</w:t>
      </w:r>
      <w:r w:rsidRPr="00B01C64">
        <w:t>. Het is toen al aanvaard dat er dergelijke conflicten waren. Het is</w:t>
      </w:r>
      <w:r w:rsidR="00474A22" w:rsidRPr="000437DB">
        <w:t xml:space="preserve"> dus</w:t>
      </w:r>
      <w:r w:rsidRPr="000437DB">
        <w:t xml:space="preserve"> vooral een organisatie van de hoop dat het beter wordt</w:t>
      </w:r>
      <w:r w:rsidR="00474A22" w:rsidRPr="000437DB">
        <w:t xml:space="preserve"> en</w:t>
      </w:r>
      <w:r w:rsidRPr="000437DB">
        <w:t xml:space="preserve"> daar zo goed mogelijk aan werken en niet te gauw de conclusie trekken van </w:t>
      </w:r>
      <w:r w:rsidR="00B7478F">
        <w:t>“</w:t>
      </w:r>
      <w:r w:rsidRPr="000437DB">
        <w:t>ga er maar uit</w:t>
      </w:r>
      <w:r w:rsidR="00B7478F">
        <w:t>”</w:t>
      </w:r>
      <w:r w:rsidRPr="000437DB">
        <w:t xml:space="preserve"> en </w:t>
      </w:r>
      <w:r w:rsidR="00B7478F">
        <w:t>“</w:t>
      </w:r>
      <w:r w:rsidRPr="000437DB">
        <w:t>zoek het maar uit</w:t>
      </w:r>
      <w:r w:rsidR="00B7478F">
        <w:t>”</w:t>
      </w:r>
      <w:r w:rsidRPr="000437DB">
        <w:t xml:space="preserve">.  </w:t>
      </w:r>
    </w:p>
    <w:p w14:paraId="1978FC52" w14:textId="77777777" w:rsidR="0091345B" w:rsidRDefault="0091345B" w:rsidP="00A80264">
      <w:pPr>
        <w:pStyle w:val="Geenafstand"/>
        <w:rPr>
          <w:b/>
        </w:rPr>
      </w:pPr>
    </w:p>
    <w:p w14:paraId="5174A01E" w14:textId="77777777" w:rsidR="009556D4" w:rsidRDefault="009556D4" w:rsidP="00A80264">
      <w:pPr>
        <w:pStyle w:val="Geenafstand"/>
        <w:rPr>
          <w:b/>
        </w:rPr>
      </w:pPr>
      <w:r>
        <w:rPr>
          <w:b/>
        </w:rPr>
        <w:t xml:space="preserve">Het Hof en Silvis </w:t>
      </w:r>
    </w:p>
    <w:p w14:paraId="022F7FEF" w14:textId="77777777" w:rsidR="009556D4" w:rsidRDefault="009556D4" w:rsidP="00A80264">
      <w:pPr>
        <w:pStyle w:val="Geenafstand"/>
        <w:jc w:val="both"/>
        <w:rPr>
          <w:b/>
        </w:rPr>
      </w:pPr>
    </w:p>
    <w:p w14:paraId="734BAFEA" w14:textId="0AA64DCE" w:rsidR="002F6D4E" w:rsidRPr="00A80264" w:rsidRDefault="002F6D4E" w:rsidP="00A80264">
      <w:pPr>
        <w:pStyle w:val="Geenafstand"/>
        <w:jc w:val="both"/>
        <w:rPr>
          <w:i/>
        </w:rPr>
      </w:pPr>
      <w:r w:rsidRPr="00A80264">
        <w:rPr>
          <w:i/>
        </w:rPr>
        <w:t xml:space="preserve">Zoals u in uw </w:t>
      </w:r>
      <w:r w:rsidR="007B6F00">
        <w:rPr>
          <w:i/>
        </w:rPr>
        <w:t>“</w:t>
      </w:r>
      <w:r w:rsidR="0091345B">
        <w:rPr>
          <w:i/>
        </w:rPr>
        <w:t>Zicht op Straatsburg</w:t>
      </w:r>
      <w:r w:rsidR="007B6F00">
        <w:rPr>
          <w:i/>
        </w:rPr>
        <w:t>”</w:t>
      </w:r>
      <w:r w:rsidR="0091345B">
        <w:rPr>
          <w:i/>
        </w:rPr>
        <w:t xml:space="preserve"> </w:t>
      </w:r>
      <w:r w:rsidR="007B6F00">
        <w:rPr>
          <w:i/>
        </w:rPr>
        <w:t xml:space="preserve">nr. </w:t>
      </w:r>
      <w:r w:rsidRPr="00A80264">
        <w:rPr>
          <w:i/>
        </w:rPr>
        <w:t xml:space="preserve">5 aangeeft, staat in het werkende leven van een Straatsburgse rechter “de zaaksbehandeling voorop, de agenda is overvol”. Hoe ervaarde u de Straatsburgse werkdruk in vergelijking met de werkdruk als rechter in Nederland of als </w:t>
      </w:r>
      <w:r w:rsidR="0091345B">
        <w:rPr>
          <w:i/>
        </w:rPr>
        <w:t>advocaat-generaal</w:t>
      </w:r>
      <w:r w:rsidRPr="00A80264">
        <w:rPr>
          <w:i/>
        </w:rPr>
        <w:t xml:space="preserve">? </w:t>
      </w:r>
    </w:p>
    <w:p w14:paraId="39A897C6" w14:textId="77777777" w:rsidR="009556D4" w:rsidRPr="00A80264" w:rsidRDefault="009556D4" w:rsidP="00A80264">
      <w:pPr>
        <w:pStyle w:val="Geenafstand"/>
        <w:jc w:val="both"/>
      </w:pPr>
    </w:p>
    <w:p w14:paraId="13D369C3" w14:textId="77777777" w:rsidR="009556D4" w:rsidRDefault="00785A05" w:rsidP="00A80264">
      <w:pPr>
        <w:pStyle w:val="Geenafstand"/>
        <w:jc w:val="both"/>
      </w:pPr>
      <w:r w:rsidRPr="00B01C64">
        <w:lastRenderedPageBreak/>
        <w:t xml:space="preserve">Ik zit hier </w:t>
      </w:r>
      <w:r w:rsidR="00545CD6" w:rsidRPr="00B01C64">
        <w:t xml:space="preserve">natuurlijk pas vanaf </w:t>
      </w:r>
      <w:r w:rsidR="002F6D4E" w:rsidRPr="000437DB">
        <w:t>s</w:t>
      </w:r>
      <w:r w:rsidR="00545CD6" w:rsidRPr="000437DB">
        <w:t>eptember,</w:t>
      </w:r>
      <w:r w:rsidR="00B41228">
        <w:t xml:space="preserve"> </w:t>
      </w:r>
      <w:r w:rsidR="000640FA">
        <w:t>de eerste fase is vanzelfsprekend ook die van verwondering</w:t>
      </w:r>
      <w:r w:rsidR="00545CD6" w:rsidRPr="000437DB">
        <w:t xml:space="preserve">. Dan moet je zorgen dat je de organisatie en de mensen </w:t>
      </w:r>
      <w:r w:rsidR="00B41228">
        <w:t>beter</w:t>
      </w:r>
      <w:r w:rsidR="00545CD6" w:rsidRPr="000437DB">
        <w:t xml:space="preserve"> </w:t>
      </w:r>
      <w:r w:rsidR="000640FA">
        <w:t>leert kennen</w:t>
      </w:r>
      <w:r w:rsidR="002F6D4E" w:rsidRPr="000437DB">
        <w:t xml:space="preserve"> en moet je je inwerken in je nieuwe rol. H</w:t>
      </w:r>
      <w:r w:rsidR="00545CD6" w:rsidRPr="000437DB">
        <w:t>et woord werkdruk heb ik eerlijk gezegd nooit zo begrepen</w:t>
      </w:r>
      <w:r w:rsidR="00B41228">
        <w:t xml:space="preserve"> als objectieve maatstaf voor taken die moeten worden aa</w:t>
      </w:r>
      <w:r w:rsidR="005E5CE3">
        <w:t>n</w:t>
      </w:r>
      <w:r w:rsidR="00B41228">
        <w:t>gepakt</w:t>
      </w:r>
      <w:r w:rsidR="00545CD6" w:rsidRPr="000437DB">
        <w:t xml:space="preserve">. In welke functie dan ook. Want je kunt als student een enorme werkdruk ervaren of niet. Je kunt niet meer doen dan je met inzet doet. En wat je ook doet, je moet er rekening mee houden dat de nodige rust en ontspanning en sociale contacten ook nodig zijn, omdat je anders het werk niet goed kunt doen. </w:t>
      </w:r>
      <w:r w:rsidR="002F6D4E" w:rsidRPr="000437DB">
        <w:t xml:space="preserve">Er wordt hard gewerkt in Straatsburg, en er wordt hier op het Parket bij de Hoge Raad hard gewerkt. </w:t>
      </w:r>
      <w:r w:rsidR="00545CD6" w:rsidRPr="000437DB">
        <w:t>Je moet niet het gevoel opbouwen dat je in kortere tijd meer moet doen</w:t>
      </w:r>
      <w:r w:rsidR="000640FA">
        <w:t xml:space="preserve"> als dat niet </w:t>
      </w:r>
      <w:r w:rsidR="00B41228">
        <w:t xml:space="preserve">ook goed </w:t>
      </w:r>
      <w:r w:rsidR="000640FA">
        <w:t>kan</w:t>
      </w:r>
      <w:r w:rsidR="00B41228">
        <w:t xml:space="preserve"> worden gedaan</w:t>
      </w:r>
      <w:r w:rsidR="00545CD6" w:rsidRPr="000437DB">
        <w:t>. Als je dat gevoel hebt dan wordt werk</w:t>
      </w:r>
      <w:r w:rsidR="00FD0765" w:rsidRPr="000437DB">
        <w:t>druk iets heel negatiefs en</w:t>
      </w:r>
      <w:r w:rsidR="00545CD6" w:rsidRPr="000437DB">
        <w:t xml:space="preserve"> </w:t>
      </w:r>
      <w:r w:rsidR="000640FA">
        <w:t>over</w:t>
      </w:r>
      <w:r w:rsidR="00545CD6" w:rsidRPr="000437DB">
        <w:t xml:space="preserve">belastend. Ook in Straatsburg kunnen de mensen heel goed ontspannen en plezier in het leven hebben, en ik denk dat ze ook niet goed zouden kunnen functioneren als ze dat </w:t>
      </w:r>
      <w:r w:rsidR="000640FA">
        <w:t xml:space="preserve">vermogen </w:t>
      </w:r>
      <w:r w:rsidR="00545CD6" w:rsidRPr="000437DB">
        <w:t>niet hadden. En dat geldt hier ook.</w:t>
      </w:r>
    </w:p>
    <w:p w14:paraId="308D27B8" w14:textId="77777777" w:rsidR="009556D4" w:rsidRPr="00DC6EE1" w:rsidRDefault="009556D4" w:rsidP="00A80264">
      <w:pPr>
        <w:pStyle w:val="Geenafstand"/>
        <w:jc w:val="both"/>
      </w:pPr>
    </w:p>
    <w:p w14:paraId="32399B6E" w14:textId="77777777" w:rsidR="009556D4" w:rsidRDefault="00F16B19" w:rsidP="00A80264">
      <w:pPr>
        <w:pStyle w:val="Geenafstand"/>
        <w:jc w:val="both"/>
        <w:rPr>
          <w:i/>
        </w:rPr>
      </w:pPr>
      <w:r w:rsidRPr="00A80264">
        <w:rPr>
          <w:i/>
        </w:rPr>
        <w:t>D</w:t>
      </w:r>
      <w:r w:rsidR="00FD0765" w:rsidRPr="00A80264">
        <w:rPr>
          <w:i/>
        </w:rPr>
        <w:t>e uitspraken</w:t>
      </w:r>
      <w:r w:rsidR="00545CD6" w:rsidRPr="00A80264">
        <w:rPr>
          <w:i/>
        </w:rPr>
        <w:t xml:space="preserve"> van het Hof worden </w:t>
      </w:r>
      <w:r w:rsidRPr="00A80264">
        <w:rPr>
          <w:i/>
        </w:rPr>
        <w:t xml:space="preserve">vaak </w:t>
      </w:r>
      <w:r w:rsidR="00545CD6" w:rsidRPr="00A80264">
        <w:rPr>
          <w:i/>
        </w:rPr>
        <w:t>tot op de vierkante centimeter nageplozen en bekeken</w:t>
      </w:r>
      <w:r w:rsidRPr="00A80264">
        <w:rPr>
          <w:i/>
        </w:rPr>
        <w:t>. In netelige</w:t>
      </w:r>
      <w:r w:rsidR="00545CD6" w:rsidRPr="00A80264">
        <w:rPr>
          <w:i/>
        </w:rPr>
        <w:t xml:space="preserve"> kwesties is de </w:t>
      </w:r>
      <w:r w:rsidRPr="00A80264">
        <w:rPr>
          <w:i/>
        </w:rPr>
        <w:t>blik vaak op</w:t>
      </w:r>
      <w:r w:rsidR="00545CD6" w:rsidRPr="00A80264">
        <w:rPr>
          <w:i/>
        </w:rPr>
        <w:t xml:space="preserve"> Straatsburg gericht</w:t>
      </w:r>
      <w:r w:rsidRPr="00A80264">
        <w:rPr>
          <w:i/>
        </w:rPr>
        <w:t xml:space="preserve">. Was u zich bewust van de belangrijke rol die u vervulde als rechter bij het Hof bij het </w:t>
      </w:r>
      <w:r w:rsidR="0091345B">
        <w:rPr>
          <w:i/>
        </w:rPr>
        <w:t>‘</w:t>
      </w:r>
      <w:r w:rsidRPr="00A80264">
        <w:rPr>
          <w:i/>
        </w:rPr>
        <w:t>raadkamer</w:t>
      </w:r>
      <w:r w:rsidR="0091345B">
        <w:rPr>
          <w:i/>
        </w:rPr>
        <w:t>en’</w:t>
      </w:r>
      <w:r w:rsidRPr="00A80264">
        <w:rPr>
          <w:i/>
        </w:rPr>
        <w:t xml:space="preserve"> of het concipiëren van een uitspraak? </w:t>
      </w:r>
    </w:p>
    <w:p w14:paraId="670C9FC7" w14:textId="77777777" w:rsidR="00545CD6" w:rsidRPr="00626EB7" w:rsidRDefault="00545CD6" w:rsidP="00A80264">
      <w:pPr>
        <w:pStyle w:val="Geenafstand"/>
        <w:jc w:val="both"/>
        <w:rPr>
          <w:b/>
        </w:rPr>
      </w:pPr>
    </w:p>
    <w:p w14:paraId="6A5A86CF" w14:textId="29039E92" w:rsidR="00545CD6" w:rsidRDefault="00545CD6" w:rsidP="00A80264">
      <w:pPr>
        <w:pStyle w:val="Geenafstand"/>
        <w:jc w:val="both"/>
      </w:pPr>
      <w:r w:rsidRPr="009B6DCF">
        <w:t>Ja, dat heb je soms wel</w:t>
      </w:r>
      <w:r w:rsidR="000640FA">
        <w:t xml:space="preserve"> sterk</w:t>
      </w:r>
      <w:r w:rsidR="00F16B19" w:rsidRPr="00B01C64">
        <w:t xml:space="preserve">. </w:t>
      </w:r>
      <w:r w:rsidR="000640FA">
        <w:t xml:space="preserve">Ook buiten Straatsburg. </w:t>
      </w:r>
      <w:r w:rsidR="00F16B19" w:rsidRPr="00B01C64">
        <w:t xml:space="preserve">Wanneer je </w:t>
      </w:r>
      <w:r w:rsidRPr="00B01C64">
        <w:t xml:space="preserve">bij een bijeenkomst bent </w:t>
      </w:r>
      <w:r w:rsidR="00F16B19" w:rsidRPr="000437DB">
        <w:t xml:space="preserve">met </w:t>
      </w:r>
      <w:r w:rsidRPr="000437DB">
        <w:t xml:space="preserve">veertig gepromoveerden en ze zijn allemaal op een ander onderdeel absoluut specialist, dan is het natuurlijk wel een beetje </w:t>
      </w:r>
      <w:r w:rsidR="00147597">
        <w:t>op</w:t>
      </w:r>
      <w:r w:rsidR="00147597" w:rsidRPr="000437DB">
        <w:t xml:space="preserve"> </w:t>
      </w:r>
      <w:r w:rsidRPr="000437DB">
        <w:t xml:space="preserve">eieren lopen. En dan </w:t>
      </w:r>
      <w:r w:rsidR="00F16B19" w:rsidRPr="000437DB">
        <w:t xml:space="preserve">realiseer je je ook weleens: </w:t>
      </w:r>
      <w:r w:rsidR="0091345B">
        <w:t>“</w:t>
      </w:r>
      <w:r w:rsidR="00F16B19" w:rsidRPr="00DC6EE1">
        <w:t xml:space="preserve">O ja, </w:t>
      </w:r>
      <w:r w:rsidRPr="009B6DCF">
        <w:t>zo kun je er ook naar kijken</w:t>
      </w:r>
      <w:r w:rsidR="0091345B">
        <w:t>”</w:t>
      </w:r>
      <w:r w:rsidRPr="00DC6EE1">
        <w:t xml:space="preserve">, dat is natuurlijk zo. Maar dat hoort erbij. Omgekeerd </w:t>
      </w:r>
      <w:r w:rsidR="005C4185">
        <w:t>zullen</w:t>
      </w:r>
      <w:r w:rsidR="007B6F00">
        <w:t xml:space="preserve"> </w:t>
      </w:r>
      <w:r w:rsidR="00FD0765" w:rsidRPr="00DC6EE1">
        <w:t>de specialisten wel</w:t>
      </w:r>
      <w:r w:rsidRPr="00626EB7">
        <w:t xml:space="preserve">eens </w:t>
      </w:r>
      <w:r w:rsidR="00F16B19" w:rsidRPr="009B6DCF">
        <w:t xml:space="preserve">denken: </w:t>
      </w:r>
      <w:r w:rsidR="0091345B">
        <w:t>“</w:t>
      </w:r>
      <w:r w:rsidR="00F16B19" w:rsidRPr="009B6DCF">
        <w:t>H</w:t>
      </w:r>
      <w:r w:rsidR="00FD0765" w:rsidRPr="00B01C64">
        <w:t>é, dat had een rechter wel</w:t>
      </w:r>
      <w:r w:rsidRPr="00B01C64">
        <w:t>eens wat scherper op het netvlies mogen hebben</w:t>
      </w:r>
      <w:r w:rsidR="0091345B">
        <w:t>.”</w:t>
      </w:r>
      <w:r w:rsidRPr="00626EB7">
        <w:t xml:space="preserve"> Maar</w:t>
      </w:r>
      <w:r w:rsidR="00FD0765" w:rsidRPr="009B6DCF">
        <w:t xml:space="preserve"> ja </w:t>
      </w:r>
      <w:r w:rsidRPr="009B6DCF">
        <w:t>goed, het is maar één onderdeeltje van dat geheel</w:t>
      </w:r>
      <w:r w:rsidRPr="00B01C64">
        <w:t xml:space="preserve">. </w:t>
      </w:r>
      <w:r w:rsidR="005C4185">
        <w:t>I</w:t>
      </w:r>
      <w:r w:rsidRPr="00B01C64">
        <w:t xml:space="preserve">n Straatsburg zijn de rechters </w:t>
      </w:r>
      <w:r w:rsidRPr="000437DB">
        <w:t>zich zeer bewu</w:t>
      </w:r>
      <w:r w:rsidR="00D53D1E" w:rsidRPr="000437DB">
        <w:t>st van de verstrekkende betekenis</w:t>
      </w:r>
      <w:r w:rsidRPr="000437DB">
        <w:t xml:space="preserve"> van </w:t>
      </w:r>
      <w:r w:rsidR="00F16B19" w:rsidRPr="000437DB">
        <w:t xml:space="preserve">hun </w:t>
      </w:r>
      <w:r w:rsidRPr="000437DB">
        <w:t xml:space="preserve">uitspraken, en ook </w:t>
      </w:r>
      <w:r w:rsidR="00FD0765" w:rsidRPr="000437DB">
        <w:t xml:space="preserve">hoe </w:t>
      </w:r>
      <w:r w:rsidR="00F16B19" w:rsidRPr="000437DB">
        <w:t>die met aandacht worden</w:t>
      </w:r>
      <w:r w:rsidRPr="000437DB">
        <w:t xml:space="preserve"> gevolgd en becommentarieerd. Er zijn ontzettend veel blogs</w:t>
      </w:r>
      <w:r w:rsidR="00FC1FDC" w:rsidRPr="000437DB">
        <w:t xml:space="preserve"> </w:t>
      </w:r>
      <w:r w:rsidRPr="000437DB">
        <w:t>die o</w:t>
      </w:r>
      <w:r w:rsidR="00FD0765" w:rsidRPr="000437DB">
        <w:t>ok op S</w:t>
      </w:r>
      <w:r w:rsidR="00D53D1E" w:rsidRPr="000437DB">
        <w:t>traatsburg gericht zijn</w:t>
      </w:r>
      <w:r w:rsidR="005C4185">
        <w:t>, die door de rechters daar worden gelezen</w:t>
      </w:r>
      <w:r w:rsidR="00147597">
        <w:t>.</w:t>
      </w:r>
    </w:p>
    <w:p w14:paraId="2DF29428" w14:textId="77777777" w:rsidR="009556D4" w:rsidRPr="00DC6EE1" w:rsidRDefault="009556D4" w:rsidP="00A80264">
      <w:pPr>
        <w:pStyle w:val="Geenafstand"/>
        <w:jc w:val="both"/>
      </w:pPr>
    </w:p>
    <w:p w14:paraId="4E2A9E05" w14:textId="77777777" w:rsidR="009556D4" w:rsidRPr="00A80264" w:rsidRDefault="00545CD6" w:rsidP="00A80264">
      <w:pPr>
        <w:pStyle w:val="Geenafstand"/>
        <w:jc w:val="both"/>
        <w:rPr>
          <w:i/>
        </w:rPr>
      </w:pPr>
      <w:r w:rsidRPr="00A80264">
        <w:rPr>
          <w:i/>
        </w:rPr>
        <w:t xml:space="preserve">Leest u </w:t>
      </w:r>
      <w:r w:rsidR="00FC1FDC" w:rsidRPr="00A80264">
        <w:rPr>
          <w:i/>
        </w:rPr>
        <w:t>alle annotaties die verschijnen bij de uitspraken die gewezen worden?</w:t>
      </w:r>
    </w:p>
    <w:p w14:paraId="53FCF756" w14:textId="77777777" w:rsidR="00545CD6" w:rsidRPr="00DC6EE1" w:rsidRDefault="00545CD6" w:rsidP="00A80264">
      <w:pPr>
        <w:pStyle w:val="Geenafstand"/>
        <w:jc w:val="both"/>
        <w:rPr>
          <w:b/>
        </w:rPr>
      </w:pPr>
    </w:p>
    <w:p w14:paraId="2AA9900F" w14:textId="77777777" w:rsidR="00D53D1E" w:rsidRDefault="00B439F4" w:rsidP="00A80264">
      <w:pPr>
        <w:pStyle w:val="Geenafstand"/>
        <w:jc w:val="both"/>
      </w:pPr>
      <w:r>
        <w:t>S</w:t>
      </w:r>
      <w:r w:rsidR="00D53D1E" w:rsidRPr="00626EB7">
        <w:t>ommige wel, maar lang niet alle. En soms hoor je dat je</w:t>
      </w:r>
      <w:r w:rsidR="00D53D1E" w:rsidRPr="009B6DCF">
        <w:t xml:space="preserve"> in een bepaald land onderwerp bent van het nationale nieuws naar aanleiding van een uitspraak. </w:t>
      </w:r>
      <w:r w:rsidR="00763EBB" w:rsidRPr="009B6DCF">
        <w:t>Ik had dat met d</w:t>
      </w:r>
      <w:r w:rsidR="00763EBB" w:rsidRPr="00B01C64">
        <w:t xml:space="preserve">e zaak </w:t>
      </w:r>
      <w:r w:rsidR="00FC1FDC" w:rsidRPr="00A80264">
        <w:rPr>
          <w:rStyle w:val="wordhighlighted"/>
          <w:rFonts w:cstheme="minorHAnsi"/>
          <w:i/>
        </w:rPr>
        <w:t>Černák</w:t>
      </w:r>
      <w:r w:rsidR="00FC1FDC" w:rsidRPr="00626EB7">
        <w:t xml:space="preserve">, </w:t>
      </w:r>
      <w:r w:rsidR="00763EBB" w:rsidRPr="009B6DCF">
        <w:t>een uitleveringszaak.</w:t>
      </w:r>
      <w:r w:rsidR="00FC1FDC" w:rsidRPr="00EF09C9">
        <w:rPr>
          <w:rStyle w:val="Voetnootmarkering"/>
          <w:rFonts w:cstheme="minorHAnsi"/>
        </w:rPr>
        <w:footnoteReference w:id="42"/>
      </w:r>
      <w:r w:rsidR="00763EBB" w:rsidRPr="00EF09C9">
        <w:t xml:space="preserve"> En toen hoorde ik van een collega: je bent in het nationa</w:t>
      </w:r>
      <w:r w:rsidR="00FD0765" w:rsidRPr="00EF09C9">
        <w:t>le nieuws</w:t>
      </w:r>
      <w:r w:rsidR="00B41228">
        <w:t xml:space="preserve"> van Slowakije</w:t>
      </w:r>
      <w:r w:rsidR="00FD0765" w:rsidRPr="00EF09C9">
        <w:t xml:space="preserve">, vanwege </w:t>
      </w:r>
      <w:r w:rsidR="00FC1FDC" w:rsidRPr="00DC6EE1">
        <w:t xml:space="preserve">een </w:t>
      </w:r>
      <w:r w:rsidR="00FD0765" w:rsidRPr="00A80264">
        <w:rPr>
          <w:i/>
        </w:rPr>
        <w:t>dissent</w:t>
      </w:r>
      <w:r w:rsidR="00FC1FDC" w:rsidRPr="00A80264">
        <w:rPr>
          <w:i/>
        </w:rPr>
        <w:t>ing opinion</w:t>
      </w:r>
      <w:r w:rsidR="00FC1FDC" w:rsidRPr="00EF09C9">
        <w:t xml:space="preserve"> bij die uitspraak</w:t>
      </w:r>
      <w:r w:rsidR="00FD0765" w:rsidRPr="00EF09C9">
        <w:t xml:space="preserve">. </w:t>
      </w:r>
    </w:p>
    <w:p w14:paraId="460865EB" w14:textId="77777777" w:rsidR="009556D4" w:rsidRPr="00EF09C9" w:rsidRDefault="009556D4" w:rsidP="00A80264">
      <w:pPr>
        <w:pStyle w:val="Geenafstand"/>
        <w:jc w:val="both"/>
      </w:pPr>
    </w:p>
    <w:p w14:paraId="4B3AB360" w14:textId="1CBF332F" w:rsidR="009556D4" w:rsidRPr="00A80264" w:rsidRDefault="00B20598" w:rsidP="00A80264">
      <w:pPr>
        <w:pStyle w:val="Geenafstand"/>
        <w:jc w:val="both"/>
        <w:rPr>
          <w:i/>
        </w:rPr>
      </w:pPr>
      <w:r w:rsidRPr="00A80264">
        <w:rPr>
          <w:i/>
        </w:rPr>
        <w:t xml:space="preserve">U geeft in uw installatierede </w:t>
      </w:r>
      <w:r w:rsidR="007B6F00">
        <w:rPr>
          <w:i/>
        </w:rPr>
        <w:t xml:space="preserve">als procureur-generaal </w:t>
      </w:r>
      <w:r w:rsidRPr="00A80264">
        <w:rPr>
          <w:i/>
        </w:rPr>
        <w:t xml:space="preserve">aan dat “het vertrek uit Straatsburg geen gemakkelijk besluit was” en dat rechter zijn in het </w:t>
      </w:r>
      <w:r w:rsidR="007724AF">
        <w:rPr>
          <w:i/>
        </w:rPr>
        <w:t>Hof</w:t>
      </w:r>
      <w:r w:rsidRPr="00A80264">
        <w:rPr>
          <w:i/>
        </w:rPr>
        <w:t xml:space="preserve"> een “geweldige positie” is.</w:t>
      </w:r>
      <w:r w:rsidRPr="00A80264">
        <w:rPr>
          <w:rStyle w:val="Voetnootmarkering"/>
          <w:rFonts w:cstheme="minorHAnsi"/>
          <w:i/>
        </w:rPr>
        <w:footnoteReference w:id="43"/>
      </w:r>
      <w:r w:rsidRPr="00A80264">
        <w:rPr>
          <w:i/>
        </w:rPr>
        <w:t xml:space="preserve"> Welk</w:t>
      </w:r>
      <w:r w:rsidR="007B6F00">
        <w:rPr>
          <w:i/>
        </w:rPr>
        <w:t>(e)</w:t>
      </w:r>
      <w:r w:rsidRPr="00A80264">
        <w:rPr>
          <w:i/>
        </w:rPr>
        <w:t xml:space="preserve"> aspect(en) van die positie mist u in uw huidige functie en welke ervaringen die u in uw huidige functie heeft opgedaan, had u niet in Straatsburg kunnen opdoen? </w:t>
      </w:r>
    </w:p>
    <w:p w14:paraId="26003CE6" w14:textId="77777777" w:rsidR="009556D4" w:rsidRDefault="009556D4" w:rsidP="00A80264">
      <w:pPr>
        <w:pStyle w:val="Geenafstand"/>
        <w:jc w:val="both"/>
      </w:pPr>
    </w:p>
    <w:p w14:paraId="722D00EB" w14:textId="5CD74C96" w:rsidR="009556D4" w:rsidRDefault="00B439F4" w:rsidP="00A80264">
      <w:pPr>
        <w:pStyle w:val="Geenafstand"/>
        <w:jc w:val="both"/>
      </w:pPr>
      <w:r>
        <w:t>B</w:t>
      </w:r>
      <w:r w:rsidR="00763EBB" w:rsidRPr="00626EB7">
        <w:t>ijzonder in Straatsburg</w:t>
      </w:r>
      <w:r w:rsidR="00763EBB" w:rsidRPr="000437DB">
        <w:t xml:space="preserve"> </w:t>
      </w:r>
      <w:r>
        <w:t xml:space="preserve">is </w:t>
      </w:r>
      <w:r w:rsidR="00763EBB" w:rsidRPr="000437DB">
        <w:t xml:space="preserve">dat je </w:t>
      </w:r>
      <w:r w:rsidRPr="000437DB">
        <w:t xml:space="preserve">in de dagelijkse contacten </w:t>
      </w:r>
      <w:r w:rsidR="00763EBB" w:rsidRPr="000437DB">
        <w:t>met co</w:t>
      </w:r>
      <w:r w:rsidR="00FD0765" w:rsidRPr="000437DB">
        <w:t>llega’s uit 46 andere landen te m</w:t>
      </w:r>
      <w:r w:rsidR="00763EBB" w:rsidRPr="000437DB">
        <w:t>ake</w:t>
      </w:r>
      <w:r w:rsidR="00FD0765" w:rsidRPr="000437DB">
        <w:t>n hebt</w:t>
      </w:r>
      <w:r w:rsidR="0091345B">
        <w:t xml:space="preserve">. </w:t>
      </w:r>
      <w:r w:rsidR="00FD0765" w:rsidRPr="00DC6EE1">
        <w:t>D</w:t>
      </w:r>
      <w:r w:rsidR="00763EBB" w:rsidRPr="00626EB7">
        <w:t xml:space="preserve">at geeft een heel mooi beeld van wat er allemaal speelt in Europa. Dat </w:t>
      </w:r>
      <w:r w:rsidR="005C4185">
        <w:t>beleef je in onderlinge contacten</w:t>
      </w:r>
      <w:r w:rsidR="00147597">
        <w:t xml:space="preserve"> </w:t>
      </w:r>
      <w:r w:rsidR="00763EBB" w:rsidRPr="00DC6EE1">
        <w:t xml:space="preserve">buiten de gewone zaken om. Dat heb ik ervaren als een heel mooi aspect. Het tweede: de wandeling door </w:t>
      </w:r>
      <w:r w:rsidR="005C4185">
        <w:t>de O</w:t>
      </w:r>
      <w:r w:rsidR="00763EBB" w:rsidRPr="00DC6EE1">
        <w:t xml:space="preserve">rangerie </w:t>
      </w:r>
      <w:r w:rsidR="005C4185">
        <w:t xml:space="preserve">van mijn appartement in de </w:t>
      </w:r>
      <w:r w:rsidR="007B6F00">
        <w:t>R</w:t>
      </w:r>
      <w:r w:rsidR="005C4185">
        <w:t xml:space="preserve">ue Mozart naar het Hof </w:t>
      </w:r>
      <w:r w:rsidR="00763EBB" w:rsidRPr="00DC6EE1">
        <w:t xml:space="preserve">vond ik altijd heel prettig. </w:t>
      </w:r>
      <w:r w:rsidR="007857CE" w:rsidRPr="009B6DCF">
        <w:t xml:space="preserve">Mijn voorganger, Egbert Myjer, deed dat ook altijd graag. </w:t>
      </w:r>
      <w:r w:rsidR="00763EBB" w:rsidRPr="00DC6EE1">
        <w:t xml:space="preserve">Nu </w:t>
      </w:r>
      <w:r w:rsidR="00B41228">
        <w:t xml:space="preserve">reis </w:t>
      </w:r>
      <w:r w:rsidR="00763EBB" w:rsidRPr="00DC6EE1">
        <w:t xml:space="preserve">ik </w:t>
      </w:r>
      <w:r w:rsidR="00B41228">
        <w:t>dagelijks vanuit het midden van het land</w:t>
      </w:r>
      <w:r w:rsidR="00580FE2">
        <w:t xml:space="preserve"> naar Den Haag, </w:t>
      </w:r>
      <w:r w:rsidR="00763EBB" w:rsidRPr="00DC6EE1">
        <w:t>niks mis mee</w:t>
      </w:r>
      <w:r w:rsidR="00B20598" w:rsidRPr="00626EB7">
        <w:t>, maar d</w:t>
      </w:r>
      <w:r w:rsidR="00763EBB" w:rsidRPr="009B6DCF">
        <w:t xml:space="preserve">at is anders. </w:t>
      </w:r>
      <w:r w:rsidR="00B20598" w:rsidRPr="00B01C64">
        <w:t>In mijn huidige werk zie ik ook</w:t>
      </w:r>
      <w:r w:rsidR="00763EBB" w:rsidRPr="000437DB">
        <w:t xml:space="preserve"> een heleboel boeiende aspecten</w:t>
      </w:r>
      <w:r w:rsidR="00B20598" w:rsidRPr="000437DB">
        <w:t xml:space="preserve">: een </w:t>
      </w:r>
      <w:r w:rsidR="00763EBB" w:rsidRPr="000437DB">
        <w:t xml:space="preserve">leuke samenwerking met collega’s, </w:t>
      </w:r>
      <w:r w:rsidR="00B20598" w:rsidRPr="000437DB">
        <w:t xml:space="preserve">de </w:t>
      </w:r>
      <w:r w:rsidR="00763EBB" w:rsidRPr="000437DB">
        <w:t xml:space="preserve">samenwerking met de </w:t>
      </w:r>
      <w:r w:rsidR="00B20598" w:rsidRPr="000437DB">
        <w:t xml:space="preserve">Hoge </w:t>
      </w:r>
      <w:r w:rsidR="00763EBB" w:rsidRPr="000437DB">
        <w:t>Raad in een he</w:t>
      </w:r>
      <w:r w:rsidR="007B6F00">
        <w:t>el</w:t>
      </w:r>
      <w:r w:rsidR="00763EBB" w:rsidRPr="000437DB">
        <w:t xml:space="preserve"> bijzondere verhouding. Een beetje buiten de publiciteit, op een essentiële functie binnen de recht</w:t>
      </w:r>
      <w:r w:rsidR="007B6F00">
        <w:t>s</w:t>
      </w:r>
      <w:r w:rsidR="00763EBB" w:rsidRPr="000437DB">
        <w:t>staat.</w:t>
      </w:r>
      <w:r w:rsidR="00FD0765" w:rsidRPr="000437DB">
        <w:t xml:space="preserve"> </w:t>
      </w:r>
      <w:r w:rsidR="00B20598" w:rsidRPr="000437DB">
        <w:t xml:space="preserve">Ik ervaar dat ik binnen mijn vorige en huidige functie in min of meer hetzelfde </w:t>
      </w:r>
      <w:r w:rsidR="00B20598" w:rsidRPr="000437DB">
        <w:lastRenderedPageBreak/>
        <w:t xml:space="preserve">project werkzaam ben: de </w:t>
      </w:r>
      <w:r w:rsidR="00763EBB" w:rsidRPr="000437DB">
        <w:t xml:space="preserve">rechtsstaat in een wat bredere zin, </w:t>
      </w:r>
      <w:r w:rsidR="00B20598" w:rsidRPr="000437DB">
        <w:t xml:space="preserve">de </w:t>
      </w:r>
      <w:r w:rsidR="00B20598" w:rsidRPr="00A80264">
        <w:rPr>
          <w:i/>
        </w:rPr>
        <w:t>rule of law</w:t>
      </w:r>
      <w:r w:rsidR="00763EBB" w:rsidRPr="00626EB7">
        <w:t xml:space="preserve">. Of je nu in </w:t>
      </w:r>
      <w:r w:rsidR="00FD0765" w:rsidRPr="009B6DCF">
        <w:t>S</w:t>
      </w:r>
      <w:r w:rsidR="00763EBB" w:rsidRPr="009B6DCF">
        <w:t>traatsburg zit of in Den Haag, of aan een universiteit</w:t>
      </w:r>
      <w:r w:rsidR="00B20598" w:rsidRPr="009B6DCF">
        <w:t xml:space="preserve"> werkzaam bent</w:t>
      </w:r>
      <w:r w:rsidR="00763EBB" w:rsidRPr="009B6DCF">
        <w:t xml:space="preserve">, bij wijze van spreken, je </w:t>
      </w:r>
      <w:r w:rsidR="0091345B">
        <w:t>werkt</w:t>
      </w:r>
      <w:r w:rsidR="0091345B" w:rsidRPr="00DC6EE1">
        <w:t xml:space="preserve"> </w:t>
      </w:r>
      <w:r w:rsidR="00763EBB" w:rsidRPr="00DC6EE1">
        <w:t>aan hetzelfde project</w:t>
      </w:r>
      <w:r w:rsidR="00763EBB" w:rsidRPr="009B6DCF">
        <w:t>. Zo zie ik het.</w:t>
      </w:r>
    </w:p>
    <w:p w14:paraId="43892E82" w14:textId="77777777" w:rsidR="009556D4" w:rsidRPr="00DC6EE1" w:rsidRDefault="009556D4" w:rsidP="00A80264">
      <w:pPr>
        <w:pStyle w:val="Geenafstand"/>
        <w:jc w:val="both"/>
      </w:pPr>
    </w:p>
    <w:p w14:paraId="00CA03E0" w14:textId="77777777" w:rsidR="000437DB" w:rsidRPr="00A80264" w:rsidRDefault="00B20598" w:rsidP="00A80264">
      <w:pPr>
        <w:pStyle w:val="Geenafstand"/>
        <w:jc w:val="both"/>
        <w:rPr>
          <w:i/>
        </w:rPr>
      </w:pPr>
      <w:r w:rsidRPr="00A80264">
        <w:rPr>
          <w:i/>
        </w:rPr>
        <w:t xml:space="preserve">In uw installatierede geeft u aan dat Straatsburgse rechters vooral “persoonlijke accenten” kunnen zetten door middel van separate opinions. Een korte zoektocht op HUDOC leert dat u in ieder geval </w:t>
      </w:r>
      <w:r w:rsidR="00E72FC8">
        <w:rPr>
          <w:i/>
        </w:rPr>
        <w:t>negen</w:t>
      </w:r>
      <w:r w:rsidRPr="00A80264">
        <w:rPr>
          <w:i/>
        </w:rPr>
        <w:t xml:space="preserve"> concurring en </w:t>
      </w:r>
      <w:r w:rsidR="00E72FC8">
        <w:rPr>
          <w:i/>
        </w:rPr>
        <w:t>zes</w:t>
      </w:r>
      <w:r w:rsidRPr="00A80264">
        <w:rPr>
          <w:i/>
        </w:rPr>
        <w:t xml:space="preserve"> dissenting opinions heeft geschreven. Hoe belangrijk vond u het om die accenten te zetten? En van welk accent dat u heeft gezet hoopt u dat het </w:t>
      </w:r>
      <w:r w:rsidR="007724AF">
        <w:rPr>
          <w:i/>
        </w:rPr>
        <w:t>Hof</w:t>
      </w:r>
      <w:r w:rsidRPr="00A80264">
        <w:rPr>
          <w:i/>
        </w:rPr>
        <w:t xml:space="preserve"> het overneemt? </w:t>
      </w:r>
    </w:p>
    <w:p w14:paraId="61036943" w14:textId="77777777" w:rsidR="009556D4" w:rsidRPr="00A80264" w:rsidRDefault="009556D4" w:rsidP="00A80264">
      <w:pPr>
        <w:pStyle w:val="Geenafstand"/>
        <w:jc w:val="both"/>
        <w:rPr>
          <w:b/>
        </w:rPr>
      </w:pPr>
    </w:p>
    <w:p w14:paraId="5AEA14B8" w14:textId="21F4E435" w:rsidR="00620637" w:rsidRDefault="00620637" w:rsidP="00A80264">
      <w:pPr>
        <w:pStyle w:val="Geenafstand"/>
        <w:jc w:val="both"/>
      </w:pPr>
      <w:r w:rsidRPr="000437DB">
        <w:t xml:space="preserve">Ik moet zeggen dat ik achteraf vaak wel relativerend sta ten opzichte van mijn eigen </w:t>
      </w:r>
      <w:r w:rsidRPr="00A80264">
        <w:rPr>
          <w:i/>
        </w:rPr>
        <w:t>dissent</w:t>
      </w:r>
      <w:r w:rsidR="00B20598" w:rsidRPr="00A80264">
        <w:rPr>
          <w:i/>
        </w:rPr>
        <w:t>ing opinon</w:t>
      </w:r>
      <w:r w:rsidRPr="00A80264">
        <w:rPr>
          <w:i/>
        </w:rPr>
        <w:t>s</w:t>
      </w:r>
      <w:r w:rsidRPr="00DC6EE1">
        <w:t>. Niet dat ik van opvatting ben veranderd</w:t>
      </w:r>
      <w:r w:rsidR="00B20598" w:rsidRPr="00DC6EE1">
        <w:t xml:space="preserve"> hoor, maar of het </w:t>
      </w:r>
      <w:r w:rsidRPr="009B6DCF">
        <w:t>nu de grootste bijdragen zijn aan het mensenr</w:t>
      </w:r>
      <w:r w:rsidRPr="00B01C64">
        <w:t>echtel</w:t>
      </w:r>
      <w:r w:rsidR="00FD0765" w:rsidRPr="00B01C64">
        <w:t>ijk debat</w:t>
      </w:r>
      <w:r w:rsidR="0091345B">
        <w:t>, dat</w:t>
      </w:r>
      <w:r w:rsidR="00FD0765" w:rsidRPr="00DC6EE1">
        <w:t xml:space="preserve"> kun je je afvragen. H</w:t>
      </w:r>
      <w:r w:rsidRPr="00DC6EE1">
        <w:t>oewel het soms wel belangr</w:t>
      </w:r>
      <w:r w:rsidR="00FD0765" w:rsidRPr="00626EB7">
        <w:t xml:space="preserve">ijke thema’s betreft, soms ook </w:t>
      </w:r>
      <w:r w:rsidR="001A3DB3" w:rsidRPr="009B6DCF">
        <w:t xml:space="preserve">ter </w:t>
      </w:r>
      <w:r w:rsidR="00FD0765" w:rsidRPr="009B6DCF">
        <w:t xml:space="preserve">verantwoording van </w:t>
      </w:r>
      <w:r w:rsidR="001A3DB3" w:rsidRPr="009B6DCF">
        <w:t xml:space="preserve">bepaalde </w:t>
      </w:r>
      <w:r w:rsidR="00FD0765" w:rsidRPr="00B01C64">
        <w:t>keuzes</w:t>
      </w:r>
      <w:r w:rsidR="00E21B5A">
        <w:t>;</w:t>
      </w:r>
      <w:r w:rsidR="00FD0765" w:rsidRPr="00B01C64">
        <w:t xml:space="preserve"> d</w:t>
      </w:r>
      <w:r w:rsidRPr="00B01C64">
        <w:t>aar is het ook voor bedoeld natuurlijk. Essentieel</w:t>
      </w:r>
      <w:r w:rsidR="00FD0765" w:rsidRPr="00B01C64">
        <w:t xml:space="preserve"> vond ik, persoonlijk, de zaak </w:t>
      </w:r>
      <w:r w:rsidR="001A3DB3" w:rsidRPr="00A80264">
        <w:rPr>
          <w:i/>
        </w:rPr>
        <w:t>Perinçek</w:t>
      </w:r>
      <w:r w:rsidRPr="00DC6EE1">
        <w:t xml:space="preserve"> </w:t>
      </w:r>
      <w:r w:rsidR="001A3DB3" w:rsidRPr="00DC6EE1">
        <w:t>over de vrijheid van menings</w:t>
      </w:r>
      <w:r w:rsidR="001A3DB3" w:rsidRPr="00626EB7">
        <w:t>uiting</w:t>
      </w:r>
      <w:r w:rsidRPr="009B6DCF">
        <w:t>.</w:t>
      </w:r>
      <w:r w:rsidR="001A3DB3" w:rsidRPr="00EF09C9">
        <w:rPr>
          <w:rStyle w:val="Voetnootmarkering"/>
          <w:rFonts w:cstheme="minorHAnsi"/>
        </w:rPr>
        <w:footnoteReference w:id="44"/>
      </w:r>
      <w:r w:rsidRPr="00EF09C9">
        <w:t xml:space="preserve"> </w:t>
      </w:r>
      <w:r w:rsidRPr="00DC6EE1">
        <w:t xml:space="preserve">Dat </w:t>
      </w:r>
      <w:r w:rsidR="0091345B">
        <w:t>ging</w:t>
      </w:r>
      <w:r w:rsidR="0091345B" w:rsidRPr="00DC6EE1">
        <w:t xml:space="preserve"> </w:t>
      </w:r>
      <w:r w:rsidRPr="00DC6EE1">
        <w:t xml:space="preserve">in de kern </w:t>
      </w:r>
      <w:r w:rsidR="0091345B">
        <w:t xml:space="preserve">over </w:t>
      </w:r>
      <w:r w:rsidRPr="00DC6EE1">
        <w:t>de vraag of je vrijheid van meningsuiting</w:t>
      </w:r>
      <w:r w:rsidRPr="009B6DCF">
        <w:t xml:space="preserve"> als een betrekkelijk eenvoudig concept ziet</w:t>
      </w:r>
      <w:r w:rsidR="001A3DB3" w:rsidRPr="009B6DCF">
        <w:t xml:space="preserve"> (“J</w:t>
      </w:r>
      <w:r w:rsidRPr="00B01C64">
        <w:t xml:space="preserve">e mag alles zeggen en </w:t>
      </w:r>
      <w:r w:rsidRPr="00B01C64">
        <w:rPr>
          <w:i/>
        </w:rPr>
        <w:t>that</w:t>
      </w:r>
      <w:r w:rsidR="0091345B">
        <w:rPr>
          <w:i/>
        </w:rPr>
        <w:t>’</w:t>
      </w:r>
      <w:r w:rsidRPr="00DC6EE1">
        <w:rPr>
          <w:i/>
        </w:rPr>
        <w:t>s it</w:t>
      </w:r>
      <w:r w:rsidR="001A3DB3" w:rsidRPr="00A80264">
        <w:t>”)</w:t>
      </w:r>
      <w:r w:rsidRPr="00EF09C9">
        <w:t>, of dat je het als een wat complexer begrip zi</w:t>
      </w:r>
      <w:r w:rsidR="001A3DB3" w:rsidRPr="00DC6EE1">
        <w:t>e</w:t>
      </w:r>
      <w:r w:rsidRPr="00DC6EE1">
        <w:t xml:space="preserve">t, </w:t>
      </w:r>
      <w:r w:rsidR="001A3DB3" w:rsidRPr="00626EB7">
        <w:t xml:space="preserve">met daarbij een </w:t>
      </w:r>
      <w:r w:rsidRPr="009B6DCF">
        <w:t>normatieve inkadering</w:t>
      </w:r>
      <w:r w:rsidRPr="00B01C64">
        <w:t xml:space="preserve">. </w:t>
      </w:r>
      <w:r w:rsidR="001A3DB3" w:rsidRPr="00B01C64">
        <w:t>I</w:t>
      </w:r>
      <w:r w:rsidRPr="000437DB">
        <w:t xml:space="preserve">n mijn opvatting, </w:t>
      </w:r>
      <w:r w:rsidR="001A3DB3" w:rsidRPr="000437DB">
        <w:t xml:space="preserve">en </w:t>
      </w:r>
      <w:r w:rsidRPr="000437DB">
        <w:t>ik denk dat dat</w:t>
      </w:r>
      <w:r w:rsidR="00FD0765" w:rsidRPr="000437DB">
        <w:t xml:space="preserve"> </w:t>
      </w:r>
      <w:r w:rsidR="001A3DB3" w:rsidRPr="000437DB">
        <w:t xml:space="preserve">ook </w:t>
      </w:r>
      <w:r w:rsidR="00FD0765" w:rsidRPr="000437DB">
        <w:t>de oorspronkelijke</w:t>
      </w:r>
      <w:r w:rsidRPr="000437DB">
        <w:t xml:space="preserve"> opvatting is van </w:t>
      </w:r>
      <w:r w:rsidR="0091345B">
        <w:t>het Verdrag</w:t>
      </w:r>
      <w:r w:rsidR="001A3DB3" w:rsidRPr="00DC6EE1">
        <w:t xml:space="preserve"> die ook te zien is in de </w:t>
      </w:r>
      <w:r w:rsidRPr="00626EB7">
        <w:t>vroeger</w:t>
      </w:r>
      <w:r w:rsidR="00FD0765" w:rsidRPr="009B6DCF">
        <w:t>e rechtspraak, met name van de C</w:t>
      </w:r>
      <w:r w:rsidRPr="00B01C64">
        <w:t xml:space="preserve">ommissie, </w:t>
      </w:r>
      <w:r w:rsidR="00E21B5A">
        <w:t>geldt</w:t>
      </w:r>
      <w:r w:rsidR="00E21B5A" w:rsidRPr="00B01C64">
        <w:t xml:space="preserve"> </w:t>
      </w:r>
      <w:r w:rsidRPr="00B01C64">
        <w:t xml:space="preserve">het </w:t>
      </w:r>
      <w:r w:rsidR="00FD0765" w:rsidRPr="00B01C64">
        <w:t>complexere begrip</w:t>
      </w:r>
      <w:r w:rsidR="001A3DB3" w:rsidRPr="00B01C64">
        <w:t xml:space="preserve">. </w:t>
      </w:r>
      <w:r w:rsidR="001A3DB3" w:rsidRPr="000437DB">
        <w:t>In de uitspraak</w:t>
      </w:r>
      <w:r w:rsidR="00E21B5A">
        <w:t xml:space="preserve"> in</w:t>
      </w:r>
      <w:r w:rsidR="001A3DB3" w:rsidRPr="000437DB">
        <w:t xml:space="preserve"> </w:t>
      </w:r>
      <w:r w:rsidR="001A3DB3" w:rsidRPr="00A80264">
        <w:rPr>
          <w:i/>
        </w:rPr>
        <w:t>Perinçek</w:t>
      </w:r>
      <w:r w:rsidR="001A3DB3" w:rsidRPr="00DC6EE1">
        <w:t xml:space="preserve"> denk ik persoonlijk dat het</w:t>
      </w:r>
      <w:r w:rsidRPr="00626EB7">
        <w:t xml:space="preserve"> Hof</w:t>
      </w:r>
      <w:r w:rsidRPr="009B6DCF">
        <w:t xml:space="preserve"> de plank missloeg. Daar</w:t>
      </w:r>
      <w:r w:rsidR="00C61DE0">
        <w:t>om</w:t>
      </w:r>
      <w:r w:rsidRPr="009B6DCF">
        <w:t xml:space="preserve"> heb ik twee </w:t>
      </w:r>
      <w:r w:rsidRPr="00A80264">
        <w:rPr>
          <w:i/>
        </w:rPr>
        <w:t>dissent</w:t>
      </w:r>
      <w:r w:rsidR="001A3DB3" w:rsidRPr="00A80264">
        <w:rPr>
          <w:i/>
        </w:rPr>
        <w:t>ing opinion</w:t>
      </w:r>
      <w:r w:rsidRPr="00A80264">
        <w:rPr>
          <w:i/>
        </w:rPr>
        <w:t>s</w:t>
      </w:r>
      <w:r w:rsidRPr="00DC6EE1">
        <w:t xml:space="preserve">, een met anderen en een </w:t>
      </w:r>
      <w:r w:rsidR="001A3DB3" w:rsidRPr="00626EB7">
        <w:t xml:space="preserve">op </w:t>
      </w:r>
      <w:r w:rsidRPr="009B6DCF">
        <w:t>persoonlijk</w:t>
      </w:r>
      <w:r w:rsidR="001A3DB3" w:rsidRPr="009B6DCF">
        <w:t>e titel, aan</w:t>
      </w:r>
      <w:r w:rsidR="00C61DE0">
        <w:t xml:space="preserve"> die zaak</w:t>
      </w:r>
      <w:r w:rsidR="001A3DB3" w:rsidRPr="009B6DCF">
        <w:t xml:space="preserve"> toegevoegd. </w:t>
      </w:r>
      <w:r w:rsidR="00C61DE0">
        <w:t>Die zaak</w:t>
      </w:r>
      <w:r w:rsidRPr="009B6DCF">
        <w:t xml:space="preserve"> gaat over de Armeense genocide en de mogelijkheid of, als iemand daarover spreekt, </w:t>
      </w:r>
      <w:r w:rsidRPr="00B01C64">
        <w:t>een bepaalde strafbaarstelling in een bepaald land aanvaardbaar is of ni</w:t>
      </w:r>
      <w:r w:rsidR="00711E51" w:rsidRPr="000437DB">
        <w:t xml:space="preserve">et. </w:t>
      </w:r>
      <w:r w:rsidR="00C61DE0">
        <w:t>D</w:t>
      </w:r>
      <w:r w:rsidRPr="009B6DCF">
        <w:t>e meerderheid</w:t>
      </w:r>
      <w:r w:rsidR="00C61DE0">
        <w:t xml:space="preserve"> van het Hof</w:t>
      </w:r>
      <w:r w:rsidRPr="009B6DCF">
        <w:t xml:space="preserve"> vond dat dat alleen mag wanneer daardoor de openbare orde wordt verstoord</w:t>
      </w:r>
      <w:r w:rsidR="00C61DE0">
        <w:t>. D</w:t>
      </w:r>
      <w:r w:rsidRPr="009B6DCF">
        <w:t>at wordt beredeneerd met wat ik een nogal gekantonneerde opvatting van</w:t>
      </w:r>
      <w:r w:rsidR="00711E51" w:rsidRPr="00B01C64">
        <w:t xml:space="preserve"> openbare orde vin</w:t>
      </w:r>
      <w:r w:rsidR="00C61DE0">
        <w:t>d, n</w:t>
      </w:r>
      <w:r w:rsidR="00711E51" w:rsidRPr="00B01C64">
        <w:t>amelijk o</w:t>
      </w:r>
      <w:r w:rsidRPr="00B01C64">
        <w:t xml:space="preserve">f </w:t>
      </w:r>
      <w:r w:rsidR="005C4185">
        <w:t>wanorde uit</w:t>
      </w:r>
      <w:r w:rsidR="00B41228">
        <w:t>b</w:t>
      </w:r>
      <w:r w:rsidR="005C4185">
        <w:t>reekt</w:t>
      </w:r>
      <w:r w:rsidRPr="00B01C64">
        <w:t xml:space="preserve"> in een bepaalde straat in Zwitserland</w:t>
      </w:r>
      <w:r w:rsidR="00C61DE0">
        <w:t xml:space="preserve">. Dit </w:t>
      </w:r>
      <w:r w:rsidRPr="00B01C64">
        <w:t>terwijl he</w:t>
      </w:r>
      <w:r w:rsidRPr="000437DB">
        <w:t>t publieke orde</w:t>
      </w:r>
      <w:r w:rsidR="00711E51" w:rsidRPr="000437DB">
        <w:t>-</w:t>
      </w:r>
      <w:r w:rsidRPr="000437DB">
        <w:t>begrip een wat abstracter begrip is</w:t>
      </w:r>
      <w:r w:rsidR="00C61DE0">
        <w:t>, zeker</w:t>
      </w:r>
      <w:r w:rsidRPr="000437DB">
        <w:t xml:space="preserve"> wanneer het gaat o</w:t>
      </w:r>
      <w:r w:rsidR="00711E51" w:rsidRPr="000437DB">
        <w:t>ver</w:t>
      </w:r>
      <w:r w:rsidRPr="000437DB">
        <w:t xml:space="preserve"> dit soort maatschappelijke discussies. </w:t>
      </w:r>
    </w:p>
    <w:p w14:paraId="6129B2EE" w14:textId="77777777" w:rsidR="009556D4" w:rsidRPr="00A80264" w:rsidRDefault="009556D4" w:rsidP="00A80264">
      <w:pPr>
        <w:pStyle w:val="Geenafstand"/>
        <w:jc w:val="both"/>
        <w:rPr>
          <w:i/>
        </w:rPr>
      </w:pPr>
    </w:p>
    <w:p w14:paraId="17C2375E" w14:textId="77777777" w:rsidR="00620637" w:rsidRPr="00A80264" w:rsidRDefault="00620637" w:rsidP="00A80264">
      <w:pPr>
        <w:pStyle w:val="Geenafstand"/>
        <w:jc w:val="both"/>
        <w:rPr>
          <w:rFonts w:cstheme="minorHAnsi"/>
          <w:i/>
        </w:rPr>
      </w:pPr>
      <w:r w:rsidRPr="00A80264">
        <w:rPr>
          <w:rFonts w:cstheme="minorHAnsi"/>
          <w:i/>
        </w:rPr>
        <w:t>Dus dat zou een uitspraak zijn die u graag anders had gezien</w:t>
      </w:r>
      <w:r w:rsidR="00B61B52" w:rsidRPr="00A80264">
        <w:rPr>
          <w:rFonts w:cstheme="minorHAnsi"/>
          <w:i/>
        </w:rPr>
        <w:t>?</w:t>
      </w:r>
    </w:p>
    <w:p w14:paraId="10D2E200" w14:textId="77777777" w:rsidR="009556D4" w:rsidRPr="00DC6EE1" w:rsidRDefault="009556D4" w:rsidP="00A80264">
      <w:pPr>
        <w:pStyle w:val="Geenafstand"/>
        <w:jc w:val="both"/>
        <w:rPr>
          <w:rFonts w:cstheme="minorHAnsi"/>
          <w:b/>
        </w:rPr>
      </w:pPr>
    </w:p>
    <w:p w14:paraId="0534CD1B" w14:textId="17A920EC" w:rsidR="00620637" w:rsidRDefault="005C4185" w:rsidP="00A80264">
      <w:pPr>
        <w:pStyle w:val="Geenafstand"/>
        <w:jc w:val="both"/>
      </w:pPr>
      <w:r>
        <w:t>Ook ogenschijnlijk minder belangrijke zaken kunnen van betekenis zijn. Kijk bijvoorbeeld naar de zaak</w:t>
      </w:r>
      <w:r w:rsidR="00AE599A" w:rsidRPr="00B01C64">
        <w:t xml:space="preserve"> </w:t>
      </w:r>
      <w:r w:rsidR="00616D41" w:rsidRPr="00A80264">
        <w:rPr>
          <w:rStyle w:val="wordhighlighted"/>
          <w:rFonts w:cstheme="minorHAnsi"/>
          <w:i/>
        </w:rPr>
        <w:t>Jeronovičs</w:t>
      </w:r>
      <w:r w:rsidR="00FA43CE">
        <w:rPr>
          <w:rStyle w:val="wordhighlighted"/>
          <w:rFonts w:cstheme="minorHAnsi"/>
        </w:rPr>
        <w:t>.</w:t>
      </w:r>
      <w:r w:rsidR="00AA2D06" w:rsidRPr="00EF09C9">
        <w:rPr>
          <w:rStyle w:val="Voetnootmarkering"/>
          <w:rFonts w:cstheme="minorHAnsi"/>
        </w:rPr>
        <w:footnoteReference w:id="45"/>
      </w:r>
      <w:r w:rsidR="00FA43CE">
        <w:rPr>
          <w:rStyle w:val="wordhighlighted"/>
          <w:rFonts w:cstheme="minorHAnsi"/>
        </w:rPr>
        <w:t xml:space="preserve"> </w:t>
      </w:r>
      <w:r w:rsidR="002D09E9">
        <w:rPr>
          <w:rStyle w:val="wordhighlighted"/>
          <w:rFonts w:cstheme="minorHAnsi"/>
        </w:rPr>
        <w:t>In mijn ogen</w:t>
      </w:r>
      <w:r>
        <w:rPr>
          <w:rStyle w:val="wordhighlighted"/>
          <w:rFonts w:cstheme="minorHAnsi"/>
        </w:rPr>
        <w:t xml:space="preserve"> </w:t>
      </w:r>
      <w:r w:rsidR="00064E6C">
        <w:rPr>
          <w:rStyle w:val="wordhighlighted"/>
          <w:rFonts w:cstheme="minorHAnsi"/>
        </w:rPr>
        <w:t xml:space="preserve">schiet het Hof in die langlopende zaak tekort door niet consequent te beslissen. Een deel van de problemen van achterstanden is het gevolg daarvan. </w:t>
      </w:r>
      <w:r w:rsidR="002D09E9">
        <w:rPr>
          <w:rStyle w:val="wordhighlighted"/>
          <w:rFonts w:cstheme="minorHAnsi"/>
        </w:rPr>
        <w:t xml:space="preserve">Kortgezegd </w:t>
      </w:r>
      <w:r w:rsidR="00064E6C">
        <w:rPr>
          <w:rStyle w:val="wordhighlighted"/>
          <w:rFonts w:cstheme="minorHAnsi"/>
        </w:rPr>
        <w:t xml:space="preserve">aanvaardde </w:t>
      </w:r>
      <w:r w:rsidR="002D09E9">
        <w:rPr>
          <w:rStyle w:val="wordhighlighted"/>
          <w:rFonts w:cstheme="minorHAnsi"/>
        </w:rPr>
        <w:t xml:space="preserve">het Hof </w:t>
      </w:r>
      <w:r w:rsidR="00064E6C">
        <w:rPr>
          <w:rStyle w:val="wordhighlighted"/>
          <w:rFonts w:cstheme="minorHAnsi"/>
        </w:rPr>
        <w:t>de verklaring van Letland waarin spijt werd betuigd over het misgelopen onderzoek naar een mishandeling van een arrestant</w:t>
      </w:r>
      <w:r w:rsidR="002D09E9">
        <w:rPr>
          <w:rStyle w:val="wordhighlighted"/>
          <w:rFonts w:cstheme="minorHAnsi"/>
        </w:rPr>
        <w:t xml:space="preserve"> op een politiebureau</w:t>
      </w:r>
      <w:r w:rsidR="00596ADA">
        <w:rPr>
          <w:rStyle w:val="wordhighlighted"/>
          <w:rFonts w:cstheme="minorHAnsi"/>
        </w:rPr>
        <w:t>. D</w:t>
      </w:r>
      <w:r w:rsidR="002D09E9">
        <w:rPr>
          <w:rStyle w:val="wordhighlighted"/>
          <w:rFonts w:cstheme="minorHAnsi"/>
        </w:rPr>
        <w:t xml:space="preserve">aarvoor werd een compensatie geboden </w:t>
      </w:r>
      <w:r w:rsidR="00064E6C">
        <w:rPr>
          <w:rStyle w:val="wordhighlighted"/>
          <w:rFonts w:cstheme="minorHAnsi"/>
        </w:rPr>
        <w:t xml:space="preserve">en </w:t>
      </w:r>
      <w:r w:rsidR="002D09E9">
        <w:rPr>
          <w:rStyle w:val="wordhighlighted"/>
          <w:rFonts w:cstheme="minorHAnsi"/>
        </w:rPr>
        <w:t xml:space="preserve">het Hof </w:t>
      </w:r>
      <w:r w:rsidR="00064E6C">
        <w:rPr>
          <w:rStyle w:val="wordhighlighted"/>
          <w:rFonts w:cstheme="minorHAnsi"/>
        </w:rPr>
        <w:t>sloot de zaak van klager af</w:t>
      </w:r>
      <w:r w:rsidR="002D09E9">
        <w:rPr>
          <w:rStyle w:val="wordhighlighted"/>
          <w:rFonts w:cstheme="minorHAnsi"/>
        </w:rPr>
        <w:t>,</w:t>
      </w:r>
      <w:r w:rsidR="00064E6C">
        <w:rPr>
          <w:rStyle w:val="wordhighlighted"/>
          <w:rFonts w:cstheme="minorHAnsi"/>
        </w:rPr>
        <w:t xml:space="preserve"> zonder een nieuw Lets onderzoek te eisen. Als klager vervolgens </w:t>
      </w:r>
      <w:r w:rsidR="002D09E9">
        <w:rPr>
          <w:rStyle w:val="wordhighlighted"/>
          <w:rFonts w:cstheme="minorHAnsi"/>
        </w:rPr>
        <w:t xml:space="preserve">ongeveer </w:t>
      </w:r>
      <w:r w:rsidR="00064E6C">
        <w:rPr>
          <w:rStyle w:val="wordhighlighted"/>
          <w:rFonts w:cstheme="minorHAnsi"/>
        </w:rPr>
        <w:t xml:space="preserve">een decennium na de oorspronkelijke gebeurtenis nog eens vraagt nieuw onderzoek te doen naar de mishandeling, de officier van justitie dat weigert wegens gebrek aan nieuwe aanknopingspunten, </w:t>
      </w:r>
      <w:r w:rsidR="00596ADA">
        <w:rPr>
          <w:rStyle w:val="wordhighlighted"/>
          <w:rFonts w:cstheme="minorHAnsi"/>
        </w:rPr>
        <w:t xml:space="preserve">en de </w:t>
      </w:r>
      <w:r w:rsidR="00064E6C">
        <w:rPr>
          <w:rStyle w:val="wordhighlighted"/>
          <w:rFonts w:cstheme="minorHAnsi"/>
        </w:rPr>
        <w:t>klager zich uiteindelijk opnieuw in Straatsburg meldt met een klacht over die weigering, ja</w:t>
      </w:r>
      <w:r w:rsidR="00596ADA">
        <w:rPr>
          <w:rStyle w:val="wordhighlighted"/>
          <w:rFonts w:cstheme="minorHAnsi"/>
        </w:rPr>
        <w:t>,</w:t>
      </w:r>
      <w:r w:rsidR="00064E6C">
        <w:rPr>
          <w:rStyle w:val="wordhighlighted"/>
          <w:rFonts w:cstheme="minorHAnsi"/>
        </w:rPr>
        <w:t xml:space="preserve"> dan vind ik het zorgelijk als de klager in het gelijk wordt gesteld. </w:t>
      </w:r>
      <w:r w:rsidR="002D09E9">
        <w:t>Zo’n aanpak</w:t>
      </w:r>
      <w:r w:rsidR="00813661" w:rsidRPr="00EF09C9">
        <w:t xml:space="preserve"> </w:t>
      </w:r>
      <w:r w:rsidR="00AE599A" w:rsidRPr="00DC6EE1">
        <w:t>leidt mijn</w:t>
      </w:r>
      <w:r w:rsidR="00596ADA">
        <w:t>s</w:t>
      </w:r>
      <w:r w:rsidR="00AE599A" w:rsidRPr="00DC6EE1">
        <w:t xml:space="preserve"> inziens</w:t>
      </w:r>
      <w:r w:rsidR="00813661" w:rsidRPr="00626EB7">
        <w:t xml:space="preserve"> tot een systeem </w:t>
      </w:r>
      <w:r w:rsidR="00AE599A" w:rsidRPr="009B6DCF">
        <w:t>d</w:t>
      </w:r>
      <w:r w:rsidR="00813661" w:rsidRPr="009B6DCF">
        <w:t>at niet kan functioneren. Dus</w:t>
      </w:r>
      <w:r w:rsidR="00711E51" w:rsidRPr="00B01C64">
        <w:t xml:space="preserve"> daar was ik eerlijk gezegd nog</w:t>
      </w:r>
      <w:r w:rsidR="00813661" w:rsidRPr="00B01C64">
        <w:t>al fel op, ook qua toonzetting</w:t>
      </w:r>
      <w:r w:rsidR="00AE599A" w:rsidRPr="000437DB">
        <w:t>.</w:t>
      </w:r>
      <w:r w:rsidR="00813661" w:rsidRPr="000437DB">
        <w:t xml:space="preserve"> </w:t>
      </w:r>
    </w:p>
    <w:p w14:paraId="55AD33A3" w14:textId="77777777" w:rsidR="009556D4" w:rsidRPr="00DC6EE1" w:rsidRDefault="009556D4" w:rsidP="00A80264">
      <w:pPr>
        <w:pStyle w:val="Geenafstand"/>
        <w:jc w:val="both"/>
      </w:pPr>
    </w:p>
    <w:p w14:paraId="70A2E235" w14:textId="77777777" w:rsidR="000437DB" w:rsidRPr="00A80264" w:rsidRDefault="00AE599A" w:rsidP="00A80264">
      <w:pPr>
        <w:pStyle w:val="Geenafstand"/>
        <w:jc w:val="both"/>
        <w:rPr>
          <w:i/>
        </w:rPr>
      </w:pPr>
      <w:r w:rsidRPr="00A80264">
        <w:rPr>
          <w:i/>
        </w:rPr>
        <w:t>W</w:t>
      </w:r>
      <w:r w:rsidR="00813661" w:rsidRPr="00A80264">
        <w:rPr>
          <w:i/>
        </w:rPr>
        <w:t>at vind</w:t>
      </w:r>
      <w:r w:rsidR="00711E51" w:rsidRPr="00A80264">
        <w:rPr>
          <w:i/>
        </w:rPr>
        <w:t>t</w:t>
      </w:r>
      <w:r w:rsidR="00813661" w:rsidRPr="00A80264">
        <w:rPr>
          <w:i/>
        </w:rPr>
        <w:t xml:space="preserve"> u de mooiste uitspraak van het </w:t>
      </w:r>
      <w:r w:rsidR="007724AF">
        <w:rPr>
          <w:i/>
        </w:rPr>
        <w:t>Hof</w:t>
      </w:r>
      <w:r w:rsidR="00813661" w:rsidRPr="00A80264">
        <w:rPr>
          <w:i/>
        </w:rPr>
        <w:t xml:space="preserve">? </w:t>
      </w:r>
      <w:r w:rsidRPr="00A80264">
        <w:rPr>
          <w:i/>
        </w:rPr>
        <w:t>Is er een uitspraak waarvan u warm wordt?</w:t>
      </w:r>
    </w:p>
    <w:p w14:paraId="33CCFDF8" w14:textId="77777777" w:rsidR="009556D4" w:rsidRPr="00DC6EE1" w:rsidRDefault="009556D4" w:rsidP="00A80264">
      <w:pPr>
        <w:pStyle w:val="Geenafstand"/>
        <w:jc w:val="both"/>
        <w:rPr>
          <w:b/>
        </w:rPr>
      </w:pPr>
    </w:p>
    <w:p w14:paraId="5A37F087" w14:textId="77777777" w:rsidR="00813661" w:rsidRPr="00626EB7" w:rsidRDefault="005E5CE3" w:rsidP="00A80264">
      <w:pPr>
        <w:pStyle w:val="Geenafstand"/>
        <w:jc w:val="both"/>
      </w:pPr>
      <w:r>
        <w:t xml:space="preserve">Het emotionele effect is niet van belang. Het gaat om de meer of minder betekenisvolle zaken in juridische zin. Welke er dan uit springen? Over </w:t>
      </w:r>
      <w:r w:rsidRPr="00F0299C">
        <w:rPr>
          <w:i/>
        </w:rPr>
        <w:t>Vinter</w:t>
      </w:r>
      <w:r>
        <w:t xml:space="preserve"> hebben we al uitgebreid gesproken. Ik noem dan ook</w:t>
      </w:r>
      <w:r w:rsidR="00711E51" w:rsidRPr="00B01C64">
        <w:t xml:space="preserve"> </w:t>
      </w:r>
      <w:r w:rsidR="00AE599A" w:rsidRPr="00A80264">
        <w:rPr>
          <w:i/>
        </w:rPr>
        <w:t>Valentin Câmpeanu</w:t>
      </w:r>
      <w:r w:rsidR="00813661" w:rsidRPr="00DC6EE1">
        <w:t>.</w:t>
      </w:r>
      <w:r w:rsidR="002A6E74" w:rsidRPr="00EF09C9">
        <w:rPr>
          <w:rStyle w:val="Voetnootmarkering"/>
          <w:rFonts w:cstheme="minorHAnsi"/>
        </w:rPr>
        <w:footnoteReference w:id="46"/>
      </w:r>
      <w:r w:rsidR="00813661" w:rsidRPr="00EF09C9">
        <w:t xml:space="preserve"> </w:t>
      </w:r>
      <w:r w:rsidR="00AE599A" w:rsidRPr="00DC6EE1">
        <w:t xml:space="preserve">Deze zaak ging om het </w:t>
      </w:r>
      <w:r w:rsidR="00813661" w:rsidRPr="00626EB7">
        <w:t xml:space="preserve">principiële punt van het accepteren van een klacht van iemand die, wanneer je </w:t>
      </w:r>
      <w:r w:rsidR="00E72FC8">
        <w:t>het Verdrag</w:t>
      </w:r>
      <w:r w:rsidR="00813661" w:rsidRPr="00DC6EE1">
        <w:t xml:space="preserve"> te formeel leest, eigenlijk niet meer klachtgerechtigd is. Maar </w:t>
      </w:r>
      <w:r w:rsidR="00AE599A" w:rsidRPr="00DC6EE1">
        <w:lastRenderedPageBreak/>
        <w:t>in dit geval was het verlies van het</w:t>
      </w:r>
      <w:r w:rsidR="00AE599A" w:rsidRPr="00626EB7">
        <w:t xml:space="preserve"> klachtgerechtigd zijn </w:t>
      </w:r>
      <w:r w:rsidR="00813661" w:rsidRPr="009B6DCF">
        <w:t>eigenlijk veroorzaakt door de schending. D</w:t>
      </w:r>
      <w:r w:rsidR="00AE599A" w:rsidRPr="009B6DCF">
        <w:t xml:space="preserve">e zaak ging over een </w:t>
      </w:r>
      <w:r w:rsidR="00AE599A" w:rsidRPr="00B01C64">
        <w:t>Hiv-geïnfecteerde</w:t>
      </w:r>
      <w:r w:rsidR="00711E51" w:rsidRPr="00B01C64">
        <w:t xml:space="preserve"> R</w:t>
      </w:r>
      <w:r w:rsidR="00813661" w:rsidRPr="00B01C64">
        <w:t xml:space="preserve">oma-jongen die bijna dood </w:t>
      </w:r>
      <w:r w:rsidR="00711E51" w:rsidRPr="000437DB">
        <w:t>wordt aangetroffen door een NGO</w:t>
      </w:r>
      <w:r w:rsidR="002A6E74" w:rsidRPr="000437DB">
        <w:t xml:space="preserve">. Hij heeft </w:t>
      </w:r>
      <w:r w:rsidR="00813661" w:rsidRPr="000437DB">
        <w:t xml:space="preserve">geen representant op het moment dat hij al dood is, en onder de jurisprudentie tot dan toe zou </w:t>
      </w:r>
      <w:r w:rsidR="002D09E9">
        <w:t>niemand</w:t>
      </w:r>
      <w:r w:rsidR="00813661" w:rsidRPr="000437DB">
        <w:t xml:space="preserve"> zijn toegelaten als klachtgerechtigde bij het Hof</w:t>
      </w:r>
      <w:r w:rsidR="002A6E74" w:rsidRPr="000437DB">
        <w:t xml:space="preserve">. In deze zaak </w:t>
      </w:r>
      <w:r w:rsidR="00813661" w:rsidRPr="000437DB">
        <w:t>heeft het Hof voor het eerst aanvaard dat iemand als representerende organisatie kan optreden voor zo’n persoon. Dat is een belangrijke stap. Maar het is tegelijkertijd zo genuanceerd g</w:t>
      </w:r>
      <w:r w:rsidR="00711E51" w:rsidRPr="000437DB">
        <w:t xml:space="preserve">edaan dat het geen opening </w:t>
      </w:r>
      <w:r w:rsidR="002A6E74" w:rsidRPr="000437DB">
        <w:t xml:space="preserve">biedt </w:t>
      </w:r>
      <w:r w:rsidR="00813661" w:rsidRPr="000437DB">
        <w:t xml:space="preserve">voor </w:t>
      </w:r>
      <w:r w:rsidR="00813661" w:rsidRPr="00A80264">
        <w:rPr>
          <w:i/>
        </w:rPr>
        <w:t>class</w:t>
      </w:r>
      <w:r w:rsidR="00E72FC8">
        <w:rPr>
          <w:i/>
        </w:rPr>
        <w:t xml:space="preserve"> </w:t>
      </w:r>
      <w:r w:rsidR="00813661" w:rsidRPr="00A80264">
        <w:rPr>
          <w:i/>
        </w:rPr>
        <w:t>action</w:t>
      </w:r>
      <w:r w:rsidR="002A6E74" w:rsidRPr="00A80264">
        <w:rPr>
          <w:i/>
        </w:rPr>
        <w:t>s</w:t>
      </w:r>
      <w:r w:rsidR="00813661" w:rsidRPr="00EF09C9">
        <w:t>. Dus</w:t>
      </w:r>
      <w:r w:rsidR="00711E51" w:rsidRPr="00DC6EE1">
        <w:t xml:space="preserve"> daar zit een dubbel element in. I</w:t>
      </w:r>
      <w:r w:rsidR="00813661" w:rsidRPr="00DC6EE1">
        <w:t>k denk</w:t>
      </w:r>
      <w:r w:rsidR="00711E51" w:rsidRPr="00626EB7">
        <w:t xml:space="preserve"> ook</w:t>
      </w:r>
      <w:r w:rsidR="00813661" w:rsidRPr="00626EB7">
        <w:t xml:space="preserve"> dat dat er terecht in zit. </w:t>
      </w:r>
      <w:r w:rsidR="002A6E74" w:rsidRPr="009B6DCF">
        <w:t>B</w:t>
      </w:r>
      <w:r w:rsidR="00D23D8E" w:rsidRPr="009B6DCF">
        <w:t>ij</w:t>
      </w:r>
      <w:r w:rsidR="00813661" w:rsidRPr="009B6DCF">
        <w:t xml:space="preserve"> andere uitspraken denk ik soms heimelijk: die uitspraak is meer waard dan sommige</w:t>
      </w:r>
      <w:r w:rsidR="00711E51" w:rsidRPr="00B01C64">
        <w:t xml:space="preserve">n erin zien. Bijvoorbeeld </w:t>
      </w:r>
      <w:r w:rsidR="00711E51" w:rsidRPr="00A80264">
        <w:rPr>
          <w:i/>
        </w:rPr>
        <w:t>Couderc</w:t>
      </w:r>
      <w:r w:rsidR="00813661" w:rsidRPr="00DC6EE1">
        <w:t>.</w:t>
      </w:r>
      <w:r w:rsidR="002A6E74" w:rsidRPr="00EF09C9">
        <w:rPr>
          <w:rStyle w:val="Voetnootmarkering"/>
          <w:rFonts w:cstheme="minorHAnsi"/>
        </w:rPr>
        <w:footnoteReference w:id="47"/>
      </w:r>
      <w:r w:rsidR="00813661" w:rsidRPr="00EF09C9">
        <w:t xml:space="preserve"> </w:t>
      </w:r>
      <w:r w:rsidR="00813661" w:rsidRPr="00DC6EE1">
        <w:t>Dat is d</w:t>
      </w:r>
      <w:r w:rsidR="00D23D8E" w:rsidRPr="00626EB7">
        <w:t xml:space="preserve">e zaak van </w:t>
      </w:r>
      <w:r w:rsidR="00813661" w:rsidRPr="00626EB7">
        <w:t>de moeder die haa</w:t>
      </w:r>
      <w:r w:rsidR="00D23D8E" w:rsidRPr="00626EB7">
        <w:t>r verhaal deed over haar o</w:t>
      </w:r>
      <w:r w:rsidR="00D23D8E" w:rsidRPr="009B6DCF">
        <w:t>necht</w:t>
      </w:r>
      <w:r w:rsidR="00E72FC8">
        <w:t>e</w:t>
      </w:r>
      <w:r w:rsidR="00D23D8E" w:rsidRPr="00DC6EE1">
        <w:t xml:space="preserve"> kind van de prins van Monaco, in P</w:t>
      </w:r>
      <w:r w:rsidR="00813661" w:rsidRPr="00DC6EE1">
        <w:t>ari</w:t>
      </w:r>
      <w:r w:rsidR="00D23D8E" w:rsidRPr="00626EB7">
        <w:t>s Match</w:t>
      </w:r>
      <w:r w:rsidR="00813661" w:rsidRPr="00626EB7">
        <w:t xml:space="preserve">. En je kunt die zaak eenvoudig plaatsen in een </w:t>
      </w:r>
      <w:r w:rsidR="00D23D8E" w:rsidRPr="00626EB7">
        <w:t xml:space="preserve">rijtje van uitspraken van </w:t>
      </w:r>
      <w:r w:rsidR="002D09E9">
        <w:t>V</w:t>
      </w:r>
      <w:r w:rsidR="00D23D8E" w:rsidRPr="00626EB7">
        <w:t>on Hannover</w:t>
      </w:r>
      <w:r w:rsidR="00E72FC8">
        <w:t xml:space="preserve"> </w:t>
      </w:r>
      <w:r w:rsidR="00813661" w:rsidRPr="00DC6EE1">
        <w:t>en dergelijke</w:t>
      </w:r>
      <w:r w:rsidR="00E72FC8">
        <w:t>,</w:t>
      </w:r>
      <w:r w:rsidR="00E72FC8" w:rsidRPr="00EF09C9">
        <w:rPr>
          <w:rStyle w:val="Voetnootmarkering"/>
          <w:rFonts w:cstheme="minorHAnsi"/>
        </w:rPr>
        <w:footnoteReference w:id="48"/>
      </w:r>
      <w:r w:rsidR="00E72FC8">
        <w:t xml:space="preserve"> maar e</w:t>
      </w:r>
      <w:r w:rsidR="00813661" w:rsidRPr="00DC6EE1">
        <w:t xml:space="preserve">r zit </w:t>
      </w:r>
      <w:r w:rsidR="00813661" w:rsidRPr="00626EB7">
        <w:t xml:space="preserve">een interessante feministische dimensie in die uitspraak, die maar weinig is opgepikt. </w:t>
      </w:r>
    </w:p>
    <w:p w14:paraId="2F13584A" w14:textId="77777777" w:rsidR="009556D4" w:rsidRDefault="009556D4" w:rsidP="00A80264">
      <w:pPr>
        <w:pStyle w:val="Geenafstand"/>
        <w:jc w:val="both"/>
        <w:rPr>
          <w:rFonts w:cstheme="minorHAnsi"/>
        </w:rPr>
      </w:pPr>
    </w:p>
    <w:p w14:paraId="142EE248" w14:textId="77777777" w:rsidR="00813661" w:rsidRPr="00A80264" w:rsidRDefault="004C6C95" w:rsidP="00A80264">
      <w:pPr>
        <w:pStyle w:val="Geenafstand"/>
        <w:jc w:val="both"/>
        <w:rPr>
          <w:rFonts w:cstheme="minorHAnsi"/>
          <w:i/>
        </w:rPr>
      </w:pPr>
      <w:r w:rsidRPr="00A80264">
        <w:rPr>
          <w:rFonts w:cstheme="minorHAnsi"/>
          <w:i/>
        </w:rPr>
        <w:t xml:space="preserve">Welk advies zou u aan uw opvolger willen meegeven? Deze vraag is prangender dan ooit, nu alle drie de mogelijke opvolgers in de redactie van </w:t>
      </w:r>
      <w:r w:rsidR="00E72FC8">
        <w:rPr>
          <w:rFonts w:cstheme="minorHAnsi"/>
          <w:i/>
        </w:rPr>
        <w:t>dit tijdschrift</w:t>
      </w:r>
      <w:r w:rsidRPr="00A80264">
        <w:rPr>
          <w:rFonts w:cstheme="minorHAnsi"/>
          <w:i/>
        </w:rPr>
        <w:t xml:space="preserve"> zitten, en </w:t>
      </w:r>
      <w:r w:rsidR="00E72FC8">
        <w:rPr>
          <w:rFonts w:cstheme="minorHAnsi"/>
          <w:i/>
        </w:rPr>
        <w:t xml:space="preserve">zij </w:t>
      </w:r>
      <w:r w:rsidRPr="00A80264">
        <w:rPr>
          <w:rFonts w:cstheme="minorHAnsi"/>
          <w:i/>
        </w:rPr>
        <w:t xml:space="preserve">dit interview dus zeker zullen gaan lezen. </w:t>
      </w:r>
    </w:p>
    <w:p w14:paraId="65AB9E00" w14:textId="77777777" w:rsidR="009556D4" w:rsidRDefault="009556D4" w:rsidP="00A80264">
      <w:pPr>
        <w:pStyle w:val="Geenafstand"/>
        <w:jc w:val="both"/>
        <w:rPr>
          <w:rFonts w:cstheme="minorHAnsi"/>
        </w:rPr>
      </w:pPr>
    </w:p>
    <w:p w14:paraId="03D94889" w14:textId="77777777" w:rsidR="00166580" w:rsidRDefault="00166580" w:rsidP="00A80264">
      <w:pPr>
        <w:pStyle w:val="Geenafstand"/>
        <w:jc w:val="both"/>
      </w:pPr>
      <w:r w:rsidRPr="00DC6EE1">
        <w:t>Nou, ik vind dat de mensen op die lijst van mij helemaal geen advies nodig hebben. Die zitten zo goed in de materie van de mensenrechten.</w:t>
      </w:r>
    </w:p>
    <w:p w14:paraId="41C05DC7" w14:textId="77777777" w:rsidR="009556D4" w:rsidRPr="00DC6EE1" w:rsidRDefault="009556D4" w:rsidP="00A80264">
      <w:pPr>
        <w:pStyle w:val="Geenafstand"/>
        <w:jc w:val="both"/>
      </w:pPr>
    </w:p>
    <w:p w14:paraId="0BDA6301" w14:textId="77777777" w:rsidR="009556D4" w:rsidRPr="00A80264" w:rsidRDefault="00166580" w:rsidP="00A80264">
      <w:pPr>
        <w:pStyle w:val="Geenafstand"/>
        <w:jc w:val="both"/>
        <w:rPr>
          <w:i/>
        </w:rPr>
      </w:pPr>
      <w:r w:rsidRPr="00A80264">
        <w:rPr>
          <w:i/>
        </w:rPr>
        <w:t>Misschien niet eens inhoudelijk, meer praktisch? Een gebruiksaanwijzing van Straatsburg, hoe om te gaan met collega’s?</w:t>
      </w:r>
      <w:r w:rsidR="00E724A2" w:rsidRPr="00A80264">
        <w:rPr>
          <w:i/>
        </w:rPr>
        <w:t xml:space="preserve"> </w:t>
      </w:r>
    </w:p>
    <w:p w14:paraId="5414CA52" w14:textId="77777777" w:rsidR="00166580" w:rsidRPr="00DC6EE1" w:rsidRDefault="00166580" w:rsidP="00A80264">
      <w:pPr>
        <w:pStyle w:val="Geenafstand"/>
        <w:jc w:val="both"/>
        <w:rPr>
          <w:b/>
        </w:rPr>
      </w:pPr>
    </w:p>
    <w:p w14:paraId="3CA28507" w14:textId="77777777" w:rsidR="00545CD6" w:rsidRPr="00A90B65" w:rsidRDefault="00166580" w:rsidP="007A55A6">
      <w:pPr>
        <w:pStyle w:val="Geenafstand"/>
        <w:jc w:val="both"/>
        <w:rPr>
          <w:rFonts w:cstheme="minorHAnsi"/>
        </w:rPr>
      </w:pPr>
      <w:r w:rsidRPr="00626EB7">
        <w:t xml:space="preserve">Mijn voorganger </w:t>
      </w:r>
      <w:r w:rsidR="002D09E9">
        <w:t xml:space="preserve">in mijn huidige functie </w:t>
      </w:r>
      <w:r w:rsidRPr="00626EB7">
        <w:t>heeft in een interview gezegd</w:t>
      </w:r>
      <w:r w:rsidRPr="00B01C64">
        <w:t>, dat hij hoopte dat ik vooral</w:t>
      </w:r>
      <w:r w:rsidR="002D09E9">
        <w:t xml:space="preserve"> zou genieten</w:t>
      </w:r>
      <w:r w:rsidRPr="00B01C64">
        <w:t xml:space="preserve"> van het bijzondere voorrecht en ook </w:t>
      </w:r>
      <w:r w:rsidR="002D09E9">
        <w:t>in het besef</w:t>
      </w:r>
      <w:r w:rsidRPr="00B01C64">
        <w:t xml:space="preserve"> van het b</w:t>
      </w:r>
      <w:r w:rsidR="00D23D8E" w:rsidRPr="00B01C64">
        <w:t>ijzondere voorrecht om zo’n</w:t>
      </w:r>
      <w:r w:rsidRPr="000437DB">
        <w:t xml:space="preserve"> rol te vervullen. </w:t>
      </w:r>
      <w:r w:rsidR="00311E40" w:rsidRPr="000437DB">
        <w:t xml:space="preserve">Dat zou ik graag willen herhalen. </w:t>
      </w:r>
      <w:r w:rsidRPr="000437DB">
        <w:t xml:space="preserve"> </w:t>
      </w:r>
    </w:p>
    <w:sectPr w:rsidR="00545CD6" w:rsidRPr="00A90B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8B3B" w14:textId="77777777" w:rsidR="009C6D61" w:rsidRDefault="009C6D61" w:rsidP="00C6712C">
      <w:pPr>
        <w:spacing w:after="0" w:line="240" w:lineRule="auto"/>
      </w:pPr>
      <w:r>
        <w:separator/>
      </w:r>
    </w:p>
  </w:endnote>
  <w:endnote w:type="continuationSeparator" w:id="0">
    <w:p w14:paraId="7B17F4D7" w14:textId="77777777" w:rsidR="009C6D61" w:rsidRDefault="009C6D61" w:rsidP="00C6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127895"/>
      <w:docPartObj>
        <w:docPartGallery w:val="Page Numbers (Bottom of Page)"/>
        <w:docPartUnique/>
      </w:docPartObj>
    </w:sdtPr>
    <w:sdtEndPr/>
    <w:sdtContent>
      <w:p w14:paraId="38868CC4" w14:textId="12B0E295" w:rsidR="00B372A3" w:rsidRDefault="00B372A3">
        <w:pPr>
          <w:pStyle w:val="Voettekst"/>
          <w:jc w:val="right"/>
        </w:pPr>
        <w:r>
          <w:fldChar w:fldCharType="begin"/>
        </w:r>
        <w:r>
          <w:instrText>PAGE   \* MERGEFORMAT</w:instrText>
        </w:r>
        <w:r>
          <w:fldChar w:fldCharType="separate"/>
        </w:r>
        <w:r w:rsidR="00C55114">
          <w:rPr>
            <w:noProof/>
          </w:rPr>
          <w:t>1</w:t>
        </w:r>
        <w:r>
          <w:fldChar w:fldCharType="end"/>
        </w:r>
      </w:p>
    </w:sdtContent>
  </w:sdt>
  <w:p w14:paraId="1CD30443" w14:textId="77777777" w:rsidR="00B372A3" w:rsidRDefault="00B372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944B" w14:textId="77777777" w:rsidR="009C6D61" w:rsidRDefault="009C6D61" w:rsidP="00C6712C">
      <w:pPr>
        <w:spacing w:after="0" w:line="240" w:lineRule="auto"/>
      </w:pPr>
      <w:r>
        <w:separator/>
      </w:r>
    </w:p>
  </w:footnote>
  <w:footnote w:type="continuationSeparator" w:id="0">
    <w:p w14:paraId="21076663" w14:textId="77777777" w:rsidR="009C6D61" w:rsidRDefault="009C6D61" w:rsidP="00C6712C">
      <w:pPr>
        <w:spacing w:after="0" w:line="240" w:lineRule="auto"/>
      </w:pPr>
      <w:r>
        <w:continuationSeparator/>
      </w:r>
    </w:p>
  </w:footnote>
  <w:footnote w:id="1">
    <w:p w14:paraId="48080F65"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J. Claessen, P. Jacobs, S. Meijer &amp; J. Ouwerkerk, </w:t>
      </w:r>
      <w:r w:rsidRPr="00147597">
        <w:rPr>
          <w:rFonts w:cstheme="minorHAnsi"/>
          <w:i/>
          <w:sz w:val="18"/>
          <w:szCs w:val="18"/>
        </w:rPr>
        <w:t xml:space="preserve">Mensbeelden en strafrecht, </w:t>
      </w:r>
      <w:r w:rsidRPr="00147597">
        <w:rPr>
          <w:rFonts w:cstheme="minorHAnsi"/>
          <w:sz w:val="18"/>
          <w:szCs w:val="18"/>
        </w:rPr>
        <w:t>SDU Uitgevers: Den Haag 2014, p. 49.</w:t>
      </w:r>
    </w:p>
  </w:footnote>
  <w:footnote w:id="2">
    <w:p w14:paraId="78437705"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eastAsia="Times New Roman" w:cstheme="minorHAnsi"/>
          <w:sz w:val="18"/>
          <w:szCs w:val="18"/>
          <w:lang w:eastAsia="nl-NL"/>
        </w:rPr>
        <w:t xml:space="preserve"> EHRM 25 april 1978, 5856/72 (</w:t>
      </w:r>
      <w:r w:rsidRPr="00147597">
        <w:rPr>
          <w:rFonts w:eastAsia="Times New Roman" w:cstheme="minorHAnsi"/>
          <w:i/>
          <w:sz w:val="18"/>
          <w:szCs w:val="18"/>
          <w:lang w:eastAsia="nl-NL"/>
        </w:rPr>
        <w:t xml:space="preserve">Tyrer </w:t>
      </w:r>
      <w:r w:rsidRPr="00147597">
        <w:rPr>
          <w:rFonts w:eastAsia="Times New Roman" w:cstheme="minorHAnsi"/>
          <w:sz w:val="18"/>
          <w:szCs w:val="18"/>
          <w:lang w:eastAsia="nl-NL"/>
        </w:rPr>
        <w:t xml:space="preserve">t. </w:t>
      </w:r>
      <w:r w:rsidRPr="00147597">
        <w:rPr>
          <w:rFonts w:eastAsia="Times New Roman" w:cstheme="minorHAnsi"/>
          <w:i/>
          <w:sz w:val="18"/>
          <w:szCs w:val="18"/>
          <w:lang w:eastAsia="nl-NL"/>
        </w:rPr>
        <w:t>het Verenigd Koninkrijk</w:t>
      </w:r>
      <w:r w:rsidRPr="00147597">
        <w:rPr>
          <w:rFonts w:eastAsia="Times New Roman" w:cstheme="minorHAnsi"/>
          <w:sz w:val="18"/>
          <w:szCs w:val="18"/>
          <w:lang w:eastAsia="nl-NL"/>
        </w:rPr>
        <w:t>).</w:t>
      </w:r>
    </w:p>
  </w:footnote>
  <w:footnote w:id="3">
    <w:p w14:paraId="4F39F925"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w:t>
      </w:r>
      <w:r w:rsidRPr="00147597">
        <w:rPr>
          <w:rFonts w:eastAsia="Times New Roman" w:cstheme="minorHAnsi"/>
          <w:sz w:val="18"/>
          <w:szCs w:val="18"/>
          <w:lang w:eastAsia="nl-NL"/>
        </w:rPr>
        <w:t>EHRM</w:t>
      </w:r>
      <w:r w:rsidRPr="00147597">
        <w:rPr>
          <w:rFonts w:cstheme="minorHAnsi"/>
          <w:sz w:val="18"/>
          <w:szCs w:val="18"/>
        </w:rPr>
        <w:t xml:space="preserve"> 6 oktober 2005, </w:t>
      </w:r>
      <w:r w:rsidRPr="00147597">
        <w:rPr>
          <w:rFonts w:eastAsia="Times New Roman" w:cstheme="minorHAnsi"/>
          <w:sz w:val="18"/>
          <w:szCs w:val="18"/>
          <w:lang w:eastAsia="nl-NL"/>
        </w:rPr>
        <w:t>74025/01 (</w:t>
      </w:r>
      <w:r w:rsidRPr="00147597">
        <w:rPr>
          <w:rFonts w:cstheme="minorHAnsi"/>
          <w:i/>
          <w:sz w:val="18"/>
          <w:szCs w:val="18"/>
        </w:rPr>
        <w:t>Hirst t. het Verenigd Koninkrijk Nr. 2</w:t>
      </w:r>
      <w:r w:rsidRPr="00147597">
        <w:rPr>
          <w:rFonts w:cstheme="minorHAnsi"/>
          <w:sz w:val="18"/>
          <w:szCs w:val="18"/>
        </w:rPr>
        <w:t>) (Grote Kamer),</w:t>
      </w:r>
      <w:r w:rsidRPr="00147597">
        <w:rPr>
          <w:rFonts w:cstheme="minorHAnsi"/>
          <w:i/>
          <w:sz w:val="18"/>
          <w:szCs w:val="18"/>
        </w:rPr>
        <w:t xml:space="preserve"> </w:t>
      </w:r>
      <w:r w:rsidRPr="00147597">
        <w:rPr>
          <w:rFonts w:eastAsia="Times New Roman" w:cstheme="minorHAnsi"/>
          <w:i/>
          <w:sz w:val="18"/>
          <w:szCs w:val="18"/>
          <w:lang w:eastAsia="nl-NL"/>
        </w:rPr>
        <w:t>EHRC</w:t>
      </w:r>
      <w:r w:rsidRPr="00147597">
        <w:rPr>
          <w:rFonts w:cstheme="minorHAnsi"/>
          <w:i/>
          <w:sz w:val="18"/>
          <w:szCs w:val="18"/>
        </w:rPr>
        <w:t xml:space="preserve"> </w:t>
      </w:r>
      <w:r w:rsidRPr="00147597">
        <w:rPr>
          <w:rFonts w:cstheme="minorHAnsi"/>
          <w:sz w:val="18"/>
          <w:szCs w:val="18"/>
        </w:rPr>
        <w:t>2005/115, m.nt. Broeksteeg.</w:t>
      </w:r>
    </w:p>
  </w:footnote>
  <w:footnote w:id="4">
    <w:p w14:paraId="7E17E3DE" w14:textId="77777777" w:rsidR="00B372A3" w:rsidRPr="00147597" w:rsidRDefault="00B372A3" w:rsidP="001741CA">
      <w:pPr>
        <w:pStyle w:val="Voetnoottekst"/>
        <w:jc w:val="both"/>
        <w:rPr>
          <w:sz w:val="18"/>
          <w:szCs w:val="18"/>
        </w:rPr>
      </w:pPr>
      <w:r w:rsidRPr="00147597">
        <w:rPr>
          <w:rStyle w:val="Voetnootmarkering"/>
          <w:rFonts w:cstheme="minorHAnsi"/>
          <w:sz w:val="18"/>
          <w:szCs w:val="18"/>
        </w:rPr>
        <w:footnoteRef/>
      </w:r>
      <w:r w:rsidRPr="00147597">
        <w:rPr>
          <w:sz w:val="18"/>
          <w:szCs w:val="18"/>
        </w:rPr>
        <w:t xml:space="preserve"> </w:t>
      </w:r>
      <w:r w:rsidRPr="00147597">
        <w:rPr>
          <w:rFonts w:eastAsia="Times New Roman" w:cstheme="minorHAnsi"/>
          <w:sz w:val="18"/>
          <w:szCs w:val="18"/>
          <w:lang w:eastAsia="nl-NL"/>
        </w:rPr>
        <w:t xml:space="preserve">EHRM </w:t>
      </w:r>
      <w:r w:rsidRPr="00147597">
        <w:rPr>
          <w:rFonts w:cstheme="minorHAnsi"/>
          <w:sz w:val="18"/>
          <w:szCs w:val="18"/>
        </w:rPr>
        <w:t xml:space="preserve">9 juli 2013, </w:t>
      </w:r>
      <w:hyperlink r:id="rId1" w:anchor="{&quot;appno&quot;:[&quot;66069/09&quot;]}" w:tgtFrame="_blank" w:history="1">
        <w:r w:rsidRPr="00147597">
          <w:rPr>
            <w:rFonts w:cstheme="minorHAnsi"/>
            <w:sz w:val="18"/>
            <w:szCs w:val="18"/>
          </w:rPr>
          <w:t>66069/09</w:t>
        </w:r>
      </w:hyperlink>
      <w:r w:rsidRPr="00147597">
        <w:rPr>
          <w:rFonts w:cstheme="minorHAnsi"/>
          <w:sz w:val="18"/>
          <w:szCs w:val="18"/>
        </w:rPr>
        <w:t xml:space="preserve">, </w:t>
      </w:r>
      <w:hyperlink r:id="rId2" w:anchor="{&quot;appno&quot;:[&quot;130/10&quot;]}" w:tgtFrame="_blank" w:history="1">
        <w:r w:rsidRPr="00147597">
          <w:rPr>
            <w:rFonts w:cstheme="minorHAnsi"/>
            <w:sz w:val="18"/>
            <w:szCs w:val="18"/>
          </w:rPr>
          <w:t>130/10</w:t>
        </w:r>
      </w:hyperlink>
      <w:r w:rsidRPr="00147597">
        <w:rPr>
          <w:rFonts w:cstheme="minorHAnsi"/>
          <w:sz w:val="18"/>
          <w:szCs w:val="18"/>
        </w:rPr>
        <w:t xml:space="preserve"> en </w:t>
      </w:r>
      <w:hyperlink r:id="rId3" w:anchor="{&quot;appno&quot;:[&quot;3896/10&quot;]}" w:tgtFrame="_blank" w:history="1">
        <w:r w:rsidRPr="00147597">
          <w:rPr>
            <w:rFonts w:cstheme="minorHAnsi"/>
            <w:sz w:val="18"/>
            <w:szCs w:val="18"/>
          </w:rPr>
          <w:t>3896/10</w:t>
        </w:r>
      </w:hyperlink>
      <w:r w:rsidRPr="00147597">
        <w:rPr>
          <w:rFonts w:eastAsia="Times New Roman" w:cstheme="minorHAnsi"/>
          <w:sz w:val="18"/>
          <w:szCs w:val="18"/>
          <w:lang w:eastAsia="nl-NL"/>
        </w:rPr>
        <w:t xml:space="preserve"> (</w:t>
      </w:r>
      <w:r w:rsidRPr="00147597">
        <w:rPr>
          <w:rFonts w:cstheme="minorHAnsi"/>
          <w:i/>
          <w:sz w:val="18"/>
          <w:szCs w:val="18"/>
        </w:rPr>
        <w:t xml:space="preserve">Vinter and others </w:t>
      </w:r>
      <w:r w:rsidRPr="00147597">
        <w:rPr>
          <w:rFonts w:cstheme="minorHAnsi"/>
          <w:sz w:val="18"/>
          <w:szCs w:val="18"/>
        </w:rPr>
        <w:t>t</w:t>
      </w:r>
      <w:r w:rsidRPr="00147597">
        <w:rPr>
          <w:rFonts w:cstheme="minorHAnsi"/>
          <w:i/>
          <w:sz w:val="18"/>
          <w:szCs w:val="18"/>
        </w:rPr>
        <w:t>. the United Kingdom</w:t>
      </w:r>
      <w:r w:rsidRPr="00147597">
        <w:rPr>
          <w:rFonts w:cstheme="minorHAnsi"/>
          <w:sz w:val="18"/>
          <w:szCs w:val="18"/>
        </w:rPr>
        <w:t>) (Grote Kamer).</w:t>
      </w:r>
    </w:p>
  </w:footnote>
  <w:footnote w:id="5">
    <w:p w14:paraId="758DBD45"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eastAsia="Times New Roman" w:cstheme="minorHAnsi"/>
          <w:sz w:val="18"/>
          <w:szCs w:val="18"/>
          <w:lang w:eastAsia="nl-NL"/>
        </w:rPr>
        <w:t xml:space="preserve"> EHRM</w:t>
      </w:r>
      <w:r w:rsidRPr="00147597">
        <w:rPr>
          <w:rFonts w:cstheme="minorHAnsi"/>
          <w:sz w:val="18"/>
          <w:szCs w:val="18"/>
        </w:rPr>
        <w:t xml:space="preserve"> 23 november 2010, 60041/08 en 60054/08 (</w:t>
      </w:r>
      <w:r w:rsidRPr="00147597">
        <w:rPr>
          <w:rFonts w:cstheme="minorHAnsi"/>
          <w:i/>
          <w:sz w:val="18"/>
          <w:szCs w:val="18"/>
        </w:rPr>
        <w:t xml:space="preserve">Greens and M.T. </w:t>
      </w:r>
      <w:r w:rsidRPr="00147597">
        <w:rPr>
          <w:rFonts w:cstheme="minorHAnsi"/>
          <w:sz w:val="18"/>
          <w:szCs w:val="18"/>
        </w:rPr>
        <w:t>t.</w:t>
      </w:r>
      <w:r w:rsidRPr="00147597">
        <w:rPr>
          <w:rFonts w:cstheme="minorHAnsi"/>
          <w:i/>
          <w:sz w:val="18"/>
          <w:szCs w:val="18"/>
        </w:rPr>
        <w:t xml:space="preserve"> het Verenigd Koninkrijk</w:t>
      </w:r>
      <w:r w:rsidRPr="00147597">
        <w:rPr>
          <w:rFonts w:cstheme="minorHAnsi"/>
          <w:sz w:val="18"/>
          <w:szCs w:val="18"/>
        </w:rPr>
        <w:t xml:space="preserve">), </w:t>
      </w:r>
      <w:r w:rsidRPr="00147597">
        <w:rPr>
          <w:rFonts w:cstheme="minorHAnsi"/>
          <w:i/>
          <w:sz w:val="18"/>
          <w:szCs w:val="18"/>
        </w:rPr>
        <w:t>EHRC</w:t>
      </w:r>
      <w:r w:rsidRPr="00147597">
        <w:rPr>
          <w:rFonts w:cstheme="minorHAnsi"/>
          <w:sz w:val="18"/>
          <w:szCs w:val="18"/>
        </w:rPr>
        <w:t xml:space="preserve"> 2011/20, m.nt. de Lange.</w:t>
      </w:r>
    </w:p>
  </w:footnote>
  <w:footnote w:id="6">
    <w:p w14:paraId="59A3098F" w14:textId="77777777" w:rsidR="000F22D2" w:rsidRPr="001741CA" w:rsidRDefault="000F22D2" w:rsidP="001741CA">
      <w:pPr>
        <w:pStyle w:val="Voetnoottekst"/>
        <w:jc w:val="both"/>
        <w:rPr>
          <w:sz w:val="18"/>
          <w:szCs w:val="18"/>
        </w:rPr>
      </w:pPr>
      <w:r w:rsidRPr="001741CA">
        <w:rPr>
          <w:rStyle w:val="Voetnootmarkering"/>
          <w:sz w:val="18"/>
          <w:szCs w:val="18"/>
        </w:rPr>
        <w:footnoteRef/>
      </w:r>
      <w:r w:rsidRPr="001741CA">
        <w:rPr>
          <w:sz w:val="18"/>
          <w:szCs w:val="18"/>
        </w:rPr>
        <w:t xml:space="preserve"> Zie de Draft Voting Eligibility (Prisoners) Bill d.d. 18 december 2013 die te vinden is op </w:t>
      </w:r>
    </w:p>
    <w:p w14:paraId="5EB298C6" w14:textId="77777777" w:rsidR="000F22D2" w:rsidRPr="001741CA" w:rsidRDefault="000F22D2" w:rsidP="001741CA">
      <w:pPr>
        <w:pStyle w:val="Voetnoottekst"/>
        <w:jc w:val="both"/>
        <w:rPr>
          <w:sz w:val="18"/>
          <w:szCs w:val="18"/>
        </w:rPr>
      </w:pPr>
      <w:r w:rsidRPr="001741CA">
        <w:rPr>
          <w:sz w:val="18"/>
          <w:szCs w:val="18"/>
        </w:rPr>
        <w:t>http://www.parliament.uk/business/committees/committees-a-z/joint-select/draft-voting-eligibility-prisoners-bill/?</w:t>
      </w:r>
    </w:p>
  </w:footnote>
  <w:footnote w:id="7">
    <w:p w14:paraId="049BDE5E" w14:textId="77777777" w:rsidR="00B372A3" w:rsidRPr="00147597" w:rsidRDefault="00B372A3" w:rsidP="001741CA">
      <w:pPr>
        <w:pStyle w:val="Geenafstand"/>
        <w:jc w:val="both"/>
        <w:rPr>
          <w:rFonts w:cstheme="minorHAnsi"/>
          <w:sz w:val="18"/>
          <w:szCs w:val="18"/>
          <w:lang w:val="en-US"/>
        </w:rPr>
      </w:pPr>
      <w:r w:rsidRPr="00147597">
        <w:rPr>
          <w:rStyle w:val="Voetnootmarkering"/>
          <w:rFonts w:cstheme="minorHAnsi"/>
          <w:sz w:val="18"/>
          <w:szCs w:val="18"/>
        </w:rPr>
        <w:footnoteRef/>
      </w:r>
      <w:r w:rsidRPr="00147597">
        <w:rPr>
          <w:rFonts w:cstheme="minorHAnsi"/>
          <w:sz w:val="18"/>
          <w:szCs w:val="18"/>
          <w:lang w:val="en-US"/>
        </w:rPr>
        <w:t xml:space="preserve"> Steering Committee for Human Rights (CDDH), </w:t>
      </w:r>
      <w:r w:rsidRPr="00147597">
        <w:rPr>
          <w:rFonts w:cstheme="minorHAnsi"/>
          <w:i/>
          <w:sz w:val="18"/>
          <w:szCs w:val="18"/>
          <w:lang w:val="en-US"/>
        </w:rPr>
        <w:t>CDDH report on the longer-term future of the system of the European Convention on Human Rights</w:t>
      </w:r>
      <w:r w:rsidRPr="00147597">
        <w:rPr>
          <w:rFonts w:cstheme="minorHAnsi"/>
          <w:sz w:val="18"/>
          <w:szCs w:val="18"/>
          <w:lang w:val="en-US"/>
        </w:rPr>
        <w:t xml:space="preserve">, 11 </w:t>
      </w:r>
      <w:r w:rsidR="00FD7AE8" w:rsidRPr="00147597">
        <w:rPr>
          <w:rFonts w:cstheme="minorHAnsi"/>
          <w:sz w:val="18"/>
          <w:szCs w:val="18"/>
          <w:lang w:val="en-US"/>
        </w:rPr>
        <w:t>D</w:t>
      </w:r>
      <w:r w:rsidRPr="00147597">
        <w:rPr>
          <w:rFonts w:cstheme="minorHAnsi"/>
          <w:sz w:val="18"/>
          <w:szCs w:val="18"/>
          <w:lang w:val="en-US"/>
        </w:rPr>
        <w:t>ecember 2015, CDDH(2015)R84 Addendum I, par. 116.</w:t>
      </w:r>
    </w:p>
  </w:footnote>
  <w:footnote w:id="8">
    <w:p w14:paraId="6AAE67FB"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eastAsia="Times New Roman" w:cstheme="minorHAnsi"/>
          <w:sz w:val="18"/>
          <w:szCs w:val="18"/>
          <w:lang w:eastAsia="nl-NL"/>
        </w:rPr>
        <w:t xml:space="preserve"> EHRM </w:t>
      </w:r>
      <w:r w:rsidRPr="00147597">
        <w:rPr>
          <w:rFonts w:cstheme="minorHAnsi"/>
          <w:sz w:val="18"/>
          <w:szCs w:val="18"/>
        </w:rPr>
        <w:t xml:space="preserve">9 juli 2013, </w:t>
      </w:r>
      <w:hyperlink r:id="rId4" w:anchor="{&quot;appno&quot;:[&quot;66069/09&quot;]}" w:tgtFrame="_blank" w:history="1">
        <w:r w:rsidRPr="00147597">
          <w:rPr>
            <w:rFonts w:cstheme="minorHAnsi"/>
            <w:sz w:val="18"/>
            <w:szCs w:val="18"/>
          </w:rPr>
          <w:t>66069/09</w:t>
        </w:r>
      </w:hyperlink>
      <w:r w:rsidRPr="00147597">
        <w:rPr>
          <w:rFonts w:cstheme="minorHAnsi"/>
          <w:sz w:val="18"/>
          <w:szCs w:val="18"/>
        </w:rPr>
        <w:t xml:space="preserve">, </w:t>
      </w:r>
      <w:hyperlink r:id="rId5" w:anchor="{&quot;appno&quot;:[&quot;130/10&quot;]}" w:tgtFrame="_blank" w:history="1">
        <w:r w:rsidRPr="00147597">
          <w:rPr>
            <w:rFonts w:cstheme="minorHAnsi"/>
            <w:sz w:val="18"/>
            <w:szCs w:val="18"/>
          </w:rPr>
          <w:t>130/10</w:t>
        </w:r>
      </w:hyperlink>
      <w:r w:rsidRPr="00147597">
        <w:rPr>
          <w:rFonts w:cstheme="minorHAnsi"/>
          <w:sz w:val="18"/>
          <w:szCs w:val="18"/>
        </w:rPr>
        <w:t xml:space="preserve"> en </w:t>
      </w:r>
      <w:hyperlink r:id="rId6" w:anchor="{&quot;appno&quot;:[&quot;3896/10&quot;]}" w:tgtFrame="_blank" w:history="1">
        <w:r w:rsidRPr="00147597">
          <w:rPr>
            <w:rFonts w:cstheme="minorHAnsi"/>
            <w:sz w:val="18"/>
            <w:szCs w:val="18"/>
          </w:rPr>
          <w:t>3896/10</w:t>
        </w:r>
      </w:hyperlink>
      <w:r w:rsidRPr="00147597">
        <w:rPr>
          <w:rFonts w:cstheme="minorHAnsi"/>
          <w:sz w:val="18"/>
          <w:szCs w:val="18"/>
        </w:rPr>
        <w:t>,</w:t>
      </w:r>
      <w:r w:rsidRPr="00147597">
        <w:rPr>
          <w:rFonts w:eastAsia="Times New Roman" w:cstheme="minorHAnsi"/>
          <w:sz w:val="18"/>
          <w:szCs w:val="18"/>
          <w:lang w:eastAsia="nl-NL"/>
        </w:rPr>
        <w:t xml:space="preserve"> (</w:t>
      </w:r>
      <w:r w:rsidRPr="00147597">
        <w:rPr>
          <w:rFonts w:cstheme="minorHAnsi"/>
          <w:i/>
          <w:sz w:val="18"/>
          <w:szCs w:val="18"/>
        </w:rPr>
        <w:t xml:space="preserve">Vinter and others </w:t>
      </w:r>
      <w:r w:rsidRPr="00147597">
        <w:rPr>
          <w:rFonts w:cstheme="minorHAnsi"/>
          <w:sz w:val="18"/>
          <w:szCs w:val="18"/>
        </w:rPr>
        <w:t>t</w:t>
      </w:r>
      <w:r w:rsidRPr="00147597">
        <w:rPr>
          <w:rFonts w:cstheme="minorHAnsi"/>
          <w:i/>
          <w:sz w:val="18"/>
          <w:szCs w:val="18"/>
        </w:rPr>
        <w:t>. the United Kingdom</w:t>
      </w:r>
      <w:r w:rsidRPr="00147597">
        <w:rPr>
          <w:rFonts w:cstheme="minorHAnsi"/>
          <w:sz w:val="18"/>
          <w:szCs w:val="18"/>
        </w:rPr>
        <w:t>) (Grote Kamer).</w:t>
      </w:r>
    </w:p>
  </w:footnote>
  <w:footnote w:id="9">
    <w:p w14:paraId="3FD7EBFD" w14:textId="77777777" w:rsidR="00B372A3" w:rsidRPr="001741CA" w:rsidRDefault="00B372A3" w:rsidP="001741CA">
      <w:pPr>
        <w:pStyle w:val="Geenafstand"/>
        <w:jc w:val="both"/>
        <w:rPr>
          <w:rFonts w:eastAsia="Times New Roman" w:cstheme="minorHAnsi"/>
          <w:sz w:val="18"/>
          <w:szCs w:val="18"/>
          <w:lang w:eastAsia="nl-NL"/>
        </w:rPr>
      </w:pPr>
      <w:r w:rsidRPr="00147597">
        <w:rPr>
          <w:rStyle w:val="Voetnootmarkering"/>
          <w:rFonts w:cstheme="minorHAnsi"/>
          <w:sz w:val="18"/>
          <w:szCs w:val="18"/>
        </w:rPr>
        <w:footnoteRef/>
      </w:r>
      <w:r w:rsidRPr="00147597">
        <w:rPr>
          <w:rFonts w:eastAsia="Times New Roman" w:cstheme="minorHAnsi"/>
          <w:sz w:val="18"/>
          <w:szCs w:val="18"/>
          <w:lang w:eastAsia="nl-NL"/>
        </w:rPr>
        <w:t xml:space="preserve"> EHRM 12 februari 2008, 21906/04 (</w:t>
      </w:r>
      <w:r w:rsidRPr="001741CA">
        <w:rPr>
          <w:rFonts w:eastAsia="Times New Roman" w:cstheme="minorHAnsi"/>
          <w:i/>
          <w:sz w:val="18"/>
          <w:szCs w:val="18"/>
          <w:lang w:eastAsia="nl-NL"/>
        </w:rPr>
        <w:t xml:space="preserve">Kafkaris </w:t>
      </w:r>
      <w:r w:rsidRPr="001741CA">
        <w:rPr>
          <w:rFonts w:eastAsia="Times New Roman" w:cstheme="minorHAnsi"/>
          <w:sz w:val="18"/>
          <w:szCs w:val="18"/>
          <w:lang w:eastAsia="nl-NL"/>
        </w:rPr>
        <w:t>t.</w:t>
      </w:r>
      <w:r w:rsidRPr="001741CA">
        <w:rPr>
          <w:rFonts w:eastAsia="Times New Roman" w:cstheme="minorHAnsi"/>
          <w:i/>
          <w:sz w:val="18"/>
          <w:szCs w:val="18"/>
          <w:lang w:eastAsia="nl-NL"/>
        </w:rPr>
        <w:t xml:space="preserve"> Cyprus</w:t>
      </w:r>
      <w:r w:rsidRPr="001741CA">
        <w:rPr>
          <w:rFonts w:eastAsia="Times New Roman" w:cstheme="minorHAnsi"/>
          <w:sz w:val="18"/>
          <w:szCs w:val="18"/>
          <w:lang w:eastAsia="nl-NL"/>
        </w:rPr>
        <w:t>)</w:t>
      </w:r>
      <w:r w:rsidRPr="001741CA">
        <w:rPr>
          <w:rFonts w:eastAsia="Times New Roman" w:cstheme="minorHAnsi"/>
          <w:i/>
          <w:sz w:val="18"/>
          <w:szCs w:val="18"/>
          <w:lang w:eastAsia="nl-NL"/>
        </w:rPr>
        <w:t>.</w:t>
      </w:r>
    </w:p>
  </w:footnote>
  <w:footnote w:id="10">
    <w:p w14:paraId="598520A6"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Het Forum Forum Levenslang is in 2008 opgericht en bestaat uit juristen, medici, gedragswetenschappers en pastoraal werkers, allen betrokken bij de strafrechtstoepassing in Nederland. Het Forum zet zich in voor een meer humane tenuitvoerlegging van de levenslange gevangenisstraf. Het gaat daarbij zowel om het voorkomen van detentieschade als het bieden van een perspectief op invrijheidstelling. Zie voor meer informatie www.forumlevenslang.nl. </w:t>
      </w:r>
    </w:p>
  </w:footnote>
  <w:footnote w:id="11">
    <w:p w14:paraId="6342750B"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eastAsia="Times New Roman" w:cstheme="minorHAnsi"/>
          <w:sz w:val="18"/>
          <w:szCs w:val="18"/>
          <w:lang w:eastAsia="nl-NL"/>
        </w:rPr>
        <w:t xml:space="preserve"> EHRM</w:t>
      </w:r>
      <w:r w:rsidRPr="00147597">
        <w:rPr>
          <w:rFonts w:cstheme="minorHAnsi"/>
          <w:sz w:val="18"/>
          <w:szCs w:val="18"/>
        </w:rPr>
        <w:t xml:space="preserve"> 26 april 2016, 10511/10 (</w:t>
      </w:r>
      <w:r w:rsidRPr="00147597">
        <w:rPr>
          <w:rFonts w:cstheme="minorHAnsi"/>
          <w:i/>
          <w:sz w:val="18"/>
          <w:szCs w:val="18"/>
        </w:rPr>
        <w:t>Murray t. Nederland).</w:t>
      </w:r>
    </w:p>
  </w:footnote>
  <w:footnote w:id="12">
    <w:p w14:paraId="079100B0" w14:textId="77777777" w:rsidR="00B372A3" w:rsidRPr="001741CA" w:rsidRDefault="00B372A3" w:rsidP="001741CA">
      <w:pPr>
        <w:pStyle w:val="Geenafstand"/>
        <w:jc w:val="both"/>
        <w:rPr>
          <w:rFonts w:cstheme="minorHAnsi"/>
          <w:sz w:val="18"/>
          <w:szCs w:val="18"/>
          <w:lang w:val="de-DE"/>
        </w:rPr>
      </w:pPr>
      <w:r w:rsidRPr="00147597">
        <w:rPr>
          <w:rStyle w:val="Voetnootmarkering"/>
          <w:rFonts w:cstheme="minorHAnsi"/>
          <w:sz w:val="18"/>
          <w:szCs w:val="18"/>
        </w:rPr>
        <w:footnoteRef/>
      </w:r>
      <w:r w:rsidRPr="001741CA">
        <w:rPr>
          <w:rFonts w:cstheme="minorHAnsi"/>
          <w:sz w:val="18"/>
          <w:szCs w:val="18"/>
          <w:lang w:val="de-DE"/>
        </w:rPr>
        <w:t xml:space="preserve"> HR 5 juli 2016, ECLI:NL:HR:2016:1325.</w:t>
      </w:r>
    </w:p>
  </w:footnote>
  <w:footnote w:id="13">
    <w:p w14:paraId="60D423AC"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w:t>
      </w:r>
      <w:r w:rsidRPr="00147597">
        <w:rPr>
          <w:rFonts w:cstheme="minorHAnsi"/>
          <w:sz w:val="18"/>
          <w:szCs w:val="18"/>
          <w:shd w:val="clear" w:color="auto" w:fill="FFFFFF"/>
        </w:rPr>
        <w:t xml:space="preserve">HvJ EU 18 december 2014, </w:t>
      </w:r>
      <w:r w:rsidRPr="00147597">
        <w:rPr>
          <w:rFonts w:cstheme="minorHAnsi"/>
          <w:i/>
          <w:sz w:val="18"/>
          <w:szCs w:val="18"/>
          <w:shd w:val="clear" w:color="auto" w:fill="FFFFFF"/>
        </w:rPr>
        <w:t>Advies 2/13</w:t>
      </w:r>
      <w:r w:rsidRPr="00147597">
        <w:rPr>
          <w:rFonts w:cstheme="minorHAnsi"/>
          <w:sz w:val="18"/>
          <w:szCs w:val="18"/>
          <w:shd w:val="clear" w:color="auto" w:fill="FFFFFF"/>
        </w:rPr>
        <w:t xml:space="preserve"> </w:t>
      </w:r>
      <w:r w:rsidRPr="00147597">
        <w:rPr>
          <w:rFonts w:cstheme="minorHAnsi"/>
          <w:sz w:val="18"/>
          <w:szCs w:val="18"/>
        </w:rPr>
        <w:t>«</w:t>
      </w:r>
      <w:r w:rsidRPr="00147597">
        <w:rPr>
          <w:rFonts w:cstheme="minorHAnsi"/>
          <w:sz w:val="18"/>
          <w:szCs w:val="18"/>
          <w:shd w:val="clear" w:color="auto" w:fill="FFFFFF"/>
        </w:rPr>
        <w:t>EHRC</w:t>
      </w:r>
      <w:r w:rsidRPr="00147597">
        <w:rPr>
          <w:rFonts w:cstheme="minorHAnsi"/>
          <w:sz w:val="18"/>
          <w:szCs w:val="18"/>
        </w:rPr>
        <w:t>» 2015/65, m.nt. (1) Krommendijk en Beijer en m.nt. (2) Van Rossem</w:t>
      </w:r>
      <w:r w:rsidRPr="00147597">
        <w:rPr>
          <w:rFonts w:cstheme="minorHAnsi"/>
          <w:sz w:val="18"/>
          <w:szCs w:val="18"/>
          <w:shd w:val="clear" w:color="auto" w:fill="FFFFFF"/>
        </w:rPr>
        <w:t>,</w:t>
      </w:r>
    </w:p>
  </w:footnote>
  <w:footnote w:id="14">
    <w:p w14:paraId="45695F1E" w14:textId="77777777" w:rsidR="00B372A3" w:rsidRPr="00147597" w:rsidRDefault="00B372A3" w:rsidP="001741CA">
      <w:pPr>
        <w:pStyle w:val="Geenafstand"/>
        <w:jc w:val="both"/>
        <w:rPr>
          <w:rFonts w:cstheme="minorHAnsi"/>
          <w:sz w:val="18"/>
          <w:szCs w:val="18"/>
          <w:lang w:val="en-US"/>
        </w:rPr>
      </w:pPr>
      <w:r w:rsidRPr="00147597">
        <w:rPr>
          <w:rStyle w:val="Voetnootmarkering"/>
          <w:rFonts w:cstheme="minorHAnsi"/>
          <w:sz w:val="18"/>
          <w:szCs w:val="18"/>
        </w:rPr>
        <w:footnoteRef/>
      </w:r>
      <w:r w:rsidRPr="00147597">
        <w:rPr>
          <w:rFonts w:cstheme="minorHAnsi"/>
          <w:sz w:val="18"/>
          <w:szCs w:val="18"/>
          <w:lang w:val="en-GB"/>
        </w:rPr>
        <w:t xml:space="preserve"> Dean Spie</w:t>
      </w:r>
      <w:r w:rsidRPr="00147597">
        <w:rPr>
          <w:rFonts w:cstheme="minorHAnsi"/>
          <w:sz w:val="18"/>
          <w:szCs w:val="18"/>
          <w:lang w:val="en-US"/>
        </w:rPr>
        <w:t xml:space="preserve">lmann sprak over Advies 2/13 als “a great disappointment”. </w:t>
      </w:r>
      <w:r w:rsidRPr="00147597">
        <w:rPr>
          <w:rFonts w:cstheme="minorHAnsi"/>
          <w:sz w:val="18"/>
          <w:szCs w:val="18"/>
          <w:lang w:val="en-GB"/>
        </w:rPr>
        <w:t xml:space="preserve">Hij voegde daaraan toe dat “the principal victims will be those citizens whom this opinion … deprives of the right to have acts of the European Union subjected to the same external scrutiny as regards respect for human rights as that which applies to each member State.” EHRM, </w:t>
      </w:r>
      <w:r w:rsidRPr="00147597">
        <w:rPr>
          <w:rFonts w:cstheme="minorHAnsi"/>
          <w:i/>
          <w:sz w:val="18"/>
          <w:szCs w:val="18"/>
          <w:lang w:val="en-GB"/>
        </w:rPr>
        <w:t>Annual Report 2014,</w:t>
      </w:r>
      <w:r w:rsidRPr="00147597">
        <w:rPr>
          <w:rFonts w:cstheme="minorHAnsi"/>
          <w:sz w:val="18"/>
          <w:szCs w:val="18"/>
          <w:lang w:val="en-GB"/>
        </w:rPr>
        <w:t xml:space="preserve"> </w:t>
      </w:r>
      <w:r w:rsidRPr="00147597">
        <w:rPr>
          <w:sz w:val="18"/>
          <w:szCs w:val="18"/>
          <w:lang w:val="en-GB"/>
        </w:rPr>
        <w:t>http://www.echr.coe.int/Documents/Annual_Report_2014_ENG.pdf</w:t>
      </w:r>
      <w:r w:rsidRPr="00147597">
        <w:rPr>
          <w:rFonts w:cstheme="minorHAnsi"/>
          <w:sz w:val="18"/>
          <w:szCs w:val="18"/>
          <w:lang w:val="en-GB"/>
        </w:rPr>
        <w:t>, 6.</w:t>
      </w:r>
    </w:p>
  </w:footnote>
  <w:footnote w:id="15">
    <w:p w14:paraId="7672CF5F"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Jos Silvis, ‘</w:t>
      </w:r>
      <w:r w:rsidRPr="00147597">
        <w:rPr>
          <w:rStyle w:val="Zwaar"/>
          <w:rFonts w:cstheme="minorHAnsi"/>
          <w:b w:val="0"/>
          <w:sz w:val="18"/>
          <w:szCs w:val="18"/>
        </w:rPr>
        <w:t>Het EVRM, Unierecht en de nationale rechter</w:t>
      </w:r>
      <w:r w:rsidRPr="00147597">
        <w:rPr>
          <w:rStyle w:val="Zwaar"/>
          <w:rFonts w:cstheme="minorHAnsi"/>
          <w:b w:val="0"/>
          <w:sz w:val="18"/>
          <w:szCs w:val="18"/>
          <w:shd w:val="clear" w:color="auto" w:fill="FFFFFF"/>
        </w:rPr>
        <w:t>’,</w:t>
      </w:r>
      <w:r w:rsidRPr="00147597">
        <w:rPr>
          <w:rStyle w:val="Zwaar"/>
          <w:rFonts w:cstheme="minorHAnsi"/>
          <w:sz w:val="18"/>
          <w:szCs w:val="18"/>
          <w:shd w:val="clear" w:color="auto" w:fill="FFFFFF"/>
        </w:rPr>
        <w:t xml:space="preserve"> </w:t>
      </w:r>
      <w:r w:rsidRPr="00147597">
        <w:rPr>
          <w:rFonts w:cstheme="minorHAnsi"/>
          <w:i/>
          <w:sz w:val="18"/>
          <w:szCs w:val="18"/>
          <w:shd w:val="clear" w:color="auto" w:fill="FFFFFF"/>
        </w:rPr>
        <w:t>Tijdschrift voor Civiele Rechtspleging</w:t>
      </w:r>
      <w:r w:rsidRPr="00147597">
        <w:rPr>
          <w:rFonts w:cstheme="minorHAnsi"/>
          <w:sz w:val="18"/>
          <w:szCs w:val="18"/>
          <w:shd w:val="clear" w:color="auto" w:fill="FFFFFF"/>
        </w:rPr>
        <w:t xml:space="preserve"> 2016, afl. 4, p. 119-123.</w:t>
      </w:r>
    </w:p>
  </w:footnote>
  <w:footnote w:id="16">
    <w:p w14:paraId="2D8A68AC" w14:textId="77777777" w:rsidR="00B372A3" w:rsidRPr="001741CA"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741CA">
        <w:rPr>
          <w:rFonts w:cstheme="minorHAnsi"/>
          <w:sz w:val="18"/>
          <w:szCs w:val="18"/>
        </w:rPr>
        <w:t xml:space="preserve"> </w:t>
      </w:r>
      <w:r w:rsidRPr="00147597">
        <w:rPr>
          <w:rFonts w:eastAsia="Times New Roman" w:cstheme="minorHAnsi"/>
          <w:sz w:val="18"/>
          <w:szCs w:val="18"/>
          <w:lang w:eastAsia="nl-NL"/>
        </w:rPr>
        <w:t>EHRM</w:t>
      </w:r>
      <w:r w:rsidRPr="001741CA">
        <w:rPr>
          <w:rFonts w:cstheme="minorHAnsi"/>
          <w:sz w:val="18"/>
          <w:szCs w:val="18"/>
        </w:rPr>
        <w:t xml:space="preserve"> 30 juni 2006, 45036/98 (</w:t>
      </w:r>
      <w:r w:rsidRPr="001741CA">
        <w:rPr>
          <w:rFonts w:cstheme="minorHAnsi"/>
          <w:i/>
          <w:sz w:val="18"/>
          <w:szCs w:val="18"/>
        </w:rPr>
        <w:t>Bosphorus t. Ierland</w:t>
      </w:r>
      <w:r w:rsidRPr="001741CA">
        <w:rPr>
          <w:rFonts w:cstheme="minorHAnsi"/>
          <w:sz w:val="18"/>
          <w:szCs w:val="18"/>
        </w:rPr>
        <w:t>) (Grote Kamer) «AB» 2006/273, m.nt. Barkhuysen en van Emmerik, «NTM-NJCMBull.» 2005/7, m.nt. Lawson, «</w:t>
      </w:r>
      <w:r w:rsidRPr="001741CA">
        <w:rPr>
          <w:rFonts w:cstheme="minorHAnsi"/>
          <w:sz w:val="18"/>
          <w:szCs w:val="18"/>
          <w:shd w:val="clear" w:color="auto" w:fill="FFFFFF"/>
        </w:rPr>
        <w:t>O&amp;A</w:t>
      </w:r>
      <w:r w:rsidRPr="001741CA">
        <w:rPr>
          <w:rFonts w:cstheme="minorHAnsi"/>
          <w:sz w:val="18"/>
          <w:szCs w:val="18"/>
        </w:rPr>
        <w:t xml:space="preserve">» </w:t>
      </w:r>
      <w:r w:rsidRPr="001741CA">
        <w:rPr>
          <w:rFonts w:cstheme="minorHAnsi"/>
          <w:sz w:val="18"/>
          <w:szCs w:val="18"/>
          <w:shd w:val="clear" w:color="auto" w:fill="FFFFFF"/>
        </w:rPr>
        <w:t>2005/ 88.</w:t>
      </w:r>
    </w:p>
  </w:footnote>
  <w:footnote w:id="17">
    <w:p w14:paraId="31DE5D63" w14:textId="77777777" w:rsidR="00B372A3" w:rsidRPr="001741CA"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741CA">
        <w:rPr>
          <w:rFonts w:cstheme="minorHAnsi"/>
          <w:sz w:val="18"/>
          <w:szCs w:val="18"/>
        </w:rPr>
        <w:t xml:space="preserve"> </w:t>
      </w:r>
      <w:r w:rsidRPr="00147597">
        <w:rPr>
          <w:rFonts w:eastAsia="Times New Roman" w:cstheme="minorHAnsi"/>
          <w:sz w:val="18"/>
          <w:szCs w:val="18"/>
          <w:lang w:eastAsia="nl-NL"/>
        </w:rPr>
        <w:t xml:space="preserve">EHRM </w:t>
      </w:r>
      <w:r w:rsidRPr="001741CA">
        <w:rPr>
          <w:rFonts w:cstheme="minorHAnsi"/>
          <w:sz w:val="18"/>
          <w:szCs w:val="18"/>
        </w:rPr>
        <w:t>23 mei 2016, 17502/07 (</w:t>
      </w:r>
      <w:r w:rsidRPr="001741CA">
        <w:rPr>
          <w:rFonts w:cstheme="minorHAnsi"/>
          <w:i/>
          <w:sz w:val="18"/>
          <w:szCs w:val="18"/>
        </w:rPr>
        <w:t>Avotiņš</w:t>
      </w:r>
      <w:r w:rsidRPr="001741CA">
        <w:rPr>
          <w:rFonts w:cstheme="minorHAnsi"/>
          <w:sz w:val="18"/>
          <w:szCs w:val="18"/>
        </w:rPr>
        <w:t xml:space="preserve"> t. </w:t>
      </w:r>
      <w:r w:rsidRPr="001741CA">
        <w:rPr>
          <w:rFonts w:cstheme="minorHAnsi"/>
          <w:i/>
          <w:sz w:val="18"/>
          <w:szCs w:val="18"/>
        </w:rPr>
        <w:t xml:space="preserve">Letland) </w:t>
      </w:r>
      <w:r w:rsidRPr="001741CA">
        <w:rPr>
          <w:rFonts w:cstheme="minorHAnsi"/>
          <w:sz w:val="18"/>
          <w:szCs w:val="18"/>
        </w:rPr>
        <w:t xml:space="preserve">(Grote Kamer) </w:t>
      </w:r>
      <w:r w:rsidRPr="001741CA">
        <w:rPr>
          <w:rFonts w:cstheme="minorHAnsi"/>
          <w:sz w:val="18"/>
          <w:szCs w:val="18"/>
          <w:shd w:val="clear" w:color="auto" w:fill="FFFFFF"/>
        </w:rPr>
        <w:t>«EHRC» 2016/187, m.nt. Glas en Krommendijk.</w:t>
      </w:r>
    </w:p>
  </w:footnote>
  <w:footnote w:id="18">
    <w:p w14:paraId="3AB15CB5" w14:textId="77777777" w:rsidR="00B372A3" w:rsidRPr="00147597" w:rsidRDefault="00B372A3" w:rsidP="001741CA">
      <w:pPr>
        <w:pStyle w:val="Geenafstand"/>
        <w:jc w:val="both"/>
        <w:rPr>
          <w:rFonts w:cstheme="minorHAnsi"/>
          <w:sz w:val="18"/>
          <w:szCs w:val="18"/>
          <w:lang w:val="en-US"/>
        </w:rPr>
      </w:pPr>
      <w:r w:rsidRPr="00147597">
        <w:rPr>
          <w:rStyle w:val="Voetnootmarkering"/>
          <w:rFonts w:cstheme="minorHAnsi"/>
          <w:sz w:val="18"/>
          <w:szCs w:val="18"/>
        </w:rPr>
        <w:footnoteRef/>
      </w:r>
      <w:r w:rsidRPr="00147597">
        <w:rPr>
          <w:rFonts w:cstheme="minorHAnsi"/>
          <w:sz w:val="18"/>
          <w:szCs w:val="18"/>
          <w:lang w:val="en-US"/>
        </w:rPr>
        <w:t xml:space="preserve"> </w:t>
      </w:r>
      <w:r w:rsidRPr="00147597">
        <w:rPr>
          <w:rFonts w:cstheme="minorHAnsi"/>
          <w:sz w:val="18"/>
          <w:szCs w:val="18"/>
          <w:lang w:val="en-GB"/>
        </w:rPr>
        <w:t xml:space="preserve">‘A Delegation from the European Court of Human Rights Visits the Court of Justice of the European Union’, Press release no 25/16, 7 maart 2016, curia.europa.eu/jcms/upload/docs/application/pdf/2016-03/cp160025en.pdf. </w:t>
      </w:r>
    </w:p>
  </w:footnote>
  <w:footnote w:id="19">
    <w:p w14:paraId="0FE95F9F" w14:textId="4E60B93A" w:rsidR="002D34D9" w:rsidRPr="001741CA" w:rsidRDefault="002D34D9" w:rsidP="001741CA">
      <w:pPr>
        <w:pStyle w:val="Voetnoottekst"/>
        <w:jc w:val="both"/>
        <w:rPr>
          <w:sz w:val="18"/>
          <w:szCs w:val="18"/>
        </w:rPr>
      </w:pPr>
      <w:r w:rsidRPr="001741CA">
        <w:rPr>
          <w:rStyle w:val="Voetnootmarkering"/>
          <w:sz w:val="18"/>
          <w:szCs w:val="18"/>
        </w:rPr>
        <w:footnoteRef/>
      </w:r>
      <w:r w:rsidRPr="001741CA">
        <w:rPr>
          <w:sz w:val="18"/>
          <w:szCs w:val="18"/>
        </w:rPr>
        <w:t xml:space="preserve"> </w:t>
      </w:r>
      <w:r w:rsidR="008A0667" w:rsidRPr="00F0299C">
        <w:rPr>
          <w:rFonts w:cstheme="minorHAnsi"/>
          <w:sz w:val="18"/>
          <w:szCs w:val="18"/>
        </w:rPr>
        <w:t xml:space="preserve">Zie de </w:t>
      </w:r>
      <w:r w:rsidR="00B41228" w:rsidRPr="00F0299C">
        <w:rPr>
          <w:rFonts w:cstheme="minorHAnsi"/>
          <w:sz w:val="18"/>
          <w:szCs w:val="18"/>
        </w:rPr>
        <w:t xml:space="preserve">verklaring die is </w:t>
      </w:r>
      <w:r w:rsidR="008A0667" w:rsidRPr="00F0299C">
        <w:rPr>
          <w:rFonts w:cstheme="minorHAnsi"/>
          <w:sz w:val="18"/>
          <w:szCs w:val="18"/>
        </w:rPr>
        <w:t>gehecht aan de Slotakte van de Intergouvernementele Conferentie die het Verdrag van Lissabon heeft aangenomen</w:t>
      </w:r>
      <w:r w:rsidR="00B41228" w:rsidRPr="00F0299C">
        <w:rPr>
          <w:rFonts w:cstheme="minorHAnsi"/>
          <w:sz w:val="18"/>
          <w:szCs w:val="18"/>
        </w:rPr>
        <w:t xml:space="preserve">, waarin staat in de </w:t>
      </w:r>
      <w:r w:rsidR="008A0667" w:rsidRPr="00F0299C">
        <w:rPr>
          <w:rFonts w:cstheme="minorHAnsi"/>
          <w:sz w:val="18"/>
          <w:szCs w:val="18"/>
        </w:rPr>
        <w:t>Verklaring ad artikel 6, lid 2, van het Verdrag betreffende de Europese Unie</w:t>
      </w:r>
      <w:r w:rsidR="00B41228" w:rsidRPr="00F0299C">
        <w:rPr>
          <w:rFonts w:cstheme="minorHAnsi"/>
          <w:sz w:val="18"/>
          <w:szCs w:val="18"/>
        </w:rPr>
        <w:t>:</w:t>
      </w:r>
      <w:r w:rsidR="00311EF3" w:rsidRPr="00F0299C">
        <w:rPr>
          <w:rFonts w:cstheme="minorHAnsi"/>
          <w:sz w:val="18"/>
          <w:szCs w:val="18"/>
        </w:rPr>
        <w:t xml:space="preserve"> </w:t>
      </w:r>
      <w:r w:rsidR="008A0667" w:rsidRPr="00F0299C">
        <w:rPr>
          <w:rFonts w:cstheme="minorHAnsi"/>
          <w:sz w:val="18"/>
          <w:szCs w:val="18"/>
        </w:rPr>
        <w:t>De Conferentie is het erover eens dat bij de toetreding van de Unie tot het Europees Verdrag tot bescherming van de rechten van de mens en de fundamentele vrijheden, de specifieke kenmerken van de rechtsorde van de Unie in stand moeten worden gehouden. In dit verband neemt de Conferentie nota van het bestaan van een regelmatige dialoog tussen het Hof van Justitie van de Europese Unie en het Europese Hof voor de rechten van de mens; deze dialoog zou kunnen worden versterkt wanneer de Unie toetreedt tot dit Verdrag.</w:t>
      </w:r>
    </w:p>
  </w:footnote>
  <w:footnote w:id="20">
    <w:p w14:paraId="0DF75582" w14:textId="77777777" w:rsidR="00B372A3" w:rsidRPr="00147597" w:rsidRDefault="00B372A3" w:rsidP="001741CA">
      <w:pPr>
        <w:pStyle w:val="Voetnoottekst"/>
        <w:jc w:val="both"/>
        <w:rPr>
          <w:sz w:val="18"/>
          <w:szCs w:val="18"/>
          <w:lang w:val="en-US"/>
        </w:rPr>
      </w:pPr>
      <w:r w:rsidRPr="00147597">
        <w:rPr>
          <w:rStyle w:val="Voetnootmarkering"/>
          <w:sz w:val="18"/>
          <w:szCs w:val="18"/>
        </w:rPr>
        <w:footnoteRef/>
      </w:r>
      <w:r w:rsidRPr="00147597">
        <w:rPr>
          <w:sz w:val="18"/>
          <w:szCs w:val="18"/>
          <w:lang w:val="en-US"/>
        </w:rPr>
        <w:t xml:space="preserve"> </w:t>
      </w:r>
      <w:r w:rsidRPr="00147597">
        <w:rPr>
          <w:rFonts w:eastAsia="Times New Roman" w:cstheme="minorHAnsi"/>
          <w:sz w:val="18"/>
          <w:szCs w:val="18"/>
          <w:lang w:val="en-US" w:eastAsia="nl-NL"/>
        </w:rPr>
        <w:t>EHRM</w:t>
      </w:r>
      <w:r w:rsidRPr="001741CA">
        <w:rPr>
          <w:rFonts w:cstheme="minorHAnsi"/>
          <w:sz w:val="18"/>
          <w:szCs w:val="18"/>
          <w:lang w:val="en-US"/>
        </w:rPr>
        <w:t xml:space="preserve"> 23 mei 2016, 17502/07 (</w:t>
      </w:r>
      <w:r w:rsidRPr="001741CA">
        <w:rPr>
          <w:rFonts w:cstheme="minorHAnsi"/>
          <w:i/>
          <w:sz w:val="18"/>
          <w:szCs w:val="18"/>
          <w:lang w:val="en-US"/>
        </w:rPr>
        <w:t>Avotiņš</w:t>
      </w:r>
      <w:r w:rsidRPr="001741CA">
        <w:rPr>
          <w:rFonts w:cstheme="minorHAnsi"/>
          <w:sz w:val="18"/>
          <w:szCs w:val="18"/>
          <w:lang w:val="en-US"/>
        </w:rPr>
        <w:t xml:space="preserve"> t. </w:t>
      </w:r>
      <w:r w:rsidRPr="001741CA">
        <w:rPr>
          <w:rFonts w:cstheme="minorHAnsi"/>
          <w:i/>
          <w:sz w:val="18"/>
          <w:szCs w:val="18"/>
          <w:lang w:val="en-US"/>
        </w:rPr>
        <w:t>Letland),</w:t>
      </w:r>
      <w:r w:rsidRPr="001741CA">
        <w:rPr>
          <w:rFonts w:cstheme="minorHAnsi"/>
          <w:sz w:val="18"/>
          <w:szCs w:val="18"/>
          <w:lang w:val="en-US"/>
        </w:rPr>
        <w:t xml:space="preserve"> </w:t>
      </w:r>
      <w:r w:rsidRPr="001741CA">
        <w:rPr>
          <w:rFonts w:cstheme="minorHAnsi"/>
          <w:sz w:val="18"/>
          <w:szCs w:val="18"/>
          <w:shd w:val="clear" w:color="auto" w:fill="FFFFFF"/>
          <w:lang w:val="en-US"/>
        </w:rPr>
        <w:t xml:space="preserve">«EHRC» 2016/187, m.nt. Glas en Krommendijk; L.R. Glas, </w:t>
      </w:r>
      <w:r w:rsidRPr="00147597">
        <w:rPr>
          <w:sz w:val="18"/>
          <w:szCs w:val="18"/>
          <w:lang w:val="en-GB"/>
        </w:rPr>
        <w:t>‘From Opinion 2/13 to Avotiņš</w:t>
      </w:r>
      <w:r w:rsidRPr="00147597">
        <w:rPr>
          <w:rStyle w:val="apple-converted-space"/>
          <w:sz w:val="18"/>
          <w:szCs w:val="18"/>
          <w:shd w:val="clear" w:color="auto" w:fill="FFFFFF"/>
          <w:lang w:val="en-GB"/>
        </w:rPr>
        <w:t xml:space="preserve">: Recent Developments in the Relationship between the Luxembourg and Strasbourg Court’, </w:t>
      </w:r>
      <w:r w:rsidRPr="00147597">
        <w:rPr>
          <w:rStyle w:val="apple-converted-space"/>
          <w:i/>
          <w:sz w:val="18"/>
          <w:szCs w:val="18"/>
          <w:shd w:val="clear" w:color="auto" w:fill="FFFFFF"/>
          <w:lang w:val="en-GB"/>
        </w:rPr>
        <w:t xml:space="preserve">Human Rights Law Review </w:t>
      </w:r>
      <w:r w:rsidRPr="00147597">
        <w:rPr>
          <w:rStyle w:val="apple-converted-space"/>
          <w:sz w:val="18"/>
          <w:szCs w:val="18"/>
          <w:shd w:val="clear" w:color="auto" w:fill="FFFFFF"/>
          <w:lang w:val="en-GB"/>
        </w:rPr>
        <w:t>2017.</w:t>
      </w:r>
    </w:p>
  </w:footnote>
  <w:footnote w:id="21">
    <w:p w14:paraId="649811CC" w14:textId="77777777" w:rsidR="00B372A3" w:rsidRPr="00F0299C" w:rsidRDefault="00B372A3" w:rsidP="001741CA">
      <w:pPr>
        <w:pStyle w:val="Geenafstand"/>
        <w:jc w:val="both"/>
        <w:rPr>
          <w:rFonts w:cstheme="minorHAnsi"/>
          <w:sz w:val="18"/>
          <w:szCs w:val="18"/>
          <w:lang w:val="en-US"/>
        </w:rPr>
      </w:pPr>
      <w:r w:rsidRPr="00147597">
        <w:rPr>
          <w:rStyle w:val="Voetnootmarkering"/>
          <w:rFonts w:cstheme="minorHAnsi"/>
          <w:sz w:val="18"/>
          <w:szCs w:val="18"/>
        </w:rPr>
        <w:footnoteRef/>
      </w:r>
      <w:r w:rsidRPr="00F0299C">
        <w:rPr>
          <w:rFonts w:cstheme="minorHAnsi"/>
          <w:sz w:val="18"/>
          <w:szCs w:val="18"/>
          <w:lang w:val="en-US"/>
        </w:rPr>
        <w:t xml:space="preserve"> HvJ EU 5 april 2016, gevoegde zaken </w:t>
      </w:r>
      <w:r w:rsidRPr="00F0299C">
        <w:rPr>
          <w:rFonts w:cstheme="minorHAnsi"/>
          <w:bCs/>
          <w:sz w:val="18"/>
          <w:szCs w:val="18"/>
          <w:shd w:val="clear" w:color="auto" w:fill="FFFFFF"/>
          <w:lang w:val="en-US"/>
        </w:rPr>
        <w:t>C-404/15</w:t>
      </w:r>
      <w:r w:rsidRPr="00F0299C">
        <w:rPr>
          <w:rStyle w:val="apple-converted-space"/>
          <w:rFonts w:cstheme="minorHAnsi"/>
          <w:bCs/>
          <w:sz w:val="18"/>
          <w:szCs w:val="18"/>
          <w:shd w:val="clear" w:color="auto" w:fill="FFFFFF"/>
          <w:lang w:val="en-US"/>
        </w:rPr>
        <w:t> </w:t>
      </w:r>
      <w:r w:rsidRPr="00F0299C">
        <w:rPr>
          <w:rFonts w:cstheme="minorHAnsi"/>
          <w:bCs/>
          <w:sz w:val="18"/>
          <w:szCs w:val="18"/>
          <w:shd w:val="clear" w:color="auto" w:fill="FFFFFF"/>
          <w:lang w:val="en-US"/>
        </w:rPr>
        <w:t>en C-659/15 PPU (</w:t>
      </w:r>
      <w:r w:rsidRPr="00F0299C">
        <w:rPr>
          <w:rFonts w:cstheme="minorHAnsi"/>
          <w:i/>
          <w:sz w:val="18"/>
          <w:szCs w:val="18"/>
          <w:lang w:val="en-US"/>
        </w:rPr>
        <w:t xml:space="preserve">Aranyosi en </w:t>
      </w:r>
      <w:r w:rsidRPr="00F0299C">
        <w:rPr>
          <w:rFonts w:cstheme="minorHAnsi"/>
          <w:bCs/>
          <w:i/>
          <w:sz w:val="18"/>
          <w:szCs w:val="18"/>
          <w:shd w:val="clear" w:color="auto" w:fill="FFFFFF"/>
          <w:lang w:val="en-US"/>
        </w:rPr>
        <w:t>Căldăraru</w:t>
      </w:r>
      <w:r w:rsidRPr="00F0299C">
        <w:rPr>
          <w:rFonts w:cstheme="minorHAnsi"/>
          <w:sz w:val="18"/>
          <w:szCs w:val="18"/>
          <w:lang w:val="en-US"/>
        </w:rPr>
        <w:t>),</w:t>
      </w:r>
      <w:r w:rsidRPr="00F0299C">
        <w:rPr>
          <w:rFonts w:cstheme="minorHAnsi"/>
          <w:bCs/>
          <w:sz w:val="18"/>
          <w:szCs w:val="18"/>
          <w:shd w:val="clear" w:color="auto" w:fill="FFFFFF"/>
          <w:lang w:val="en-US"/>
        </w:rPr>
        <w:t xml:space="preserve"> </w:t>
      </w:r>
      <w:r w:rsidRPr="00F0299C">
        <w:rPr>
          <w:rFonts w:cstheme="minorHAnsi"/>
          <w:sz w:val="18"/>
          <w:szCs w:val="18"/>
          <w:shd w:val="clear" w:color="auto" w:fill="FFFFFF"/>
          <w:lang w:val="en-US"/>
        </w:rPr>
        <w:t xml:space="preserve">«EHRC» 2016/157, m.nt. van der Wilt; </w:t>
      </w:r>
      <w:r w:rsidRPr="00F0299C">
        <w:rPr>
          <w:rFonts w:cstheme="minorHAnsi"/>
          <w:sz w:val="18"/>
          <w:szCs w:val="18"/>
          <w:lang w:val="en-US"/>
        </w:rPr>
        <w:t>HvJ EU 26 februari 2013, zaak C-399/11 (</w:t>
      </w:r>
      <w:r w:rsidRPr="00F0299C">
        <w:rPr>
          <w:rFonts w:cstheme="minorHAnsi"/>
          <w:i/>
          <w:sz w:val="18"/>
          <w:szCs w:val="18"/>
          <w:lang w:val="en-US"/>
        </w:rPr>
        <w:t>Melloni),</w:t>
      </w:r>
      <w:r w:rsidRPr="00F0299C">
        <w:rPr>
          <w:rFonts w:cstheme="minorHAnsi"/>
          <w:sz w:val="18"/>
          <w:szCs w:val="18"/>
          <w:lang w:val="en-US"/>
        </w:rPr>
        <w:t xml:space="preserve"> </w:t>
      </w:r>
      <w:hyperlink r:id="rId7" w:history="1">
        <w:r w:rsidRPr="00F0299C">
          <w:rPr>
            <w:rFonts w:cstheme="minorHAnsi"/>
            <w:i/>
            <w:sz w:val="18"/>
            <w:szCs w:val="18"/>
            <w:lang w:val="en-US"/>
          </w:rPr>
          <w:t>AB</w:t>
        </w:r>
        <w:r w:rsidRPr="00F0299C">
          <w:rPr>
            <w:rFonts w:cstheme="minorHAnsi"/>
            <w:sz w:val="18"/>
            <w:szCs w:val="18"/>
            <w:lang w:val="en-US"/>
          </w:rPr>
          <w:t xml:space="preserve"> 2013/132, m.nt. Widdershoven</w:t>
        </w:r>
      </w:hyperlink>
      <w:r w:rsidRPr="00F0299C">
        <w:rPr>
          <w:rFonts w:cstheme="minorHAnsi"/>
          <w:sz w:val="18"/>
          <w:szCs w:val="18"/>
          <w:lang w:val="en-US"/>
        </w:rPr>
        <w:t xml:space="preserve">, </w:t>
      </w:r>
      <w:r w:rsidRPr="00F0299C">
        <w:rPr>
          <w:rFonts w:cstheme="minorHAnsi"/>
          <w:sz w:val="18"/>
          <w:szCs w:val="18"/>
          <w:shd w:val="clear" w:color="auto" w:fill="FFFFFF"/>
          <w:lang w:val="en-US"/>
        </w:rPr>
        <w:t>«JB» 2013/57, m.nt. Veenbrink en de Waele, «EHRC» 2013/113, m.nt. de Visser.</w:t>
      </w:r>
    </w:p>
  </w:footnote>
  <w:footnote w:id="22">
    <w:p w14:paraId="38EFBA71" w14:textId="77777777" w:rsidR="00B372A3" w:rsidRPr="00F0299C" w:rsidRDefault="00B372A3" w:rsidP="001741CA">
      <w:pPr>
        <w:pStyle w:val="Geenafstand"/>
        <w:jc w:val="both"/>
        <w:rPr>
          <w:rFonts w:cstheme="minorHAnsi"/>
          <w:sz w:val="18"/>
          <w:szCs w:val="18"/>
          <w:lang w:val="en-US"/>
        </w:rPr>
      </w:pPr>
      <w:r w:rsidRPr="00147597">
        <w:rPr>
          <w:rStyle w:val="Voetnootmarkering"/>
          <w:rFonts w:cstheme="minorHAnsi"/>
          <w:sz w:val="18"/>
          <w:szCs w:val="18"/>
        </w:rPr>
        <w:footnoteRef/>
      </w:r>
      <w:r w:rsidRPr="00F0299C">
        <w:rPr>
          <w:rFonts w:cstheme="minorHAnsi"/>
          <w:sz w:val="18"/>
          <w:szCs w:val="18"/>
          <w:lang w:val="en-US"/>
        </w:rPr>
        <w:t xml:space="preserve"> </w:t>
      </w:r>
      <w:r w:rsidRPr="00F0299C">
        <w:rPr>
          <w:rFonts w:eastAsia="Times New Roman" w:cstheme="minorHAnsi"/>
          <w:sz w:val="18"/>
          <w:szCs w:val="18"/>
          <w:lang w:val="en-US" w:eastAsia="nl-NL"/>
        </w:rPr>
        <w:t xml:space="preserve">EHRM </w:t>
      </w:r>
      <w:r w:rsidRPr="00F0299C">
        <w:rPr>
          <w:rFonts w:cstheme="minorHAnsi"/>
          <w:sz w:val="18"/>
          <w:szCs w:val="18"/>
          <w:lang w:val="en-US"/>
        </w:rPr>
        <w:t>8 april 2014, 17120/09 (</w:t>
      </w:r>
      <w:r w:rsidRPr="00F0299C">
        <w:rPr>
          <w:rFonts w:cstheme="minorHAnsi"/>
          <w:i/>
          <w:sz w:val="18"/>
          <w:szCs w:val="18"/>
          <w:lang w:val="en-US"/>
        </w:rPr>
        <w:t xml:space="preserve">Dhahbi </w:t>
      </w:r>
      <w:r w:rsidRPr="00F0299C">
        <w:rPr>
          <w:rFonts w:cstheme="minorHAnsi"/>
          <w:sz w:val="18"/>
          <w:szCs w:val="18"/>
          <w:lang w:val="en-US"/>
        </w:rPr>
        <w:t>t.</w:t>
      </w:r>
      <w:r w:rsidRPr="00F0299C">
        <w:rPr>
          <w:rFonts w:cstheme="minorHAnsi"/>
          <w:i/>
          <w:sz w:val="18"/>
          <w:szCs w:val="18"/>
          <w:lang w:val="en-US"/>
        </w:rPr>
        <w:t xml:space="preserve"> Italië),</w:t>
      </w:r>
      <w:r w:rsidRPr="00F0299C">
        <w:rPr>
          <w:rFonts w:cstheme="minorHAnsi"/>
          <w:sz w:val="18"/>
          <w:szCs w:val="18"/>
          <w:lang w:val="en-US"/>
        </w:rPr>
        <w:t xml:space="preserve"> «EHRC» 2014/152 m.nt. Van Harten en Beijer; </w:t>
      </w:r>
      <w:r w:rsidRPr="00F0299C">
        <w:rPr>
          <w:rFonts w:cstheme="minorHAnsi"/>
          <w:i/>
          <w:sz w:val="18"/>
          <w:szCs w:val="18"/>
          <w:lang w:val="en-US"/>
        </w:rPr>
        <w:t xml:space="preserve">AB </w:t>
      </w:r>
      <w:r w:rsidRPr="00F0299C">
        <w:rPr>
          <w:rFonts w:cstheme="minorHAnsi"/>
          <w:sz w:val="18"/>
          <w:szCs w:val="18"/>
          <w:lang w:val="en-US"/>
        </w:rPr>
        <w:t xml:space="preserve">2015/44 m.nt. Barkhuysen en Van Emmerik; </w:t>
      </w:r>
      <w:r w:rsidRPr="00F0299C">
        <w:rPr>
          <w:rFonts w:eastAsia="Times New Roman" w:cstheme="minorHAnsi"/>
          <w:sz w:val="18"/>
          <w:szCs w:val="18"/>
          <w:lang w:val="en-US" w:eastAsia="nl-NL"/>
        </w:rPr>
        <w:t>EHRM</w:t>
      </w:r>
      <w:r w:rsidRPr="00F0299C">
        <w:rPr>
          <w:rFonts w:cstheme="minorHAnsi"/>
          <w:sz w:val="18"/>
          <w:szCs w:val="18"/>
          <w:lang w:val="en-US"/>
        </w:rPr>
        <w:t xml:space="preserve"> 21 april 2015, 38044/12 (</w:t>
      </w:r>
      <w:r w:rsidRPr="00F0299C">
        <w:rPr>
          <w:rFonts w:cstheme="minorHAnsi"/>
          <w:i/>
          <w:sz w:val="18"/>
          <w:szCs w:val="18"/>
          <w:lang w:val="en-US"/>
        </w:rPr>
        <w:t>Schipani t. Italië</w:t>
      </w:r>
      <w:r w:rsidRPr="00F0299C">
        <w:rPr>
          <w:rFonts w:cstheme="minorHAnsi"/>
          <w:sz w:val="18"/>
          <w:szCs w:val="18"/>
          <w:lang w:val="en-US"/>
        </w:rPr>
        <w:t>) «EHRC» 2015/10, m.nt. Beijer en Krommendijk</w:t>
      </w:r>
    </w:p>
  </w:footnote>
  <w:footnote w:id="23">
    <w:p w14:paraId="5FD05A24"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w:t>
      </w:r>
      <w:r w:rsidRPr="00147597">
        <w:rPr>
          <w:rFonts w:cstheme="minorHAnsi"/>
          <w:sz w:val="18"/>
          <w:szCs w:val="18"/>
          <w:shd w:val="clear" w:color="auto" w:fill="FFFFFF"/>
        </w:rPr>
        <w:t>HvJ EG 5 februari 1963, zaak 26-62 (</w:t>
      </w:r>
      <w:r w:rsidRPr="00147597">
        <w:rPr>
          <w:rFonts w:cstheme="minorHAnsi"/>
          <w:i/>
          <w:sz w:val="18"/>
          <w:szCs w:val="18"/>
        </w:rPr>
        <w:t>Van Gend en Loos</w:t>
      </w:r>
      <w:r w:rsidRPr="00147597">
        <w:rPr>
          <w:rFonts w:cstheme="minorHAnsi"/>
          <w:sz w:val="18"/>
          <w:szCs w:val="18"/>
        </w:rPr>
        <w:t>).</w:t>
      </w:r>
    </w:p>
  </w:footnote>
  <w:footnote w:id="24">
    <w:p w14:paraId="571EEFCB"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w:t>
      </w:r>
      <w:r w:rsidRPr="00147597">
        <w:rPr>
          <w:rFonts w:eastAsia="Times New Roman" w:cstheme="minorHAnsi"/>
          <w:sz w:val="18"/>
          <w:szCs w:val="18"/>
          <w:lang w:eastAsia="nl-NL"/>
        </w:rPr>
        <w:t>EHRM</w:t>
      </w:r>
      <w:r w:rsidRPr="00147597">
        <w:rPr>
          <w:rStyle w:val="Nadruk"/>
          <w:rFonts w:cstheme="minorHAnsi"/>
          <w:i w:val="0"/>
          <w:sz w:val="18"/>
          <w:szCs w:val="18"/>
          <w:shd w:val="clear" w:color="auto" w:fill="FFFFFF"/>
        </w:rPr>
        <w:t xml:space="preserve"> 20 september 2011, </w:t>
      </w:r>
      <w:r w:rsidRPr="00147597">
        <w:rPr>
          <w:rFonts w:cstheme="minorHAnsi"/>
          <w:sz w:val="18"/>
          <w:szCs w:val="18"/>
          <w:shd w:val="clear" w:color="auto" w:fill="FFFFFF"/>
        </w:rPr>
        <w:t>3989/07 en 38353/07 (</w:t>
      </w:r>
      <w:r w:rsidRPr="00147597">
        <w:rPr>
          <w:rFonts w:cstheme="minorHAnsi"/>
          <w:i/>
          <w:sz w:val="18"/>
          <w:szCs w:val="18"/>
        </w:rPr>
        <w:t>U</w:t>
      </w:r>
      <w:r w:rsidRPr="00147597">
        <w:rPr>
          <w:rStyle w:val="Nadruk"/>
          <w:rFonts w:cstheme="minorHAnsi"/>
          <w:sz w:val="18"/>
          <w:szCs w:val="18"/>
          <w:shd w:val="clear" w:color="auto" w:fill="FFFFFF"/>
        </w:rPr>
        <w:t>llens de Schooten and Rezabek</w:t>
      </w:r>
      <w:r w:rsidRPr="00147597">
        <w:rPr>
          <w:rStyle w:val="apple-converted-space"/>
          <w:rFonts w:cstheme="minorHAnsi"/>
          <w:sz w:val="18"/>
          <w:szCs w:val="18"/>
          <w:shd w:val="clear" w:color="auto" w:fill="FFFFFF"/>
        </w:rPr>
        <w:t> </w:t>
      </w:r>
      <w:r w:rsidRPr="00147597">
        <w:rPr>
          <w:rFonts w:cstheme="minorHAnsi"/>
          <w:sz w:val="18"/>
          <w:szCs w:val="18"/>
          <w:shd w:val="clear" w:color="auto" w:fill="FFFFFF"/>
        </w:rPr>
        <w:t xml:space="preserve">t. </w:t>
      </w:r>
      <w:r w:rsidRPr="00147597">
        <w:rPr>
          <w:rStyle w:val="Nadruk"/>
          <w:rFonts w:cstheme="minorHAnsi"/>
          <w:sz w:val="18"/>
          <w:szCs w:val="18"/>
          <w:shd w:val="clear" w:color="auto" w:fill="FFFFFF"/>
        </w:rPr>
        <w:t>België</w:t>
      </w:r>
      <w:r w:rsidRPr="00147597">
        <w:rPr>
          <w:rStyle w:val="Nadruk"/>
          <w:rFonts w:cstheme="minorHAnsi"/>
          <w:i w:val="0"/>
          <w:sz w:val="18"/>
          <w:szCs w:val="18"/>
          <w:shd w:val="clear" w:color="auto" w:fill="FFFFFF"/>
        </w:rPr>
        <w:t>),</w:t>
      </w:r>
      <w:r w:rsidRPr="00147597">
        <w:rPr>
          <w:rFonts w:cstheme="minorHAnsi"/>
          <w:sz w:val="18"/>
          <w:szCs w:val="18"/>
          <w:shd w:val="clear" w:color="auto" w:fill="FFFFFF"/>
        </w:rPr>
        <w:t xml:space="preserve"> </w:t>
      </w:r>
      <w:r w:rsidRPr="00147597">
        <w:rPr>
          <w:rFonts w:cstheme="minorHAnsi"/>
          <w:i/>
          <w:sz w:val="18"/>
          <w:szCs w:val="18"/>
          <w:shd w:val="clear" w:color="auto" w:fill="FFFFFF"/>
        </w:rPr>
        <w:t xml:space="preserve">NJ </w:t>
      </w:r>
      <w:r w:rsidRPr="00147597">
        <w:rPr>
          <w:rFonts w:cstheme="minorHAnsi"/>
          <w:sz w:val="18"/>
          <w:szCs w:val="18"/>
          <w:shd w:val="clear" w:color="auto" w:fill="FFFFFF"/>
        </w:rPr>
        <w:t>2012/679, m.nt. Alkema.</w:t>
      </w:r>
    </w:p>
  </w:footnote>
  <w:footnote w:id="25">
    <w:p w14:paraId="58E21AFB"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AG Bot in </w:t>
      </w:r>
      <w:r w:rsidRPr="00147597">
        <w:rPr>
          <w:rFonts w:cstheme="minorHAnsi"/>
          <w:sz w:val="18"/>
          <w:szCs w:val="18"/>
          <w:shd w:val="clear" w:color="auto" w:fill="FFFFFF"/>
        </w:rPr>
        <w:t>HvJ EU 5 juli 2016, zaak C-614/14 (</w:t>
      </w:r>
      <w:r w:rsidRPr="00147597">
        <w:rPr>
          <w:rFonts w:cstheme="minorHAnsi"/>
          <w:i/>
          <w:sz w:val="18"/>
          <w:szCs w:val="18"/>
          <w:shd w:val="clear" w:color="auto" w:fill="FFFFFF"/>
        </w:rPr>
        <w:t>Ognyanov</w:t>
      </w:r>
      <w:r w:rsidRPr="00147597">
        <w:rPr>
          <w:rFonts w:cstheme="minorHAnsi"/>
          <w:sz w:val="18"/>
          <w:szCs w:val="18"/>
          <w:shd w:val="clear" w:color="auto" w:fill="FFFFFF"/>
        </w:rPr>
        <w:t>),</w:t>
      </w:r>
      <w:r w:rsidRPr="00147597">
        <w:rPr>
          <w:rFonts w:cstheme="minorHAnsi"/>
          <w:i/>
          <w:sz w:val="18"/>
          <w:szCs w:val="18"/>
          <w:shd w:val="clear" w:color="auto" w:fill="FFFFFF"/>
        </w:rPr>
        <w:t xml:space="preserve"> AB </w:t>
      </w:r>
      <w:r w:rsidRPr="00147597">
        <w:rPr>
          <w:rFonts w:cstheme="minorHAnsi"/>
          <w:sz w:val="18"/>
          <w:szCs w:val="18"/>
          <w:shd w:val="clear" w:color="auto" w:fill="FFFFFF"/>
        </w:rPr>
        <w:t xml:space="preserve">2016/392, m.nt. Verhoeven; </w:t>
      </w:r>
      <w:r w:rsidRPr="00147597">
        <w:rPr>
          <w:rFonts w:cstheme="minorHAnsi"/>
          <w:sz w:val="18"/>
          <w:szCs w:val="18"/>
        </w:rPr>
        <w:t>«EHRC» 2016/204, m.nt. Claassen en Krommendijk,</w:t>
      </w:r>
      <w:r w:rsidRPr="00147597">
        <w:rPr>
          <w:rFonts w:cstheme="minorHAnsi"/>
          <w:i/>
          <w:sz w:val="18"/>
          <w:szCs w:val="18"/>
          <w:shd w:val="clear" w:color="auto" w:fill="FFFFFF"/>
        </w:rPr>
        <w:t xml:space="preserve"> </w:t>
      </w:r>
      <w:r w:rsidRPr="00147597">
        <w:rPr>
          <w:rFonts w:cstheme="minorHAnsi"/>
          <w:sz w:val="18"/>
          <w:szCs w:val="18"/>
          <w:shd w:val="clear" w:color="auto" w:fill="FFFFFF"/>
        </w:rPr>
        <w:t>punt 38 en 101.</w:t>
      </w:r>
    </w:p>
  </w:footnote>
  <w:footnote w:id="26">
    <w:p w14:paraId="75320006" w14:textId="77777777" w:rsidR="00B372A3" w:rsidRPr="00147597" w:rsidRDefault="00B372A3" w:rsidP="001741CA">
      <w:pPr>
        <w:pStyle w:val="Voetnoottekst"/>
        <w:jc w:val="both"/>
        <w:rPr>
          <w:sz w:val="18"/>
          <w:szCs w:val="18"/>
        </w:rPr>
      </w:pPr>
      <w:r w:rsidRPr="00147597">
        <w:rPr>
          <w:rStyle w:val="Voetnootmarkering"/>
          <w:sz w:val="18"/>
          <w:szCs w:val="18"/>
        </w:rPr>
        <w:footnoteRef/>
      </w:r>
      <w:r w:rsidRPr="00147597">
        <w:rPr>
          <w:sz w:val="18"/>
          <w:szCs w:val="18"/>
        </w:rPr>
        <w:t xml:space="preserve"> </w:t>
      </w:r>
      <w:r w:rsidRPr="00147597">
        <w:rPr>
          <w:rFonts w:cs="Times New Roman"/>
          <w:sz w:val="18"/>
          <w:szCs w:val="18"/>
          <w:shd w:val="clear" w:color="auto" w:fill="FFFFFF"/>
        </w:rPr>
        <w:t xml:space="preserve">HvJ EU 28 juli 2016, </w:t>
      </w:r>
      <w:r w:rsidRPr="00147597">
        <w:rPr>
          <w:rFonts w:cs="Times New Roman"/>
          <w:bCs/>
          <w:sz w:val="18"/>
          <w:szCs w:val="18"/>
          <w:shd w:val="clear" w:color="auto" w:fill="FFFFFF"/>
        </w:rPr>
        <w:t>zaak C-379/15</w:t>
      </w:r>
      <w:r w:rsidRPr="00147597">
        <w:rPr>
          <w:rFonts w:cs="Times New Roman"/>
          <w:sz w:val="18"/>
          <w:szCs w:val="18"/>
          <w:shd w:val="clear" w:color="auto" w:fill="FFFFFF"/>
        </w:rPr>
        <w:t xml:space="preserve"> (</w:t>
      </w:r>
      <w:r w:rsidRPr="00147597">
        <w:rPr>
          <w:rFonts w:cs="Times New Roman"/>
          <w:i/>
          <w:sz w:val="18"/>
          <w:szCs w:val="18"/>
          <w:shd w:val="clear" w:color="auto" w:fill="FFFFFF"/>
        </w:rPr>
        <w:t xml:space="preserve">AFNE), JM </w:t>
      </w:r>
      <w:r w:rsidRPr="00147597">
        <w:rPr>
          <w:rFonts w:cs="Times New Roman"/>
          <w:sz w:val="18"/>
          <w:szCs w:val="18"/>
          <w:shd w:val="clear" w:color="auto" w:fill="FFFFFF"/>
        </w:rPr>
        <w:t>2016/145, m.nt. Zijlmans,</w:t>
      </w:r>
      <w:r w:rsidRPr="00147597">
        <w:rPr>
          <w:rFonts w:cs="Times New Roman"/>
          <w:i/>
          <w:sz w:val="18"/>
          <w:szCs w:val="18"/>
          <w:shd w:val="clear" w:color="auto" w:fill="FFFFFF"/>
        </w:rPr>
        <w:t xml:space="preserve"> JB</w:t>
      </w:r>
      <w:r w:rsidRPr="00147597">
        <w:rPr>
          <w:rFonts w:cs="Times New Roman"/>
          <w:sz w:val="18"/>
          <w:szCs w:val="18"/>
          <w:shd w:val="clear" w:color="auto" w:fill="FFFFFF"/>
        </w:rPr>
        <w:t xml:space="preserve"> 2016/181, m.nt. de Waele en Krommendijk.</w:t>
      </w:r>
      <w:r w:rsidRPr="00147597">
        <w:rPr>
          <w:rFonts w:cs="Times New Roman"/>
          <w:i/>
          <w:sz w:val="18"/>
          <w:szCs w:val="18"/>
          <w:shd w:val="clear" w:color="auto" w:fill="FFFFFF"/>
        </w:rPr>
        <w:t xml:space="preserve"> </w:t>
      </w:r>
    </w:p>
  </w:footnote>
  <w:footnote w:id="27">
    <w:p w14:paraId="09F35DD1" w14:textId="32F11F25" w:rsidR="00B57F5D" w:rsidRPr="00F0299C" w:rsidRDefault="00B57F5D" w:rsidP="00B57F5D">
      <w:pPr>
        <w:pStyle w:val="Voetnoottekst"/>
        <w:rPr>
          <w:lang w:val="de-DE"/>
        </w:rPr>
      </w:pPr>
      <w:r>
        <w:rPr>
          <w:rStyle w:val="Voetnootmarkering"/>
        </w:rPr>
        <w:footnoteRef/>
      </w:r>
      <w:r w:rsidRPr="00F0299C">
        <w:rPr>
          <w:lang w:val="de-DE"/>
        </w:rPr>
        <w:t xml:space="preserve"> </w:t>
      </w:r>
      <w:r w:rsidRPr="001741CA">
        <w:rPr>
          <w:rFonts w:eastAsia="Times New Roman" w:cstheme="minorHAnsi"/>
          <w:sz w:val="18"/>
          <w:szCs w:val="18"/>
          <w:lang w:val="de-DE" w:eastAsia="nl-NL"/>
        </w:rPr>
        <w:t xml:space="preserve">EHRM </w:t>
      </w:r>
      <w:r w:rsidRPr="00147597">
        <w:rPr>
          <w:rFonts w:cstheme="minorHAnsi"/>
          <w:sz w:val="18"/>
          <w:szCs w:val="18"/>
          <w:lang w:val="de-DE"/>
        </w:rPr>
        <w:t>21 juli 2015, 38369/09 (</w:t>
      </w:r>
      <w:r w:rsidRPr="00147597">
        <w:rPr>
          <w:rFonts w:cstheme="minorHAnsi"/>
          <w:i/>
          <w:sz w:val="18"/>
          <w:szCs w:val="18"/>
          <w:lang w:val="de-DE"/>
        </w:rPr>
        <w:t>Chylinski t. Nederland</w:t>
      </w:r>
      <w:r w:rsidRPr="00147597">
        <w:rPr>
          <w:rFonts w:cstheme="minorHAnsi"/>
          <w:sz w:val="18"/>
          <w:szCs w:val="18"/>
          <w:lang w:val="de-DE"/>
        </w:rPr>
        <w:t>), «EHRC» 2015/10, m.nt. Beijer en Krommendijk.</w:t>
      </w:r>
    </w:p>
  </w:footnote>
  <w:footnote w:id="28">
    <w:p w14:paraId="1A37D527" w14:textId="77777777" w:rsidR="00B372A3" w:rsidRPr="00F0299C" w:rsidRDefault="00B372A3" w:rsidP="001741CA">
      <w:pPr>
        <w:pStyle w:val="Voetnoottekst"/>
        <w:jc w:val="both"/>
        <w:rPr>
          <w:sz w:val="18"/>
          <w:szCs w:val="18"/>
          <w:lang w:val="de-DE"/>
        </w:rPr>
      </w:pPr>
      <w:r w:rsidRPr="00147597">
        <w:rPr>
          <w:rStyle w:val="Voetnootmarkering"/>
          <w:sz w:val="18"/>
          <w:szCs w:val="18"/>
        </w:rPr>
        <w:footnoteRef/>
      </w:r>
      <w:r w:rsidRPr="00F0299C">
        <w:rPr>
          <w:sz w:val="18"/>
          <w:szCs w:val="18"/>
          <w:lang w:val="de-DE"/>
        </w:rPr>
        <w:t xml:space="preserve"> </w:t>
      </w:r>
      <w:r w:rsidRPr="00F0299C">
        <w:rPr>
          <w:rFonts w:cs="Times New Roman"/>
          <w:sz w:val="18"/>
          <w:szCs w:val="18"/>
          <w:lang w:val="de-DE"/>
        </w:rPr>
        <w:t>ABRvS 5 maart 2015, ECLI:RVS:2015:785; HR 26 mei 2015, ECLI:HR:2015:1332.</w:t>
      </w:r>
    </w:p>
  </w:footnote>
  <w:footnote w:id="29">
    <w:p w14:paraId="6AF8ED17" w14:textId="77777777" w:rsidR="00B372A3" w:rsidRPr="00F0299C" w:rsidRDefault="00B372A3" w:rsidP="001741CA">
      <w:pPr>
        <w:pStyle w:val="Geenafstand"/>
        <w:jc w:val="both"/>
        <w:rPr>
          <w:rFonts w:cstheme="minorHAnsi"/>
          <w:sz w:val="18"/>
          <w:szCs w:val="18"/>
          <w:lang w:val="de-DE"/>
        </w:rPr>
      </w:pPr>
      <w:r w:rsidRPr="00147597">
        <w:rPr>
          <w:rStyle w:val="Voetnootmarkering"/>
          <w:rFonts w:cstheme="minorHAnsi"/>
          <w:sz w:val="18"/>
          <w:szCs w:val="18"/>
        </w:rPr>
        <w:footnoteRef/>
      </w:r>
      <w:r w:rsidRPr="00F0299C">
        <w:rPr>
          <w:rFonts w:cstheme="minorHAnsi"/>
          <w:sz w:val="18"/>
          <w:szCs w:val="18"/>
          <w:lang w:val="de-DE"/>
        </w:rPr>
        <w:t xml:space="preserve"> </w:t>
      </w:r>
      <w:r w:rsidRPr="00F0299C">
        <w:rPr>
          <w:rFonts w:eastAsia="Times New Roman" w:cstheme="minorHAnsi"/>
          <w:sz w:val="18"/>
          <w:szCs w:val="18"/>
          <w:lang w:val="de-DE" w:eastAsia="nl-NL"/>
        </w:rPr>
        <w:t>EHRM</w:t>
      </w:r>
      <w:r w:rsidRPr="00F0299C">
        <w:rPr>
          <w:rFonts w:cstheme="minorHAnsi"/>
          <w:sz w:val="18"/>
          <w:szCs w:val="18"/>
          <w:lang w:val="de-DE"/>
        </w:rPr>
        <w:t xml:space="preserve"> 27 augustus 2013, 15909/13 (</w:t>
      </w:r>
      <w:r w:rsidRPr="00F0299C">
        <w:rPr>
          <w:rFonts w:cstheme="minorHAnsi"/>
          <w:i/>
          <w:sz w:val="18"/>
          <w:szCs w:val="18"/>
          <w:lang w:val="de-DE"/>
        </w:rPr>
        <w:t>Van der Putten t. Nederland</w:t>
      </w:r>
      <w:r w:rsidRPr="00F0299C">
        <w:rPr>
          <w:rFonts w:cstheme="minorHAnsi"/>
          <w:sz w:val="18"/>
          <w:szCs w:val="18"/>
          <w:lang w:val="de-DE"/>
        </w:rPr>
        <w:t xml:space="preserve">); </w:t>
      </w:r>
      <w:r w:rsidRPr="00F0299C">
        <w:rPr>
          <w:rFonts w:eastAsia="Times New Roman" w:cstheme="minorHAnsi"/>
          <w:sz w:val="18"/>
          <w:szCs w:val="18"/>
          <w:lang w:val="de-DE" w:eastAsia="nl-NL"/>
        </w:rPr>
        <w:t xml:space="preserve">EHRM </w:t>
      </w:r>
      <w:r w:rsidRPr="00F0299C">
        <w:rPr>
          <w:rFonts w:cstheme="minorHAnsi"/>
          <w:sz w:val="18"/>
          <w:szCs w:val="18"/>
          <w:lang w:val="de-DE"/>
        </w:rPr>
        <w:t>27 augustus 2013, 12810/13 (</w:t>
      </w:r>
      <w:r w:rsidRPr="00F0299C">
        <w:rPr>
          <w:rFonts w:cstheme="minorHAnsi"/>
          <w:i/>
          <w:sz w:val="18"/>
          <w:szCs w:val="18"/>
          <w:shd w:val="clear" w:color="auto" w:fill="FFFFFF"/>
          <w:lang w:val="de-DE"/>
        </w:rPr>
        <w:t>Çelik</w:t>
      </w:r>
      <w:r w:rsidRPr="00F0299C">
        <w:rPr>
          <w:rFonts w:cstheme="minorHAnsi"/>
          <w:sz w:val="18"/>
          <w:szCs w:val="18"/>
          <w:shd w:val="clear" w:color="auto" w:fill="FFFFFF"/>
          <w:lang w:val="de-DE"/>
        </w:rPr>
        <w:t xml:space="preserve"> </w:t>
      </w:r>
      <w:r w:rsidRPr="00F0299C">
        <w:rPr>
          <w:rFonts w:cstheme="minorHAnsi"/>
          <w:i/>
          <w:sz w:val="18"/>
          <w:szCs w:val="18"/>
          <w:lang w:val="de-DE"/>
        </w:rPr>
        <w:t>t. Nederland</w:t>
      </w:r>
      <w:r w:rsidRPr="00F0299C">
        <w:rPr>
          <w:rFonts w:cstheme="minorHAnsi"/>
          <w:sz w:val="18"/>
          <w:szCs w:val="18"/>
          <w:lang w:val="de-DE"/>
        </w:rPr>
        <w:t>).</w:t>
      </w:r>
    </w:p>
  </w:footnote>
  <w:footnote w:id="30">
    <w:p w14:paraId="6AAC86D6" w14:textId="77777777" w:rsidR="00B372A3" w:rsidRPr="00147597" w:rsidRDefault="00B372A3" w:rsidP="001741CA">
      <w:pPr>
        <w:pStyle w:val="Voetnoottekst"/>
        <w:jc w:val="both"/>
        <w:rPr>
          <w:sz w:val="18"/>
          <w:szCs w:val="18"/>
          <w:lang w:val="en-US"/>
        </w:rPr>
      </w:pPr>
      <w:r w:rsidRPr="00147597">
        <w:rPr>
          <w:rStyle w:val="Voetnootmarkering"/>
          <w:sz w:val="18"/>
          <w:szCs w:val="18"/>
        </w:rPr>
        <w:footnoteRef/>
      </w:r>
      <w:r w:rsidRPr="00147597">
        <w:rPr>
          <w:sz w:val="18"/>
          <w:szCs w:val="18"/>
          <w:lang w:val="en-US"/>
        </w:rPr>
        <w:t xml:space="preserve"> Artikel 46 lid 4 EVRM. </w:t>
      </w:r>
    </w:p>
  </w:footnote>
  <w:footnote w:id="31">
    <w:p w14:paraId="77BDA6C4" w14:textId="77777777" w:rsidR="00B372A3" w:rsidRPr="00147597" w:rsidRDefault="00B372A3" w:rsidP="001741CA">
      <w:pPr>
        <w:pStyle w:val="Voetnoottekst"/>
        <w:jc w:val="both"/>
        <w:rPr>
          <w:sz w:val="18"/>
          <w:szCs w:val="18"/>
          <w:lang w:val="en-US"/>
        </w:rPr>
      </w:pPr>
      <w:r w:rsidRPr="00147597">
        <w:rPr>
          <w:rStyle w:val="Voetnootmarkering"/>
          <w:sz w:val="18"/>
          <w:szCs w:val="18"/>
        </w:rPr>
        <w:footnoteRef/>
      </w:r>
      <w:r w:rsidRPr="00147597">
        <w:rPr>
          <w:sz w:val="18"/>
          <w:szCs w:val="18"/>
          <w:lang w:val="en-US"/>
        </w:rPr>
        <w:t xml:space="preserve"> </w:t>
      </w:r>
      <w:r w:rsidRPr="00147597">
        <w:rPr>
          <w:rFonts w:cstheme="minorHAnsi"/>
          <w:sz w:val="18"/>
          <w:szCs w:val="18"/>
          <w:lang w:val="en-US"/>
        </w:rPr>
        <w:t xml:space="preserve">Steering Committee for Human Rights (CDDH), </w:t>
      </w:r>
      <w:r w:rsidRPr="00147597">
        <w:rPr>
          <w:rFonts w:cstheme="minorHAnsi"/>
          <w:i/>
          <w:sz w:val="18"/>
          <w:szCs w:val="18"/>
          <w:lang w:val="en-US"/>
        </w:rPr>
        <w:t>CDDH report on the longer-term future of the system of the European Convention on Human Rights</w:t>
      </w:r>
      <w:r w:rsidRPr="00147597">
        <w:rPr>
          <w:rFonts w:cstheme="minorHAnsi"/>
          <w:sz w:val="18"/>
          <w:szCs w:val="18"/>
          <w:lang w:val="en-US"/>
        </w:rPr>
        <w:t xml:space="preserve">, 11 december 2015, CDDH(2015)R84 Addendum I, par. 169. </w:t>
      </w:r>
    </w:p>
  </w:footnote>
  <w:footnote w:id="32">
    <w:p w14:paraId="41B3A40A" w14:textId="77777777" w:rsidR="00FC4FB6" w:rsidRPr="00F0299C" w:rsidRDefault="00FC4FB6" w:rsidP="001741CA">
      <w:pPr>
        <w:pStyle w:val="Voetnoottekst"/>
        <w:jc w:val="both"/>
        <w:rPr>
          <w:sz w:val="18"/>
          <w:szCs w:val="18"/>
          <w:lang w:val="en-US"/>
        </w:rPr>
      </w:pPr>
      <w:r w:rsidRPr="001741CA">
        <w:rPr>
          <w:rStyle w:val="Voetnootmarkering"/>
          <w:sz w:val="18"/>
          <w:szCs w:val="18"/>
        </w:rPr>
        <w:footnoteRef/>
      </w:r>
      <w:r w:rsidR="00FD7AE8" w:rsidRPr="00F0299C">
        <w:rPr>
          <w:sz w:val="18"/>
          <w:szCs w:val="18"/>
          <w:lang w:val="en-US"/>
        </w:rPr>
        <w:t xml:space="preserve"> EHRM</w:t>
      </w:r>
      <w:r w:rsidRPr="00F0299C">
        <w:rPr>
          <w:sz w:val="18"/>
          <w:szCs w:val="18"/>
          <w:lang w:val="en-US"/>
        </w:rPr>
        <w:t xml:space="preserve"> </w:t>
      </w:r>
      <w:r w:rsidR="00FD7AE8" w:rsidRPr="00F0299C">
        <w:rPr>
          <w:sz w:val="18"/>
          <w:szCs w:val="18"/>
          <w:lang w:val="en-US"/>
        </w:rPr>
        <w:t xml:space="preserve">16 juni 2015, </w:t>
      </w:r>
      <w:r w:rsidRPr="00F0299C">
        <w:rPr>
          <w:i/>
          <w:sz w:val="18"/>
          <w:szCs w:val="18"/>
          <w:lang w:val="en-US"/>
        </w:rPr>
        <w:t>Sargsyan t</w:t>
      </w:r>
      <w:r w:rsidR="00FD7AE8" w:rsidRPr="00F0299C">
        <w:rPr>
          <w:i/>
          <w:sz w:val="18"/>
          <w:szCs w:val="18"/>
          <w:lang w:val="en-US"/>
        </w:rPr>
        <w:t>.</w:t>
      </w:r>
      <w:r w:rsidRPr="00F0299C">
        <w:rPr>
          <w:i/>
          <w:sz w:val="18"/>
          <w:szCs w:val="18"/>
          <w:lang w:val="en-US"/>
        </w:rPr>
        <w:t xml:space="preserve"> Azerbeidzjan</w:t>
      </w:r>
      <w:r w:rsidRPr="00F0299C">
        <w:rPr>
          <w:sz w:val="18"/>
          <w:szCs w:val="18"/>
          <w:lang w:val="en-US"/>
        </w:rPr>
        <w:t xml:space="preserve"> (nr. 40167/06)</w:t>
      </w:r>
      <w:r w:rsidR="00FD7AE8" w:rsidRPr="00F0299C">
        <w:rPr>
          <w:sz w:val="18"/>
          <w:szCs w:val="18"/>
          <w:lang w:val="en-US"/>
        </w:rPr>
        <w:t xml:space="preserve"> GK</w:t>
      </w:r>
      <w:r w:rsidRPr="00F0299C">
        <w:rPr>
          <w:sz w:val="18"/>
          <w:szCs w:val="18"/>
          <w:lang w:val="en-US"/>
        </w:rPr>
        <w:t xml:space="preserve"> en</w:t>
      </w:r>
      <w:r w:rsidR="00FD7AE8" w:rsidRPr="00F0299C">
        <w:rPr>
          <w:sz w:val="18"/>
          <w:szCs w:val="18"/>
          <w:lang w:val="en-US"/>
        </w:rPr>
        <w:t xml:space="preserve"> EHRM 16 juni 2015,</w:t>
      </w:r>
      <w:r w:rsidRPr="00F0299C">
        <w:rPr>
          <w:sz w:val="18"/>
          <w:szCs w:val="18"/>
          <w:lang w:val="en-US"/>
        </w:rPr>
        <w:t xml:space="preserve"> </w:t>
      </w:r>
      <w:r w:rsidRPr="00F0299C">
        <w:rPr>
          <w:i/>
          <w:sz w:val="18"/>
          <w:szCs w:val="18"/>
          <w:lang w:val="en-US"/>
        </w:rPr>
        <w:t xml:space="preserve">Chiragov </w:t>
      </w:r>
      <w:r w:rsidR="00FD7AE8" w:rsidRPr="00F0299C">
        <w:rPr>
          <w:i/>
          <w:sz w:val="18"/>
          <w:szCs w:val="18"/>
          <w:lang w:val="en-US"/>
        </w:rPr>
        <w:t>t.</w:t>
      </w:r>
      <w:r w:rsidRPr="00F0299C">
        <w:rPr>
          <w:i/>
          <w:sz w:val="18"/>
          <w:szCs w:val="18"/>
          <w:lang w:val="en-US"/>
        </w:rPr>
        <w:t xml:space="preserve"> Armenië </w:t>
      </w:r>
      <w:r w:rsidRPr="00F0299C">
        <w:rPr>
          <w:sz w:val="18"/>
          <w:szCs w:val="18"/>
          <w:lang w:val="en-US"/>
        </w:rPr>
        <w:t>(</w:t>
      </w:r>
      <w:r w:rsidR="00FD7AE8" w:rsidRPr="00F0299C">
        <w:rPr>
          <w:sz w:val="18"/>
          <w:szCs w:val="18"/>
          <w:lang w:val="en-US"/>
        </w:rPr>
        <w:t xml:space="preserve">nr. </w:t>
      </w:r>
      <w:r w:rsidRPr="00F0299C">
        <w:rPr>
          <w:sz w:val="18"/>
          <w:szCs w:val="18"/>
          <w:lang w:val="en-US"/>
        </w:rPr>
        <w:t>13216/05</w:t>
      </w:r>
      <w:r w:rsidR="00FD7AE8" w:rsidRPr="00F0299C">
        <w:rPr>
          <w:sz w:val="18"/>
          <w:szCs w:val="18"/>
          <w:lang w:val="en-US"/>
        </w:rPr>
        <w:t>) GK.</w:t>
      </w:r>
      <w:r w:rsidRPr="00F0299C">
        <w:rPr>
          <w:sz w:val="18"/>
          <w:szCs w:val="18"/>
          <w:lang w:val="en-US"/>
        </w:rPr>
        <w:t>.</w:t>
      </w:r>
    </w:p>
  </w:footnote>
  <w:footnote w:id="33">
    <w:p w14:paraId="23A8F0C5"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Zie voor deze jaarverslagen de volgende website: www.coe.int/en/web/execution/annual-reports. </w:t>
      </w:r>
    </w:p>
  </w:footnote>
  <w:footnote w:id="34">
    <w:p w14:paraId="232986F1" w14:textId="77777777" w:rsidR="00B372A3" w:rsidRPr="00147597" w:rsidRDefault="00B372A3" w:rsidP="001741CA">
      <w:pPr>
        <w:pStyle w:val="Voetnoottekst"/>
        <w:jc w:val="both"/>
        <w:rPr>
          <w:sz w:val="18"/>
          <w:szCs w:val="18"/>
        </w:rPr>
      </w:pPr>
      <w:r w:rsidRPr="00147597">
        <w:rPr>
          <w:rStyle w:val="Voetnootmarkering"/>
          <w:sz w:val="18"/>
          <w:szCs w:val="18"/>
        </w:rPr>
        <w:footnoteRef/>
      </w:r>
      <w:r w:rsidRPr="00147597">
        <w:rPr>
          <w:sz w:val="18"/>
          <w:szCs w:val="18"/>
        </w:rPr>
        <w:t xml:space="preserve"> </w:t>
      </w:r>
      <w:r w:rsidRPr="00147597">
        <w:rPr>
          <w:rFonts w:cstheme="minorHAnsi"/>
          <w:sz w:val="18"/>
          <w:szCs w:val="18"/>
        </w:rPr>
        <w:t>Rede van Jos Silvis, gehouden ter gelegenheid van zijn installatie tot procureurgeneraal bij de Hoge Raad der Nederlanden, Den Haag, d.d. 1 september 2016.</w:t>
      </w:r>
    </w:p>
  </w:footnote>
  <w:footnote w:id="35">
    <w:p w14:paraId="0B2A8912" w14:textId="77777777" w:rsidR="00B372A3" w:rsidRPr="00147597" w:rsidRDefault="00B372A3" w:rsidP="001741CA">
      <w:pPr>
        <w:pStyle w:val="Voetnoottekst"/>
        <w:jc w:val="both"/>
        <w:rPr>
          <w:sz w:val="18"/>
          <w:szCs w:val="18"/>
          <w:lang w:val="en-US"/>
        </w:rPr>
      </w:pPr>
      <w:r w:rsidRPr="00147597">
        <w:rPr>
          <w:rStyle w:val="Voetnootmarkering"/>
          <w:sz w:val="18"/>
          <w:szCs w:val="18"/>
        </w:rPr>
        <w:footnoteRef/>
      </w:r>
      <w:r w:rsidRPr="00147597">
        <w:rPr>
          <w:sz w:val="18"/>
          <w:szCs w:val="18"/>
          <w:lang w:val="en-US"/>
        </w:rPr>
        <w:t xml:space="preserve"> Sinds 1 januari 2014. </w:t>
      </w:r>
    </w:p>
  </w:footnote>
  <w:footnote w:id="36">
    <w:p w14:paraId="79D92FE2" w14:textId="77777777" w:rsidR="00B372A3" w:rsidRPr="00147597" w:rsidRDefault="00B372A3" w:rsidP="001741CA">
      <w:pPr>
        <w:pStyle w:val="Voetnoottekst"/>
        <w:jc w:val="both"/>
        <w:rPr>
          <w:sz w:val="18"/>
          <w:szCs w:val="18"/>
          <w:lang w:val="en-US"/>
        </w:rPr>
      </w:pPr>
      <w:r w:rsidRPr="00147597">
        <w:rPr>
          <w:rStyle w:val="Voetnootmarkering"/>
          <w:sz w:val="18"/>
          <w:szCs w:val="18"/>
        </w:rPr>
        <w:footnoteRef/>
      </w:r>
      <w:r w:rsidRPr="00147597">
        <w:rPr>
          <w:sz w:val="18"/>
          <w:szCs w:val="18"/>
          <w:lang w:val="en-US"/>
        </w:rPr>
        <w:t xml:space="preserve"> </w:t>
      </w:r>
      <w:r w:rsidRPr="00147597">
        <w:rPr>
          <w:rFonts w:eastAsia="Times New Roman" w:cstheme="minorHAnsi"/>
          <w:sz w:val="18"/>
          <w:szCs w:val="18"/>
          <w:lang w:val="en-US" w:eastAsia="nl-NL"/>
        </w:rPr>
        <w:t>EHRM</w:t>
      </w:r>
      <w:r w:rsidRPr="00147597">
        <w:rPr>
          <w:sz w:val="18"/>
          <w:szCs w:val="18"/>
          <w:lang w:val="en-US"/>
        </w:rPr>
        <w:t xml:space="preserve">, ‘Report on the implementation of the revised rule on the lodging of new applications, februari 2015, p. 1. </w:t>
      </w:r>
    </w:p>
  </w:footnote>
  <w:footnote w:id="37">
    <w:p w14:paraId="1C0EE1B9" w14:textId="77777777" w:rsidR="00B372A3" w:rsidRPr="00147597" w:rsidRDefault="00B372A3" w:rsidP="001741CA">
      <w:pPr>
        <w:pStyle w:val="Voetnoottekst"/>
        <w:jc w:val="both"/>
        <w:rPr>
          <w:sz w:val="18"/>
          <w:szCs w:val="18"/>
          <w:lang w:val="en-US"/>
        </w:rPr>
      </w:pPr>
      <w:r w:rsidRPr="00147597">
        <w:rPr>
          <w:rStyle w:val="Voetnootmarkering"/>
          <w:sz w:val="18"/>
          <w:szCs w:val="18"/>
        </w:rPr>
        <w:footnoteRef/>
      </w:r>
      <w:r w:rsidRPr="00147597">
        <w:rPr>
          <w:sz w:val="18"/>
          <w:szCs w:val="18"/>
          <w:lang w:val="en-US"/>
        </w:rPr>
        <w:t xml:space="preserve"> J.H. Gerards ‘</w:t>
      </w:r>
      <w:r w:rsidRPr="00147597">
        <w:rPr>
          <w:sz w:val="18"/>
          <w:szCs w:val="18"/>
          <w:shd w:val="clear" w:color="auto" w:fill="FFFFFF"/>
          <w:lang w:val="en-US"/>
        </w:rPr>
        <w:t>Inadmissibility decisions by the European Court of Human Rights – A critique of the lack of reasoning</w:t>
      </w:r>
      <w:r w:rsidRPr="00147597">
        <w:rPr>
          <w:color w:val="222222"/>
          <w:sz w:val="18"/>
          <w:szCs w:val="18"/>
          <w:shd w:val="clear" w:color="auto" w:fill="FFFFFF"/>
          <w:lang w:val="en-US"/>
        </w:rPr>
        <w:t xml:space="preserve">’, </w:t>
      </w:r>
      <w:r w:rsidRPr="00147597">
        <w:rPr>
          <w:rStyle w:val="Nadruk"/>
          <w:color w:val="222222"/>
          <w:sz w:val="18"/>
          <w:szCs w:val="18"/>
          <w:shd w:val="clear" w:color="auto" w:fill="FFFFFF"/>
          <w:lang w:val="en-US"/>
        </w:rPr>
        <w:t>Human Rights Law Review</w:t>
      </w:r>
      <w:r w:rsidRPr="00147597">
        <w:rPr>
          <w:rStyle w:val="apple-converted-space"/>
          <w:i/>
          <w:iCs/>
          <w:color w:val="222222"/>
          <w:sz w:val="18"/>
          <w:szCs w:val="18"/>
          <w:shd w:val="clear" w:color="auto" w:fill="FFFFFF"/>
          <w:lang w:val="en-US"/>
        </w:rPr>
        <w:t> </w:t>
      </w:r>
      <w:r w:rsidRPr="00147597">
        <w:rPr>
          <w:color w:val="222222"/>
          <w:sz w:val="18"/>
          <w:szCs w:val="18"/>
          <w:shd w:val="clear" w:color="auto" w:fill="FFFFFF"/>
          <w:lang w:val="en-US"/>
        </w:rPr>
        <w:t xml:space="preserve">2014, p. 148-158. </w:t>
      </w:r>
    </w:p>
  </w:footnote>
  <w:footnote w:id="38">
    <w:p w14:paraId="01F629FD" w14:textId="77777777" w:rsidR="00B372A3" w:rsidRPr="00147597" w:rsidRDefault="00B372A3" w:rsidP="001741CA">
      <w:pPr>
        <w:pStyle w:val="Voetnoottekst"/>
        <w:jc w:val="both"/>
        <w:rPr>
          <w:sz w:val="18"/>
          <w:szCs w:val="18"/>
        </w:rPr>
      </w:pPr>
      <w:r w:rsidRPr="00147597">
        <w:rPr>
          <w:rStyle w:val="Voetnootmarkering"/>
          <w:sz w:val="18"/>
          <w:szCs w:val="18"/>
        </w:rPr>
        <w:footnoteRef/>
      </w:r>
      <w:r w:rsidRPr="00147597">
        <w:rPr>
          <w:sz w:val="18"/>
          <w:szCs w:val="18"/>
        </w:rPr>
        <w:t xml:space="preserve"> Zicht op Straatsburg nummer 7.</w:t>
      </w:r>
    </w:p>
  </w:footnote>
  <w:footnote w:id="39">
    <w:p w14:paraId="5BB56FBA" w14:textId="77777777" w:rsidR="00B372A3" w:rsidRPr="00147597" w:rsidRDefault="00B372A3" w:rsidP="001741CA">
      <w:pPr>
        <w:pStyle w:val="Voetnoottekst"/>
        <w:jc w:val="both"/>
        <w:rPr>
          <w:sz w:val="18"/>
          <w:szCs w:val="18"/>
        </w:rPr>
      </w:pPr>
      <w:r w:rsidRPr="00147597">
        <w:rPr>
          <w:rStyle w:val="Voetnootmarkering"/>
          <w:sz w:val="18"/>
          <w:szCs w:val="18"/>
        </w:rPr>
        <w:footnoteRef/>
      </w:r>
      <w:r w:rsidRPr="00147597">
        <w:rPr>
          <w:sz w:val="18"/>
          <w:szCs w:val="18"/>
        </w:rPr>
        <w:t xml:space="preserve"> T. Barkhuysen, M. Kuijer en R. Lawson, ‘Voorzichtig met Straatsburg! Interview met onze nieuwe rechter Egbert Myjer’, </w:t>
      </w:r>
      <w:r w:rsidRPr="00147597">
        <w:rPr>
          <w:i/>
          <w:sz w:val="18"/>
          <w:szCs w:val="18"/>
        </w:rPr>
        <w:t>NTM/NJCM-Bulletin</w:t>
      </w:r>
      <w:r w:rsidRPr="00147597">
        <w:rPr>
          <w:sz w:val="18"/>
          <w:szCs w:val="18"/>
        </w:rPr>
        <w:t xml:space="preserve"> 2014, 883-907.  </w:t>
      </w:r>
    </w:p>
  </w:footnote>
  <w:footnote w:id="40">
    <w:p w14:paraId="5A8C21D7" w14:textId="77777777" w:rsidR="000F22D2" w:rsidRPr="001741CA" w:rsidRDefault="000F22D2" w:rsidP="001741CA">
      <w:pPr>
        <w:pStyle w:val="Voetnoottekst"/>
        <w:jc w:val="both"/>
        <w:rPr>
          <w:sz w:val="18"/>
          <w:szCs w:val="18"/>
        </w:rPr>
      </w:pPr>
      <w:r w:rsidRPr="001741CA">
        <w:rPr>
          <w:rStyle w:val="Voetnootmarkering"/>
          <w:sz w:val="18"/>
          <w:szCs w:val="18"/>
        </w:rPr>
        <w:footnoteRef/>
      </w:r>
      <w:r w:rsidRPr="001741CA">
        <w:rPr>
          <w:sz w:val="18"/>
          <w:szCs w:val="18"/>
        </w:rPr>
        <w:t xml:space="preserve"> Volgens hem zouden veertig extra juristen in acht ja</w:t>
      </w:r>
      <w:r w:rsidR="00F109D6" w:rsidRPr="001741CA">
        <w:rPr>
          <w:sz w:val="18"/>
          <w:szCs w:val="18"/>
        </w:rPr>
        <w:t>ar het probleem kunnen oplossen, zie CDDH, ‘Presentation to the 3</w:t>
      </w:r>
      <w:r w:rsidR="00F109D6" w:rsidRPr="001741CA">
        <w:rPr>
          <w:sz w:val="18"/>
          <w:szCs w:val="18"/>
          <w:vertAlign w:val="superscript"/>
        </w:rPr>
        <w:t>rd</w:t>
      </w:r>
      <w:r w:rsidR="00F109D6" w:rsidRPr="001741CA">
        <w:rPr>
          <w:sz w:val="18"/>
          <w:szCs w:val="18"/>
        </w:rPr>
        <w:t xml:space="preserve"> meeting by the Registrar of the European Court of Human Rights’, GT-GDR-F(2014)021, 24 September 2014, </w:t>
      </w:r>
      <w:r w:rsidRPr="001741CA">
        <w:rPr>
          <w:sz w:val="18"/>
          <w:szCs w:val="18"/>
        </w:rPr>
        <w:t>p. 10.</w:t>
      </w:r>
    </w:p>
  </w:footnote>
  <w:footnote w:id="41">
    <w:p w14:paraId="4CFB1BD5" w14:textId="77777777" w:rsidR="00B372A3" w:rsidRPr="00147597" w:rsidRDefault="00B372A3" w:rsidP="001741CA">
      <w:pPr>
        <w:pStyle w:val="Voetnoottekst"/>
        <w:jc w:val="both"/>
        <w:rPr>
          <w:sz w:val="18"/>
          <w:szCs w:val="18"/>
        </w:rPr>
      </w:pPr>
      <w:r w:rsidRPr="00147597">
        <w:rPr>
          <w:rStyle w:val="Voetnootmarkering"/>
          <w:sz w:val="18"/>
          <w:szCs w:val="18"/>
        </w:rPr>
        <w:footnoteRef/>
      </w:r>
      <w:r w:rsidRPr="00147597">
        <w:rPr>
          <w:sz w:val="18"/>
          <w:szCs w:val="18"/>
        </w:rPr>
        <w:t xml:space="preserve"> Zie Protocol 16. </w:t>
      </w:r>
    </w:p>
  </w:footnote>
  <w:footnote w:id="42">
    <w:p w14:paraId="58679557"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w:t>
      </w:r>
      <w:r w:rsidRPr="00147597">
        <w:rPr>
          <w:rFonts w:eastAsia="Times New Roman" w:cstheme="minorHAnsi"/>
          <w:sz w:val="18"/>
          <w:szCs w:val="18"/>
          <w:lang w:eastAsia="nl-NL"/>
        </w:rPr>
        <w:t>EHRM</w:t>
      </w:r>
      <w:r w:rsidRPr="00147597">
        <w:rPr>
          <w:rFonts w:cstheme="minorHAnsi"/>
          <w:sz w:val="18"/>
          <w:szCs w:val="18"/>
        </w:rPr>
        <w:t xml:space="preserve"> 17 december 2013, 36997/08 (</w:t>
      </w:r>
      <w:r w:rsidRPr="00147597">
        <w:rPr>
          <w:rStyle w:val="wordhighlighted"/>
          <w:rFonts w:cstheme="minorHAnsi"/>
          <w:i/>
          <w:sz w:val="18"/>
          <w:szCs w:val="18"/>
        </w:rPr>
        <w:t>Černák</w:t>
      </w:r>
      <w:r w:rsidRPr="00147597">
        <w:rPr>
          <w:rStyle w:val="s7d2086b4"/>
          <w:rFonts w:cstheme="minorHAnsi"/>
          <w:i/>
          <w:sz w:val="18"/>
          <w:szCs w:val="18"/>
        </w:rPr>
        <w:t xml:space="preserve"> </w:t>
      </w:r>
      <w:r w:rsidRPr="00147597">
        <w:rPr>
          <w:rStyle w:val="s7d2086b4"/>
          <w:rFonts w:cstheme="minorHAnsi"/>
          <w:sz w:val="18"/>
          <w:szCs w:val="18"/>
        </w:rPr>
        <w:t>t.</w:t>
      </w:r>
      <w:r w:rsidRPr="00147597">
        <w:rPr>
          <w:rStyle w:val="s7d2086b4"/>
          <w:rFonts w:cstheme="minorHAnsi"/>
          <w:i/>
          <w:sz w:val="18"/>
          <w:szCs w:val="18"/>
        </w:rPr>
        <w:t xml:space="preserve"> Slowakije</w:t>
      </w:r>
      <w:r w:rsidRPr="00147597">
        <w:rPr>
          <w:rStyle w:val="s7d2086b4"/>
          <w:rFonts w:cstheme="minorHAnsi"/>
          <w:sz w:val="18"/>
          <w:szCs w:val="18"/>
        </w:rPr>
        <w:t xml:space="preserve">). </w:t>
      </w:r>
    </w:p>
  </w:footnote>
  <w:footnote w:id="43">
    <w:p w14:paraId="18D91814"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Rede van Jos Silvis, gehouden ter gelegenheid van zijn installatie tot procureurgeneraal bij de Hoge Raad der Nederlanden, Den Haag, d.d. 1 september 2016. </w:t>
      </w:r>
    </w:p>
  </w:footnote>
  <w:footnote w:id="44">
    <w:p w14:paraId="5B7D7934" w14:textId="77777777" w:rsidR="00B372A3" w:rsidRPr="001741CA" w:rsidRDefault="00B372A3" w:rsidP="001741CA">
      <w:pPr>
        <w:pStyle w:val="Geenafstand"/>
        <w:jc w:val="both"/>
        <w:rPr>
          <w:rFonts w:cstheme="minorHAnsi"/>
          <w:sz w:val="18"/>
          <w:szCs w:val="18"/>
          <w:lang w:val="de-DE"/>
        </w:rPr>
      </w:pPr>
      <w:r w:rsidRPr="00147597">
        <w:rPr>
          <w:rStyle w:val="Voetnootmarkering"/>
          <w:rFonts w:cstheme="minorHAnsi"/>
          <w:sz w:val="18"/>
          <w:szCs w:val="18"/>
        </w:rPr>
        <w:footnoteRef/>
      </w:r>
      <w:r w:rsidRPr="001741CA">
        <w:rPr>
          <w:rFonts w:cstheme="minorHAnsi"/>
          <w:sz w:val="18"/>
          <w:szCs w:val="18"/>
          <w:lang w:val="de-DE"/>
        </w:rPr>
        <w:t xml:space="preserve"> </w:t>
      </w:r>
      <w:r w:rsidRPr="001741CA">
        <w:rPr>
          <w:rFonts w:eastAsia="Times New Roman" w:cstheme="minorHAnsi"/>
          <w:sz w:val="18"/>
          <w:szCs w:val="18"/>
          <w:lang w:val="de-DE" w:eastAsia="nl-NL"/>
        </w:rPr>
        <w:t>EHRM</w:t>
      </w:r>
      <w:r w:rsidRPr="001741CA">
        <w:rPr>
          <w:rFonts w:cstheme="minorHAnsi"/>
          <w:sz w:val="18"/>
          <w:szCs w:val="18"/>
          <w:lang w:val="de-DE"/>
        </w:rPr>
        <w:t xml:space="preserve"> 15 oktober 2015, 27510/08 (</w:t>
      </w:r>
      <w:r w:rsidRPr="001741CA">
        <w:rPr>
          <w:rFonts w:cstheme="minorHAnsi"/>
          <w:i/>
          <w:sz w:val="18"/>
          <w:szCs w:val="18"/>
          <w:lang w:val="de-DE"/>
        </w:rPr>
        <w:t xml:space="preserve">Perinçek </w:t>
      </w:r>
      <w:r w:rsidRPr="001741CA">
        <w:rPr>
          <w:rFonts w:cstheme="minorHAnsi"/>
          <w:sz w:val="18"/>
          <w:szCs w:val="18"/>
          <w:lang w:val="de-DE"/>
        </w:rPr>
        <w:t>t</w:t>
      </w:r>
      <w:r w:rsidRPr="001741CA">
        <w:rPr>
          <w:rFonts w:cstheme="minorHAnsi"/>
          <w:i/>
          <w:sz w:val="18"/>
          <w:szCs w:val="18"/>
          <w:lang w:val="de-DE"/>
        </w:rPr>
        <w:t>. Zwitserland</w:t>
      </w:r>
      <w:r w:rsidRPr="001741CA">
        <w:rPr>
          <w:rFonts w:cstheme="minorHAnsi"/>
          <w:sz w:val="18"/>
          <w:szCs w:val="18"/>
          <w:lang w:val="de-DE"/>
        </w:rPr>
        <w:t>).</w:t>
      </w:r>
    </w:p>
  </w:footnote>
  <w:footnote w:id="45">
    <w:p w14:paraId="779F93BB"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w:t>
      </w:r>
      <w:r w:rsidRPr="00147597">
        <w:rPr>
          <w:rFonts w:eastAsia="Times New Roman" w:cstheme="minorHAnsi"/>
          <w:sz w:val="18"/>
          <w:szCs w:val="18"/>
          <w:lang w:eastAsia="nl-NL"/>
        </w:rPr>
        <w:t>EHRM</w:t>
      </w:r>
      <w:r w:rsidRPr="00147597">
        <w:rPr>
          <w:rFonts w:cstheme="minorHAnsi"/>
          <w:sz w:val="18"/>
          <w:szCs w:val="18"/>
        </w:rPr>
        <w:t xml:space="preserve"> 5 juli 2016, </w:t>
      </w:r>
      <w:hyperlink r:id="rId8" w:anchor="{&quot;appno&quot;:[&quot;44898/10&quot;]}" w:tgtFrame="_blank" w:history="1">
        <w:r w:rsidRPr="00147597">
          <w:rPr>
            <w:rFonts w:cstheme="minorHAnsi"/>
            <w:sz w:val="18"/>
            <w:szCs w:val="18"/>
          </w:rPr>
          <w:t>44898/10</w:t>
        </w:r>
      </w:hyperlink>
      <w:r w:rsidRPr="00147597">
        <w:rPr>
          <w:rFonts w:cstheme="minorHAnsi"/>
          <w:sz w:val="18"/>
          <w:szCs w:val="18"/>
        </w:rPr>
        <w:t xml:space="preserve"> (</w:t>
      </w:r>
      <w:r w:rsidRPr="00147597">
        <w:rPr>
          <w:rStyle w:val="wordhighlighted"/>
          <w:rFonts w:cstheme="minorHAnsi"/>
          <w:i/>
          <w:sz w:val="18"/>
          <w:szCs w:val="18"/>
        </w:rPr>
        <w:t>Jeronovičs</w:t>
      </w:r>
      <w:r w:rsidRPr="00147597">
        <w:rPr>
          <w:rStyle w:val="wordhighlighted"/>
          <w:rFonts w:cstheme="minorHAnsi"/>
          <w:sz w:val="18"/>
          <w:szCs w:val="18"/>
        </w:rPr>
        <w:t xml:space="preserve"> t.</w:t>
      </w:r>
      <w:r w:rsidRPr="00147597">
        <w:rPr>
          <w:rStyle w:val="wordhighlighted"/>
          <w:rFonts w:cstheme="minorHAnsi"/>
          <w:i/>
          <w:sz w:val="18"/>
          <w:szCs w:val="18"/>
        </w:rPr>
        <w:t xml:space="preserve"> Litouwen</w:t>
      </w:r>
      <w:r w:rsidRPr="00147597">
        <w:rPr>
          <w:rStyle w:val="wordhighlighted"/>
          <w:rFonts w:cstheme="minorHAnsi"/>
          <w:sz w:val="18"/>
          <w:szCs w:val="18"/>
        </w:rPr>
        <w:t>) (Grote Kamer).</w:t>
      </w:r>
      <w:r w:rsidRPr="00147597">
        <w:rPr>
          <w:rStyle w:val="s7d2086b4"/>
          <w:rFonts w:cstheme="minorHAnsi"/>
          <w:sz w:val="18"/>
          <w:szCs w:val="18"/>
        </w:rPr>
        <w:t xml:space="preserve"> </w:t>
      </w:r>
    </w:p>
  </w:footnote>
  <w:footnote w:id="46">
    <w:p w14:paraId="3FF376F4" w14:textId="77777777" w:rsidR="00B372A3" w:rsidRPr="001741CA" w:rsidRDefault="00B372A3" w:rsidP="001741CA">
      <w:pPr>
        <w:pStyle w:val="Geenafstand"/>
        <w:jc w:val="both"/>
        <w:rPr>
          <w:rFonts w:cstheme="minorHAnsi"/>
          <w:sz w:val="18"/>
          <w:szCs w:val="18"/>
          <w:lang w:val="de-DE"/>
        </w:rPr>
      </w:pPr>
      <w:r w:rsidRPr="00147597">
        <w:rPr>
          <w:rStyle w:val="Voetnootmarkering"/>
          <w:rFonts w:cstheme="minorHAnsi"/>
          <w:sz w:val="18"/>
          <w:szCs w:val="18"/>
        </w:rPr>
        <w:footnoteRef/>
      </w:r>
      <w:r w:rsidRPr="001741CA">
        <w:rPr>
          <w:rFonts w:cstheme="minorHAnsi"/>
          <w:sz w:val="18"/>
          <w:szCs w:val="18"/>
          <w:lang w:val="de-DE"/>
        </w:rPr>
        <w:t xml:space="preserve"> </w:t>
      </w:r>
      <w:r w:rsidRPr="001741CA">
        <w:rPr>
          <w:rFonts w:eastAsia="Times New Roman" w:cstheme="minorHAnsi"/>
          <w:sz w:val="18"/>
          <w:szCs w:val="18"/>
          <w:lang w:val="de-DE" w:eastAsia="nl-NL"/>
        </w:rPr>
        <w:t>EHRM</w:t>
      </w:r>
      <w:r w:rsidRPr="001741CA">
        <w:rPr>
          <w:rFonts w:cstheme="minorHAnsi"/>
          <w:sz w:val="18"/>
          <w:szCs w:val="18"/>
          <w:lang w:val="de-DE"/>
        </w:rPr>
        <w:t xml:space="preserve"> 14 juli 2014, 47848/08 (</w:t>
      </w:r>
      <w:r w:rsidRPr="001741CA">
        <w:rPr>
          <w:rFonts w:cstheme="minorHAnsi"/>
          <w:i/>
          <w:sz w:val="18"/>
          <w:szCs w:val="18"/>
          <w:lang w:val="de-DE"/>
        </w:rPr>
        <w:t xml:space="preserve">Valentin Câmpeanu </w:t>
      </w:r>
      <w:r w:rsidRPr="001741CA">
        <w:rPr>
          <w:rFonts w:cstheme="minorHAnsi"/>
          <w:sz w:val="18"/>
          <w:szCs w:val="18"/>
          <w:lang w:val="de-DE"/>
        </w:rPr>
        <w:t>t</w:t>
      </w:r>
      <w:r w:rsidRPr="001741CA">
        <w:rPr>
          <w:rFonts w:cstheme="minorHAnsi"/>
          <w:i/>
          <w:sz w:val="18"/>
          <w:szCs w:val="18"/>
          <w:lang w:val="de-DE"/>
        </w:rPr>
        <w:t>. Roemenie)</w:t>
      </w:r>
      <w:r w:rsidRPr="001741CA">
        <w:rPr>
          <w:rFonts w:cstheme="minorHAnsi"/>
          <w:sz w:val="18"/>
          <w:szCs w:val="18"/>
          <w:lang w:val="de-DE"/>
        </w:rPr>
        <w:t>.</w:t>
      </w:r>
    </w:p>
  </w:footnote>
  <w:footnote w:id="47">
    <w:p w14:paraId="7A273897" w14:textId="77777777" w:rsidR="00B372A3" w:rsidRPr="00F0299C" w:rsidRDefault="00B372A3" w:rsidP="001741CA">
      <w:pPr>
        <w:pStyle w:val="Geenafstand"/>
        <w:jc w:val="both"/>
        <w:rPr>
          <w:rFonts w:cstheme="minorHAnsi"/>
          <w:sz w:val="18"/>
          <w:szCs w:val="18"/>
          <w:lang w:val="en-US"/>
        </w:rPr>
      </w:pPr>
      <w:r w:rsidRPr="00147597">
        <w:rPr>
          <w:rStyle w:val="Voetnootmarkering"/>
          <w:rFonts w:cstheme="minorHAnsi"/>
          <w:sz w:val="18"/>
          <w:szCs w:val="18"/>
        </w:rPr>
        <w:footnoteRef/>
      </w:r>
      <w:r w:rsidRPr="00F0299C">
        <w:rPr>
          <w:rFonts w:eastAsia="Times New Roman" w:cstheme="minorHAnsi"/>
          <w:sz w:val="18"/>
          <w:szCs w:val="18"/>
          <w:lang w:val="en-US" w:eastAsia="nl-NL"/>
        </w:rPr>
        <w:t xml:space="preserve"> EHRM 10 november 2015, 40454/07 (</w:t>
      </w:r>
      <w:r w:rsidRPr="00F0299C">
        <w:rPr>
          <w:rStyle w:val="wordhighlighted"/>
          <w:rFonts w:eastAsia="Times New Roman" w:cstheme="minorHAnsi"/>
          <w:i/>
          <w:sz w:val="18"/>
          <w:szCs w:val="18"/>
          <w:lang w:val="en-US" w:eastAsia="nl-NL"/>
        </w:rPr>
        <w:t>Couderc</w:t>
      </w:r>
      <w:r w:rsidRPr="00F0299C">
        <w:rPr>
          <w:rStyle w:val="s7d2086b4"/>
          <w:rFonts w:eastAsia="Times New Roman" w:cstheme="minorHAnsi"/>
          <w:i/>
          <w:sz w:val="18"/>
          <w:szCs w:val="18"/>
          <w:lang w:val="en-US" w:eastAsia="nl-NL"/>
        </w:rPr>
        <w:t xml:space="preserve"> and Hachette Filipacchi Associés </w:t>
      </w:r>
      <w:r w:rsidRPr="00F0299C">
        <w:rPr>
          <w:rStyle w:val="s7d2086b4"/>
          <w:rFonts w:eastAsia="Times New Roman" w:cstheme="minorHAnsi"/>
          <w:sz w:val="18"/>
          <w:szCs w:val="18"/>
          <w:lang w:val="en-US" w:eastAsia="nl-NL"/>
        </w:rPr>
        <w:t>t</w:t>
      </w:r>
      <w:r w:rsidRPr="00F0299C">
        <w:rPr>
          <w:rStyle w:val="s7d2086b4"/>
          <w:rFonts w:eastAsia="Times New Roman" w:cstheme="minorHAnsi"/>
          <w:i/>
          <w:sz w:val="18"/>
          <w:szCs w:val="18"/>
          <w:lang w:val="en-US" w:eastAsia="nl-NL"/>
        </w:rPr>
        <w:t>. Frankrijk).</w:t>
      </w:r>
    </w:p>
  </w:footnote>
  <w:footnote w:id="48">
    <w:p w14:paraId="4DB303C6" w14:textId="77777777" w:rsidR="00B372A3" w:rsidRPr="00147597" w:rsidRDefault="00B372A3" w:rsidP="001741CA">
      <w:pPr>
        <w:pStyle w:val="Geenafstand"/>
        <w:jc w:val="both"/>
        <w:rPr>
          <w:rFonts w:cstheme="minorHAnsi"/>
          <w:sz w:val="18"/>
          <w:szCs w:val="18"/>
        </w:rPr>
      </w:pPr>
      <w:r w:rsidRPr="00147597">
        <w:rPr>
          <w:rStyle w:val="Voetnootmarkering"/>
          <w:rFonts w:cstheme="minorHAnsi"/>
          <w:sz w:val="18"/>
          <w:szCs w:val="18"/>
        </w:rPr>
        <w:footnoteRef/>
      </w:r>
      <w:r w:rsidRPr="00147597">
        <w:rPr>
          <w:rFonts w:cstheme="minorHAnsi"/>
          <w:sz w:val="18"/>
          <w:szCs w:val="18"/>
        </w:rPr>
        <w:t xml:space="preserve"> </w:t>
      </w:r>
      <w:r w:rsidRPr="00147597">
        <w:rPr>
          <w:rFonts w:eastAsia="Times New Roman" w:cstheme="minorHAnsi"/>
          <w:sz w:val="18"/>
          <w:szCs w:val="18"/>
          <w:lang w:eastAsia="nl-NL"/>
        </w:rPr>
        <w:t>EHRM</w:t>
      </w:r>
      <w:r w:rsidRPr="00147597">
        <w:rPr>
          <w:rFonts w:cstheme="minorHAnsi"/>
          <w:sz w:val="18"/>
          <w:szCs w:val="18"/>
        </w:rPr>
        <w:t xml:space="preserve"> 7 februari 2012, </w:t>
      </w:r>
      <w:hyperlink r:id="rId9" w:anchor="{&quot;appno&quot;:[&quot;40660/08&quot;]}" w:tgtFrame="_blank" w:history="1">
        <w:r w:rsidRPr="00147597">
          <w:rPr>
            <w:rFonts w:eastAsia="Times New Roman" w:cstheme="minorHAnsi"/>
            <w:sz w:val="18"/>
            <w:szCs w:val="18"/>
            <w:lang w:eastAsia="nl-NL"/>
          </w:rPr>
          <w:t>40660/08</w:t>
        </w:r>
      </w:hyperlink>
      <w:r w:rsidRPr="00147597">
        <w:rPr>
          <w:rFonts w:eastAsia="Times New Roman" w:cstheme="minorHAnsi"/>
          <w:sz w:val="18"/>
          <w:szCs w:val="18"/>
          <w:lang w:eastAsia="nl-NL"/>
        </w:rPr>
        <w:t xml:space="preserve"> en </w:t>
      </w:r>
      <w:hyperlink r:id="rId10" w:anchor="{&quot;appno&quot;:[&quot;60641/08&quot;]}" w:tgtFrame="_blank" w:history="1">
        <w:r w:rsidRPr="00147597">
          <w:rPr>
            <w:rFonts w:eastAsia="Times New Roman" w:cstheme="minorHAnsi"/>
            <w:sz w:val="18"/>
            <w:szCs w:val="18"/>
            <w:lang w:eastAsia="nl-NL"/>
          </w:rPr>
          <w:t>60641/08</w:t>
        </w:r>
      </w:hyperlink>
      <w:r w:rsidRPr="00147597">
        <w:rPr>
          <w:rFonts w:cstheme="minorHAnsi"/>
          <w:sz w:val="18"/>
          <w:szCs w:val="18"/>
        </w:rPr>
        <w:t xml:space="preserve"> (</w:t>
      </w:r>
      <w:r w:rsidRPr="00147597">
        <w:rPr>
          <w:rStyle w:val="wordhighlighted"/>
          <w:rFonts w:cstheme="minorHAnsi"/>
          <w:i/>
          <w:sz w:val="18"/>
          <w:szCs w:val="18"/>
        </w:rPr>
        <w:t>Von</w:t>
      </w:r>
      <w:r w:rsidRPr="00147597">
        <w:rPr>
          <w:rStyle w:val="s7d2086b4"/>
          <w:rFonts w:cstheme="minorHAnsi"/>
          <w:i/>
          <w:sz w:val="18"/>
          <w:szCs w:val="18"/>
        </w:rPr>
        <w:t xml:space="preserve"> </w:t>
      </w:r>
      <w:r w:rsidRPr="00147597">
        <w:rPr>
          <w:rStyle w:val="wordhighlighted"/>
          <w:rFonts w:cstheme="minorHAnsi"/>
          <w:i/>
          <w:sz w:val="18"/>
          <w:szCs w:val="18"/>
        </w:rPr>
        <w:t>Hannover</w:t>
      </w:r>
      <w:r w:rsidRPr="00147597">
        <w:rPr>
          <w:rStyle w:val="s7d2086b4"/>
          <w:rFonts w:cstheme="minorHAnsi"/>
          <w:sz w:val="18"/>
          <w:szCs w:val="18"/>
        </w:rPr>
        <w:t xml:space="preserve"> t. </w:t>
      </w:r>
      <w:r w:rsidRPr="00147597">
        <w:rPr>
          <w:rStyle w:val="s7d2086b4"/>
          <w:rFonts w:cstheme="minorHAnsi"/>
          <w:i/>
          <w:sz w:val="18"/>
          <w:szCs w:val="18"/>
        </w:rPr>
        <w:t>Duitsland</w:t>
      </w:r>
      <w:r w:rsidRPr="00147597">
        <w:rPr>
          <w:rStyle w:val="s7d2086b4"/>
          <w:rFonts w:cstheme="minorHAnsi"/>
          <w:sz w:val="18"/>
          <w:szCs w:val="18"/>
        </w:rPr>
        <w:t xml:space="preserve"> </w:t>
      </w:r>
      <w:r w:rsidRPr="00147597">
        <w:rPr>
          <w:rStyle w:val="s7d2086b4"/>
          <w:rFonts w:cstheme="minorHAnsi"/>
          <w:i/>
          <w:sz w:val="18"/>
          <w:szCs w:val="18"/>
        </w:rPr>
        <w:t>Nr. 2</w:t>
      </w:r>
      <w:r w:rsidRPr="00147597">
        <w:rPr>
          <w:rStyle w:val="s7d2086b4"/>
          <w:rFonts w:cstheme="minorHAnsi"/>
          <w:sz w:val="18"/>
          <w:szCs w:val="18"/>
        </w:rPr>
        <w:t>) (Grote Kamer).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63C3"/>
    <w:multiLevelType w:val="hybridMultilevel"/>
    <w:tmpl w:val="DF7C2B5C"/>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nl-NL" w:vendorID="64" w:dllVersion="131078" w:nlCheck="1" w:checkStyle="0"/>
  <w:activeWritingStyle w:appName="MSWord" w:lang="de-DE" w:vendorID="64" w:dllVersion="131078" w:nlCheck="1" w:checkStyle="0"/>
  <w:activeWritingStyle w:appName="MSWord" w:lang="en-GB"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4"/>
    <w:rsid w:val="000047B8"/>
    <w:rsid w:val="00007DCA"/>
    <w:rsid w:val="000133E6"/>
    <w:rsid w:val="00013C2B"/>
    <w:rsid w:val="000228F2"/>
    <w:rsid w:val="00024939"/>
    <w:rsid w:val="00031358"/>
    <w:rsid w:val="000437DB"/>
    <w:rsid w:val="00050DFF"/>
    <w:rsid w:val="000640FA"/>
    <w:rsid w:val="00064E6C"/>
    <w:rsid w:val="000677E7"/>
    <w:rsid w:val="00086429"/>
    <w:rsid w:val="000A3A68"/>
    <w:rsid w:val="000C18B4"/>
    <w:rsid w:val="000C7185"/>
    <w:rsid w:val="000D1F21"/>
    <w:rsid w:val="000E6878"/>
    <w:rsid w:val="000F22D2"/>
    <w:rsid w:val="0011066E"/>
    <w:rsid w:val="001254ED"/>
    <w:rsid w:val="001425F3"/>
    <w:rsid w:val="001473A1"/>
    <w:rsid w:val="00147597"/>
    <w:rsid w:val="0015203A"/>
    <w:rsid w:val="00166580"/>
    <w:rsid w:val="001702BB"/>
    <w:rsid w:val="001741CA"/>
    <w:rsid w:val="00176C31"/>
    <w:rsid w:val="001854C1"/>
    <w:rsid w:val="00186CB1"/>
    <w:rsid w:val="00196CDB"/>
    <w:rsid w:val="001A3DB3"/>
    <w:rsid w:val="001B038C"/>
    <w:rsid w:val="001B5F30"/>
    <w:rsid w:val="001C2B88"/>
    <w:rsid w:val="001C2C82"/>
    <w:rsid w:val="001F6DEA"/>
    <w:rsid w:val="00204AB2"/>
    <w:rsid w:val="002210AA"/>
    <w:rsid w:val="00226599"/>
    <w:rsid w:val="00230575"/>
    <w:rsid w:val="00240DC5"/>
    <w:rsid w:val="002425DB"/>
    <w:rsid w:val="0026060F"/>
    <w:rsid w:val="002655A5"/>
    <w:rsid w:val="00275F4A"/>
    <w:rsid w:val="00277987"/>
    <w:rsid w:val="002A17ED"/>
    <w:rsid w:val="002A6E74"/>
    <w:rsid w:val="002C211B"/>
    <w:rsid w:val="002C6B99"/>
    <w:rsid w:val="002D09E9"/>
    <w:rsid w:val="002D22DD"/>
    <w:rsid w:val="002D34D9"/>
    <w:rsid w:val="002E0280"/>
    <w:rsid w:val="002E20FE"/>
    <w:rsid w:val="002E4240"/>
    <w:rsid w:val="002F6D4E"/>
    <w:rsid w:val="002F6DC8"/>
    <w:rsid w:val="003058A5"/>
    <w:rsid w:val="00311E40"/>
    <w:rsid w:val="00311EF3"/>
    <w:rsid w:val="00321DCF"/>
    <w:rsid w:val="00333C15"/>
    <w:rsid w:val="00335412"/>
    <w:rsid w:val="003356B2"/>
    <w:rsid w:val="0033769F"/>
    <w:rsid w:val="003519B5"/>
    <w:rsid w:val="00376F08"/>
    <w:rsid w:val="00382844"/>
    <w:rsid w:val="0038422A"/>
    <w:rsid w:val="00391F7F"/>
    <w:rsid w:val="003A01F9"/>
    <w:rsid w:val="003A1AEF"/>
    <w:rsid w:val="003B34CE"/>
    <w:rsid w:val="003B4538"/>
    <w:rsid w:val="003D32AE"/>
    <w:rsid w:val="003E1450"/>
    <w:rsid w:val="003E5DF9"/>
    <w:rsid w:val="003F3DB1"/>
    <w:rsid w:val="003F55B5"/>
    <w:rsid w:val="00404030"/>
    <w:rsid w:val="00470E29"/>
    <w:rsid w:val="00474A22"/>
    <w:rsid w:val="00484899"/>
    <w:rsid w:val="004919E4"/>
    <w:rsid w:val="004C24D6"/>
    <w:rsid w:val="004C6C95"/>
    <w:rsid w:val="004D25AE"/>
    <w:rsid w:val="004D2C11"/>
    <w:rsid w:val="004E3CFD"/>
    <w:rsid w:val="005043D4"/>
    <w:rsid w:val="005059F0"/>
    <w:rsid w:val="00512F61"/>
    <w:rsid w:val="00523D36"/>
    <w:rsid w:val="005255A1"/>
    <w:rsid w:val="00545CD6"/>
    <w:rsid w:val="00550242"/>
    <w:rsid w:val="005605A9"/>
    <w:rsid w:val="00580FE2"/>
    <w:rsid w:val="0058714A"/>
    <w:rsid w:val="00596ADA"/>
    <w:rsid w:val="005B17E3"/>
    <w:rsid w:val="005B1C54"/>
    <w:rsid w:val="005B768A"/>
    <w:rsid w:val="005C4185"/>
    <w:rsid w:val="005C52D6"/>
    <w:rsid w:val="005D4DAD"/>
    <w:rsid w:val="005D4FE8"/>
    <w:rsid w:val="005D53EB"/>
    <w:rsid w:val="005E5CE3"/>
    <w:rsid w:val="005F1D12"/>
    <w:rsid w:val="006059B8"/>
    <w:rsid w:val="00606748"/>
    <w:rsid w:val="00616D41"/>
    <w:rsid w:val="00620637"/>
    <w:rsid w:val="00626EB7"/>
    <w:rsid w:val="00636FD5"/>
    <w:rsid w:val="006804A8"/>
    <w:rsid w:val="00694D4B"/>
    <w:rsid w:val="006A1C48"/>
    <w:rsid w:val="006C157E"/>
    <w:rsid w:val="006C4DFC"/>
    <w:rsid w:val="006F345A"/>
    <w:rsid w:val="006F665E"/>
    <w:rsid w:val="00711E51"/>
    <w:rsid w:val="0074049F"/>
    <w:rsid w:val="00763EBB"/>
    <w:rsid w:val="007661D7"/>
    <w:rsid w:val="007724AF"/>
    <w:rsid w:val="00783936"/>
    <w:rsid w:val="007857CE"/>
    <w:rsid w:val="00785A05"/>
    <w:rsid w:val="007931AB"/>
    <w:rsid w:val="007963D0"/>
    <w:rsid w:val="00796D85"/>
    <w:rsid w:val="007A55A6"/>
    <w:rsid w:val="007A5A6F"/>
    <w:rsid w:val="007B6F00"/>
    <w:rsid w:val="007E621C"/>
    <w:rsid w:val="008026A6"/>
    <w:rsid w:val="008102F1"/>
    <w:rsid w:val="00813661"/>
    <w:rsid w:val="008152F4"/>
    <w:rsid w:val="0081570B"/>
    <w:rsid w:val="008256C1"/>
    <w:rsid w:val="00834ECB"/>
    <w:rsid w:val="00837319"/>
    <w:rsid w:val="00837530"/>
    <w:rsid w:val="00852E67"/>
    <w:rsid w:val="00854B3A"/>
    <w:rsid w:val="008603B2"/>
    <w:rsid w:val="00872159"/>
    <w:rsid w:val="00897A59"/>
    <w:rsid w:val="008A0667"/>
    <w:rsid w:val="008A0F7B"/>
    <w:rsid w:val="008A3ACE"/>
    <w:rsid w:val="008B3BDC"/>
    <w:rsid w:val="008B5A8C"/>
    <w:rsid w:val="008C2B49"/>
    <w:rsid w:val="008D06E2"/>
    <w:rsid w:val="008D1360"/>
    <w:rsid w:val="008D5AFC"/>
    <w:rsid w:val="008D60F2"/>
    <w:rsid w:val="008F4243"/>
    <w:rsid w:val="009009C4"/>
    <w:rsid w:val="00907706"/>
    <w:rsid w:val="0091345B"/>
    <w:rsid w:val="00922E63"/>
    <w:rsid w:val="0093113F"/>
    <w:rsid w:val="00940943"/>
    <w:rsid w:val="009434DC"/>
    <w:rsid w:val="009556D4"/>
    <w:rsid w:val="009603E4"/>
    <w:rsid w:val="00963819"/>
    <w:rsid w:val="009640B3"/>
    <w:rsid w:val="009714A3"/>
    <w:rsid w:val="0099252D"/>
    <w:rsid w:val="009B6DCF"/>
    <w:rsid w:val="009C6D61"/>
    <w:rsid w:val="009E3C7C"/>
    <w:rsid w:val="009F221E"/>
    <w:rsid w:val="009F6405"/>
    <w:rsid w:val="00A27495"/>
    <w:rsid w:val="00A34CCA"/>
    <w:rsid w:val="00A40EA7"/>
    <w:rsid w:val="00A43753"/>
    <w:rsid w:val="00A4719F"/>
    <w:rsid w:val="00A50506"/>
    <w:rsid w:val="00A5792E"/>
    <w:rsid w:val="00A80264"/>
    <w:rsid w:val="00A90B65"/>
    <w:rsid w:val="00A95758"/>
    <w:rsid w:val="00AA04F2"/>
    <w:rsid w:val="00AA2D06"/>
    <w:rsid w:val="00AB4BD2"/>
    <w:rsid w:val="00AC41FC"/>
    <w:rsid w:val="00AD6C26"/>
    <w:rsid w:val="00AE0DB5"/>
    <w:rsid w:val="00AE4E44"/>
    <w:rsid w:val="00AE599A"/>
    <w:rsid w:val="00AE7356"/>
    <w:rsid w:val="00AF06B6"/>
    <w:rsid w:val="00AF0DD7"/>
    <w:rsid w:val="00AF3187"/>
    <w:rsid w:val="00B01C64"/>
    <w:rsid w:val="00B0434A"/>
    <w:rsid w:val="00B11CBB"/>
    <w:rsid w:val="00B20598"/>
    <w:rsid w:val="00B213BB"/>
    <w:rsid w:val="00B24400"/>
    <w:rsid w:val="00B372A3"/>
    <w:rsid w:val="00B41228"/>
    <w:rsid w:val="00B439F4"/>
    <w:rsid w:val="00B470B5"/>
    <w:rsid w:val="00B57F5D"/>
    <w:rsid w:val="00B61586"/>
    <w:rsid w:val="00B61B52"/>
    <w:rsid w:val="00B7478F"/>
    <w:rsid w:val="00B93799"/>
    <w:rsid w:val="00BA3D06"/>
    <w:rsid w:val="00BA467D"/>
    <w:rsid w:val="00BA5DA1"/>
    <w:rsid w:val="00BB001E"/>
    <w:rsid w:val="00BE08CC"/>
    <w:rsid w:val="00C05980"/>
    <w:rsid w:val="00C4027D"/>
    <w:rsid w:val="00C411BA"/>
    <w:rsid w:val="00C540DB"/>
    <w:rsid w:val="00C54859"/>
    <w:rsid w:val="00C55114"/>
    <w:rsid w:val="00C61DE0"/>
    <w:rsid w:val="00C6712C"/>
    <w:rsid w:val="00C87E0A"/>
    <w:rsid w:val="00CA30B1"/>
    <w:rsid w:val="00CB097A"/>
    <w:rsid w:val="00CE0DCE"/>
    <w:rsid w:val="00D15825"/>
    <w:rsid w:val="00D23D8E"/>
    <w:rsid w:val="00D53D1E"/>
    <w:rsid w:val="00D72978"/>
    <w:rsid w:val="00D8263B"/>
    <w:rsid w:val="00DC5B33"/>
    <w:rsid w:val="00DC6EE1"/>
    <w:rsid w:val="00DE0D55"/>
    <w:rsid w:val="00DF56AC"/>
    <w:rsid w:val="00E11783"/>
    <w:rsid w:val="00E14F0E"/>
    <w:rsid w:val="00E21B5A"/>
    <w:rsid w:val="00E52BEA"/>
    <w:rsid w:val="00E724A2"/>
    <w:rsid w:val="00E72FC8"/>
    <w:rsid w:val="00E8238D"/>
    <w:rsid w:val="00E92655"/>
    <w:rsid w:val="00ED77CD"/>
    <w:rsid w:val="00EE1F4F"/>
    <w:rsid w:val="00EE3A49"/>
    <w:rsid w:val="00EF09C9"/>
    <w:rsid w:val="00F0299C"/>
    <w:rsid w:val="00F05A5C"/>
    <w:rsid w:val="00F109D6"/>
    <w:rsid w:val="00F13A81"/>
    <w:rsid w:val="00F16B19"/>
    <w:rsid w:val="00F16C56"/>
    <w:rsid w:val="00F2322D"/>
    <w:rsid w:val="00F30BC1"/>
    <w:rsid w:val="00F40581"/>
    <w:rsid w:val="00F4613D"/>
    <w:rsid w:val="00F771F0"/>
    <w:rsid w:val="00F97504"/>
    <w:rsid w:val="00FA43CE"/>
    <w:rsid w:val="00FC1FDC"/>
    <w:rsid w:val="00FC4FB6"/>
    <w:rsid w:val="00FC5D7E"/>
    <w:rsid w:val="00FD0765"/>
    <w:rsid w:val="00FD7AE8"/>
    <w:rsid w:val="00FF63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71AB"/>
  <w15:docId w15:val="{00F24E98-3A32-40E0-8DEF-8B242A78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6712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6712C"/>
    <w:pPr>
      <w:spacing w:after="0" w:line="240" w:lineRule="auto"/>
    </w:pPr>
    <w:rPr>
      <w:sz w:val="20"/>
      <w:szCs w:val="20"/>
    </w:rPr>
  </w:style>
  <w:style w:type="character" w:customStyle="1" w:styleId="VoetnoottekstChar">
    <w:name w:val="Voetnoottekst Char"/>
    <w:basedOn w:val="Standaardalinea-lettertype"/>
    <w:link w:val="Voetnoottekst"/>
    <w:uiPriority w:val="99"/>
    <w:rsid w:val="00C6712C"/>
    <w:rPr>
      <w:sz w:val="20"/>
      <w:szCs w:val="20"/>
    </w:rPr>
  </w:style>
  <w:style w:type="character" w:styleId="Voetnootmarkering">
    <w:name w:val="footnote reference"/>
    <w:basedOn w:val="Standaardalinea-lettertype"/>
    <w:uiPriority w:val="99"/>
    <w:semiHidden/>
    <w:unhideWhenUsed/>
    <w:rsid w:val="00C6712C"/>
    <w:rPr>
      <w:vertAlign w:val="superscript"/>
    </w:rPr>
  </w:style>
  <w:style w:type="paragraph" w:styleId="Ballontekst">
    <w:name w:val="Balloon Text"/>
    <w:basedOn w:val="Standaard"/>
    <w:link w:val="BallontekstChar"/>
    <w:uiPriority w:val="99"/>
    <w:semiHidden/>
    <w:unhideWhenUsed/>
    <w:rsid w:val="00C671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12C"/>
    <w:rPr>
      <w:rFonts w:ascii="Segoe UI" w:hAnsi="Segoe UI" w:cs="Segoe UI"/>
      <w:sz w:val="18"/>
      <w:szCs w:val="18"/>
    </w:rPr>
  </w:style>
  <w:style w:type="character" w:styleId="Verwijzingopmerking">
    <w:name w:val="annotation reference"/>
    <w:basedOn w:val="Standaardalinea-lettertype"/>
    <w:uiPriority w:val="99"/>
    <w:semiHidden/>
    <w:unhideWhenUsed/>
    <w:rsid w:val="00C6712C"/>
    <w:rPr>
      <w:sz w:val="16"/>
      <w:szCs w:val="16"/>
    </w:rPr>
  </w:style>
  <w:style w:type="paragraph" w:styleId="Tekstopmerking">
    <w:name w:val="annotation text"/>
    <w:basedOn w:val="Standaard"/>
    <w:link w:val="TekstopmerkingChar"/>
    <w:uiPriority w:val="99"/>
    <w:unhideWhenUsed/>
    <w:rsid w:val="00C6712C"/>
    <w:pPr>
      <w:spacing w:line="240" w:lineRule="auto"/>
    </w:pPr>
    <w:rPr>
      <w:sz w:val="20"/>
      <w:szCs w:val="20"/>
    </w:rPr>
  </w:style>
  <w:style w:type="character" w:customStyle="1" w:styleId="TekstopmerkingChar">
    <w:name w:val="Tekst opmerking Char"/>
    <w:basedOn w:val="Standaardalinea-lettertype"/>
    <w:link w:val="Tekstopmerking"/>
    <w:uiPriority w:val="99"/>
    <w:rsid w:val="00C6712C"/>
    <w:rPr>
      <w:sz w:val="20"/>
      <w:szCs w:val="20"/>
    </w:rPr>
  </w:style>
  <w:style w:type="paragraph" w:styleId="Onderwerpvanopmerking">
    <w:name w:val="annotation subject"/>
    <w:basedOn w:val="Tekstopmerking"/>
    <w:next w:val="Tekstopmerking"/>
    <w:link w:val="OnderwerpvanopmerkingChar"/>
    <w:uiPriority w:val="99"/>
    <w:semiHidden/>
    <w:unhideWhenUsed/>
    <w:rsid w:val="00C6712C"/>
    <w:rPr>
      <w:b/>
      <w:bCs/>
    </w:rPr>
  </w:style>
  <w:style w:type="character" w:customStyle="1" w:styleId="OnderwerpvanopmerkingChar">
    <w:name w:val="Onderwerp van opmerking Char"/>
    <w:basedOn w:val="TekstopmerkingChar"/>
    <w:link w:val="Onderwerpvanopmerking"/>
    <w:uiPriority w:val="99"/>
    <w:semiHidden/>
    <w:rsid w:val="00C6712C"/>
    <w:rPr>
      <w:b/>
      <w:bCs/>
      <w:sz w:val="20"/>
      <w:szCs w:val="20"/>
    </w:rPr>
  </w:style>
  <w:style w:type="character" w:customStyle="1" w:styleId="Kop1Char">
    <w:name w:val="Kop 1 Char"/>
    <w:basedOn w:val="Standaardalinea-lettertype"/>
    <w:link w:val="Kop1"/>
    <w:uiPriority w:val="9"/>
    <w:rsid w:val="00C6712C"/>
    <w:rPr>
      <w:rFonts w:asciiTheme="majorHAnsi" w:eastAsiaTheme="majorEastAsia" w:hAnsiTheme="majorHAnsi" w:cstheme="majorBidi"/>
      <w:b/>
      <w:bCs/>
      <w:color w:val="2E74B5" w:themeColor="accent1" w:themeShade="BF"/>
      <w:sz w:val="28"/>
      <w:szCs w:val="28"/>
      <w:lang w:eastAsia="nl-NL"/>
    </w:rPr>
  </w:style>
  <w:style w:type="character" w:styleId="Hyperlink">
    <w:name w:val="Hyperlink"/>
    <w:basedOn w:val="Standaardalinea-lettertype"/>
    <w:uiPriority w:val="99"/>
    <w:unhideWhenUsed/>
    <w:rsid w:val="002C6B99"/>
    <w:rPr>
      <w:color w:val="0563C1" w:themeColor="hyperlink"/>
      <w:u w:val="single"/>
    </w:rPr>
  </w:style>
  <w:style w:type="character" w:styleId="Zwaar">
    <w:name w:val="Strong"/>
    <w:basedOn w:val="Standaardalinea-lettertype"/>
    <w:uiPriority w:val="22"/>
    <w:qFormat/>
    <w:rsid w:val="002C6B99"/>
    <w:rPr>
      <w:b/>
      <w:bCs/>
    </w:rPr>
  </w:style>
  <w:style w:type="character" w:customStyle="1" w:styleId="apple-converted-space">
    <w:name w:val="apple-converted-space"/>
    <w:basedOn w:val="Standaardalinea-lettertype"/>
    <w:rsid w:val="002425DB"/>
  </w:style>
  <w:style w:type="character" w:styleId="Nadruk">
    <w:name w:val="Emphasis"/>
    <w:basedOn w:val="Standaardalinea-lettertype"/>
    <w:uiPriority w:val="20"/>
    <w:qFormat/>
    <w:rsid w:val="00AE4E44"/>
    <w:rPr>
      <w:i/>
      <w:iCs/>
    </w:rPr>
  </w:style>
  <w:style w:type="paragraph" w:customStyle="1" w:styleId="s32b251d">
    <w:name w:val="s32b251d"/>
    <w:basedOn w:val="Standaard"/>
    <w:rsid w:val="000C718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922E63"/>
    <w:pPr>
      <w:spacing w:after="225" w:line="240" w:lineRule="auto"/>
    </w:pPr>
    <w:rPr>
      <w:rFonts w:ascii="Times New Roman" w:eastAsia="Times New Roman" w:hAnsi="Times New Roman" w:cs="Times New Roman"/>
      <w:sz w:val="24"/>
      <w:szCs w:val="24"/>
      <w:lang w:eastAsia="nl-NL"/>
    </w:rPr>
  </w:style>
  <w:style w:type="character" w:customStyle="1" w:styleId="s7d2086b4">
    <w:name w:val="s7d2086b4"/>
    <w:basedOn w:val="Standaardalinea-lettertype"/>
    <w:rsid w:val="00FC1FDC"/>
  </w:style>
  <w:style w:type="character" w:customStyle="1" w:styleId="wordhighlighted">
    <w:name w:val="wordhighlighted"/>
    <w:basedOn w:val="Standaardalinea-lettertype"/>
    <w:rsid w:val="00FC1FDC"/>
  </w:style>
  <w:style w:type="paragraph" w:styleId="Geenafstand">
    <w:name w:val="No Spacing"/>
    <w:uiPriority w:val="1"/>
    <w:qFormat/>
    <w:rsid w:val="00EF09C9"/>
    <w:pPr>
      <w:spacing w:after="0" w:line="240" w:lineRule="auto"/>
    </w:pPr>
  </w:style>
  <w:style w:type="paragraph" w:styleId="Revisie">
    <w:name w:val="Revision"/>
    <w:hidden/>
    <w:uiPriority w:val="99"/>
    <w:semiHidden/>
    <w:rsid w:val="00A90B65"/>
    <w:pPr>
      <w:spacing w:after="0" w:line="240" w:lineRule="auto"/>
    </w:pPr>
  </w:style>
  <w:style w:type="paragraph" w:styleId="Koptekst">
    <w:name w:val="header"/>
    <w:basedOn w:val="Standaard"/>
    <w:link w:val="KoptekstChar"/>
    <w:uiPriority w:val="99"/>
    <w:unhideWhenUsed/>
    <w:rsid w:val="00F232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322D"/>
  </w:style>
  <w:style w:type="paragraph" w:styleId="Voettekst">
    <w:name w:val="footer"/>
    <w:basedOn w:val="Standaard"/>
    <w:link w:val="VoettekstChar"/>
    <w:uiPriority w:val="99"/>
    <w:unhideWhenUsed/>
    <w:rsid w:val="00F232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322D"/>
  </w:style>
  <w:style w:type="character" w:styleId="GevolgdeHyperlink">
    <w:name w:val="FollowedHyperlink"/>
    <w:basedOn w:val="Standaardalinea-lettertype"/>
    <w:uiPriority w:val="99"/>
    <w:semiHidden/>
    <w:unhideWhenUsed/>
    <w:rsid w:val="00F10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3746">
      <w:bodyDiv w:val="1"/>
      <w:marLeft w:val="0"/>
      <w:marRight w:val="0"/>
      <w:marTop w:val="0"/>
      <w:marBottom w:val="0"/>
      <w:divBdr>
        <w:top w:val="none" w:sz="0" w:space="0" w:color="auto"/>
        <w:left w:val="none" w:sz="0" w:space="0" w:color="auto"/>
        <w:bottom w:val="none" w:sz="0" w:space="0" w:color="auto"/>
        <w:right w:val="none" w:sz="0" w:space="0" w:color="auto"/>
      </w:divBdr>
      <w:divsChild>
        <w:div w:id="1887912134">
          <w:marLeft w:val="0"/>
          <w:marRight w:val="0"/>
          <w:marTop w:val="0"/>
          <w:marBottom w:val="0"/>
          <w:divBdr>
            <w:top w:val="none" w:sz="0" w:space="0" w:color="auto"/>
            <w:left w:val="none" w:sz="0" w:space="0" w:color="auto"/>
            <w:bottom w:val="none" w:sz="0" w:space="0" w:color="auto"/>
            <w:right w:val="none" w:sz="0" w:space="0" w:color="auto"/>
          </w:divBdr>
          <w:divsChild>
            <w:div w:id="1468085425">
              <w:marLeft w:val="0"/>
              <w:marRight w:val="0"/>
              <w:marTop w:val="0"/>
              <w:marBottom w:val="0"/>
              <w:divBdr>
                <w:top w:val="none" w:sz="0" w:space="0" w:color="auto"/>
                <w:left w:val="none" w:sz="0" w:space="0" w:color="auto"/>
                <w:bottom w:val="none" w:sz="0" w:space="0" w:color="auto"/>
                <w:right w:val="none" w:sz="0" w:space="0" w:color="auto"/>
              </w:divBdr>
              <w:divsChild>
                <w:div w:id="697313692">
                  <w:marLeft w:val="0"/>
                  <w:marRight w:val="0"/>
                  <w:marTop w:val="0"/>
                  <w:marBottom w:val="0"/>
                  <w:divBdr>
                    <w:top w:val="none" w:sz="0" w:space="0" w:color="auto"/>
                    <w:left w:val="none" w:sz="0" w:space="0" w:color="auto"/>
                    <w:bottom w:val="none" w:sz="0" w:space="0" w:color="auto"/>
                    <w:right w:val="none" w:sz="0" w:space="0" w:color="auto"/>
                  </w:divBdr>
                  <w:divsChild>
                    <w:div w:id="1304694653">
                      <w:marLeft w:val="0"/>
                      <w:marRight w:val="0"/>
                      <w:marTop w:val="0"/>
                      <w:marBottom w:val="0"/>
                      <w:divBdr>
                        <w:top w:val="none" w:sz="0" w:space="0" w:color="auto"/>
                        <w:left w:val="none" w:sz="0" w:space="0" w:color="auto"/>
                        <w:bottom w:val="none" w:sz="0" w:space="0" w:color="auto"/>
                        <w:right w:val="none" w:sz="0" w:space="0" w:color="auto"/>
                      </w:divBdr>
                      <w:divsChild>
                        <w:div w:id="642346711">
                          <w:marLeft w:val="0"/>
                          <w:marRight w:val="0"/>
                          <w:marTop w:val="0"/>
                          <w:marBottom w:val="0"/>
                          <w:divBdr>
                            <w:top w:val="none" w:sz="0" w:space="0" w:color="auto"/>
                            <w:left w:val="none" w:sz="0" w:space="0" w:color="auto"/>
                            <w:bottom w:val="none" w:sz="0" w:space="0" w:color="auto"/>
                            <w:right w:val="none" w:sz="0" w:space="0" w:color="auto"/>
                          </w:divBdr>
                          <w:divsChild>
                            <w:div w:id="4009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99787">
      <w:bodyDiv w:val="1"/>
      <w:marLeft w:val="0"/>
      <w:marRight w:val="0"/>
      <w:marTop w:val="0"/>
      <w:marBottom w:val="0"/>
      <w:divBdr>
        <w:top w:val="none" w:sz="0" w:space="0" w:color="auto"/>
        <w:left w:val="none" w:sz="0" w:space="0" w:color="auto"/>
        <w:bottom w:val="none" w:sz="0" w:space="0" w:color="auto"/>
        <w:right w:val="none" w:sz="0" w:space="0" w:color="auto"/>
      </w:divBdr>
    </w:div>
    <w:div w:id="1116489089">
      <w:bodyDiv w:val="1"/>
      <w:marLeft w:val="0"/>
      <w:marRight w:val="0"/>
      <w:marTop w:val="0"/>
      <w:marBottom w:val="0"/>
      <w:divBdr>
        <w:top w:val="none" w:sz="0" w:space="0" w:color="auto"/>
        <w:left w:val="none" w:sz="0" w:space="0" w:color="auto"/>
        <w:bottom w:val="none" w:sz="0" w:space="0" w:color="auto"/>
        <w:right w:val="none" w:sz="0" w:space="0" w:color="auto"/>
      </w:divBdr>
      <w:divsChild>
        <w:div w:id="81151309">
          <w:marLeft w:val="0"/>
          <w:marRight w:val="0"/>
          <w:marTop w:val="0"/>
          <w:marBottom w:val="0"/>
          <w:divBdr>
            <w:top w:val="none" w:sz="0" w:space="0" w:color="auto"/>
            <w:left w:val="none" w:sz="0" w:space="0" w:color="auto"/>
            <w:bottom w:val="none" w:sz="0" w:space="0" w:color="auto"/>
            <w:right w:val="none" w:sz="0" w:space="0" w:color="auto"/>
          </w:divBdr>
          <w:divsChild>
            <w:div w:id="1755274253">
              <w:marLeft w:val="0"/>
              <w:marRight w:val="0"/>
              <w:marTop w:val="0"/>
              <w:marBottom w:val="0"/>
              <w:divBdr>
                <w:top w:val="none" w:sz="0" w:space="0" w:color="auto"/>
                <w:left w:val="none" w:sz="0" w:space="0" w:color="auto"/>
                <w:bottom w:val="none" w:sz="0" w:space="0" w:color="auto"/>
                <w:right w:val="none" w:sz="0" w:space="0" w:color="auto"/>
              </w:divBdr>
              <w:divsChild>
                <w:div w:id="1129516653">
                  <w:marLeft w:val="-225"/>
                  <w:marRight w:val="-225"/>
                  <w:marTop w:val="0"/>
                  <w:marBottom w:val="0"/>
                  <w:divBdr>
                    <w:top w:val="none" w:sz="0" w:space="0" w:color="auto"/>
                    <w:left w:val="none" w:sz="0" w:space="0" w:color="auto"/>
                    <w:bottom w:val="none" w:sz="0" w:space="0" w:color="auto"/>
                    <w:right w:val="none" w:sz="0" w:space="0" w:color="auto"/>
                  </w:divBdr>
                  <w:divsChild>
                    <w:div w:id="1217543451">
                      <w:marLeft w:val="0"/>
                      <w:marRight w:val="0"/>
                      <w:marTop w:val="0"/>
                      <w:marBottom w:val="0"/>
                      <w:divBdr>
                        <w:top w:val="none" w:sz="0" w:space="0" w:color="auto"/>
                        <w:left w:val="none" w:sz="0" w:space="0" w:color="auto"/>
                        <w:bottom w:val="none" w:sz="0" w:space="0" w:color="auto"/>
                        <w:right w:val="none" w:sz="0" w:space="0" w:color="auto"/>
                      </w:divBdr>
                      <w:divsChild>
                        <w:div w:id="3153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00088">
      <w:bodyDiv w:val="1"/>
      <w:marLeft w:val="0"/>
      <w:marRight w:val="0"/>
      <w:marTop w:val="0"/>
      <w:marBottom w:val="0"/>
      <w:divBdr>
        <w:top w:val="none" w:sz="0" w:space="0" w:color="auto"/>
        <w:left w:val="none" w:sz="0" w:space="0" w:color="auto"/>
        <w:bottom w:val="none" w:sz="0" w:space="0" w:color="auto"/>
        <w:right w:val="none" w:sz="0" w:space="0" w:color="auto"/>
      </w:divBdr>
      <w:divsChild>
        <w:div w:id="119762864">
          <w:marLeft w:val="0"/>
          <w:marRight w:val="0"/>
          <w:marTop w:val="0"/>
          <w:marBottom w:val="0"/>
          <w:divBdr>
            <w:top w:val="none" w:sz="0" w:space="0" w:color="auto"/>
            <w:left w:val="none" w:sz="0" w:space="0" w:color="auto"/>
            <w:bottom w:val="none" w:sz="0" w:space="0" w:color="auto"/>
            <w:right w:val="none" w:sz="0" w:space="0" w:color="auto"/>
          </w:divBdr>
          <w:divsChild>
            <w:div w:id="1999337911">
              <w:marLeft w:val="0"/>
              <w:marRight w:val="0"/>
              <w:marTop w:val="0"/>
              <w:marBottom w:val="0"/>
              <w:divBdr>
                <w:top w:val="none" w:sz="0" w:space="0" w:color="auto"/>
                <w:left w:val="none" w:sz="0" w:space="0" w:color="auto"/>
                <w:bottom w:val="none" w:sz="0" w:space="0" w:color="auto"/>
                <w:right w:val="none" w:sz="0" w:space="0" w:color="auto"/>
              </w:divBdr>
              <w:divsChild>
                <w:div w:id="399909617">
                  <w:marLeft w:val="0"/>
                  <w:marRight w:val="0"/>
                  <w:marTop w:val="0"/>
                  <w:marBottom w:val="0"/>
                  <w:divBdr>
                    <w:top w:val="none" w:sz="0" w:space="0" w:color="auto"/>
                    <w:left w:val="none" w:sz="0" w:space="0" w:color="auto"/>
                    <w:bottom w:val="none" w:sz="0" w:space="0" w:color="auto"/>
                    <w:right w:val="none" w:sz="0" w:space="0" w:color="auto"/>
                  </w:divBdr>
                  <w:divsChild>
                    <w:div w:id="1249462981">
                      <w:marLeft w:val="0"/>
                      <w:marRight w:val="0"/>
                      <w:marTop w:val="0"/>
                      <w:marBottom w:val="0"/>
                      <w:divBdr>
                        <w:top w:val="none" w:sz="0" w:space="0" w:color="auto"/>
                        <w:left w:val="none" w:sz="0" w:space="0" w:color="auto"/>
                        <w:bottom w:val="none" w:sz="0" w:space="0" w:color="auto"/>
                        <w:right w:val="none" w:sz="0" w:space="0" w:color="auto"/>
                      </w:divBdr>
                      <w:divsChild>
                        <w:div w:id="1828545181">
                          <w:marLeft w:val="0"/>
                          <w:marRight w:val="0"/>
                          <w:marTop w:val="0"/>
                          <w:marBottom w:val="0"/>
                          <w:divBdr>
                            <w:top w:val="none" w:sz="0" w:space="0" w:color="auto"/>
                            <w:left w:val="none" w:sz="0" w:space="0" w:color="auto"/>
                            <w:bottom w:val="none" w:sz="0" w:space="0" w:color="auto"/>
                            <w:right w:val="none" w:sz="0" w:space="0" w:color="auto"/>
                          </w:divBdr>
                          <w:divsChild>
                            <w:div w:id="20436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67263">
      <w:bodyDiv w:val="1"/>
      <w:marLeft w:val="0"/>
      <w:marRight w:val="0"/>
      <w:marTop w:val="0"/>
      <w:marBottom w:val="0"/>
      <w:divBdr>
        <w:top w:val="none" w:sz="0" w:space="0" w:color="auto"/>
        <w:left w:val="none" w:sz="0" w:space="0" w:color="auto"/>
        <w:bottom w:val="none" w:sz="0" w:space="0" w:color="auto"/>
        <w:right w:val="none" w:sz="0" w:space="0" w:color="auto"/>
      </w:divBdr>
      <w:divsChild>
        <w:div w:id="1522939893">
          <w:marLeft w:val="0"/>
          <w:marRight w:val="0"/>
          <w:marTop w:val="0"/>
          <w:marBottom w:val="0"/>
          <w:divBdr>
            <w:top w:val="none" w:sz="0" w:space="0" w:color="auto"/>
            <w:left w:val="none" w:sz="0" w:space="0" w:color="auto"/>
            <w:bottom w:val="none" w:sz="0" w:space="0" w:color="auto"/>
            <w:right w:val="none" w:sz="0" w:space="0" w:color="auto"/>
          </w:divBdr>
          <w:divsChild>
            <w:div w:id="513034774">
              <w:marLeft w:val="0"/>
              <w:marRight w:val="0"/>
              <w:marTop w:val="0"/>
              <w:marBottom w:val="0"/>
              <w:divBdr>
                <w:top w:val="none" w:sz="0" w:space="0" w:color="auto"/>
                <w:left w:val="none" w:sz="0" w:space="0" w:color="auto"/>
                <w:bottom w:val="none" w:sz="0" w:space="0" w:color="auto"/>
                <w:right w:val="none" w:sz="0" w:space="0" w:color="auto"/>
              </w:divBdr>
              <w:divsChild>
                <w:div w:id="977801952">
                  <w:marLeft w:val="0"/>
                  <w:marRight w:val="0"/>
                  <w:marTop w:val="0"/>
                  <w:marBottom w:val="0"/>
                  <w:divBdr>
                    <w:top w:val="none" w:sz="0" w:space="0" w:color="auto"/>
                    <w:left w:val="none" w:sz="0" w:space="0" w:color="auto"/>
                    <w:bottom w:val="none" w:sz="0" w:space="0" w:color="auto"/>
                    <w:right w:val="none" w:sz="0" w:space="0" w:color="auto"/>
                  </w:divBdr>
                  <w:divsChild>
                    <w:div w:id="324822011">
                      <w:marLeft w:val="0"/>
                      <w:marRight w:val="0"/>
                      <w:marTop w:val="0"/>
                      <w:marBottom w:val="0"/>
                      <w:divBdr>
                        <w:top w:val="none" w:sz="0" w:space="0" w:color="auto"/>
                        <w:left w:val="none" w:sz="0" w:space="0" w:color="auto"/>
                        <w:bottom w:val="none" w:sz="0" w:space="0" w:color="auto"/>
                        <w:right w:val="none" w:sz="0" w:space="0" w:color="auto"/>
                      </w:divBdr>
                      <w:divsChild>
                        <w:div w:id="838152469">
                          <w:marLeft w:val="0"/>
                          <w:marRight w:val="0"/>
                          <w:marTop w:val="0"/>
                          <w:marBottom w:val="0"/>
                          <w:divBdr>
                            <w:top w:val="none" w:sz="0" w:space="0" w:color="auto"/>
                            <w:left w:val="none" w:sz="0" w:space="0" w:color="auto"/>
                            <w:bottom w:val="none" w:sz="0" w:space="0" w:color="auto"/>
                            <w:right w:val="none" w:sz="0" w:space="0" w:color="auto"/>
                          </w:divBdr>
                          <w:divsChild>
                            <w:div w:id="14677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33948">
      <w:bodyDiv w:val="1"/>
      <w:marLeft w:val="0"/>
      <w:marRight w:val="0"/>
      <w:marTop w:val="0"/>
      <w:marBottom w:val="0"/>
      <w:divBdr>
        <w:top w:val="none" w:sz="0" w:space="0" w:color="auto"/>
        <w:left w:val="none" w:sz="0" w:space="0" w:color="auto"/>
        <w:bottom w:val="none" w:sz="0" w:space="0" w:color="auto"/>
        <w:right w:val="none" w:sz="0" w:space="0" w:color="auto"/>
      </w:divBdr>
      <w:divsChild>
        <w:div w:id="1815876185">
          <w:marLeft w:val="0"/>
          <w:marRight w:val="0"/>
          <w:marTop w:val="0"/>
          <w:marBottom w:val="0"/>
          <w:divBdr>
            <w:top w:val="none" w:sz="0" w:space="0" w:color="auto"/>
            <w:left w:val="none" w:sz="0" w:space="0" w:color="auto"/>
            <w:bottom w:val="none" w:sz="0" w:space="0" w:color="auto"/>
            <w:right w:val="none" w:sz="0" w:space="0" w:color="auto"/>
          </w:divBdr>
          <w:divsChild>
            <w:div w:id="119690529">
              <w:marLeft w:val="0"/>
              <w:marRight w:val="0"/>
              <w:marTop w:val="0"/>
              <w:marBottom w:val="0"/>
              <w:divBdr>
                <w:top w:val="none" w:sz="0" w:space="0" w:color="auto"/>
                <w:left w:val="none" w:sz="0" w:space="0" w:color="auto"/>
                <w:bottom w:val="none" w:sz="0" w:space="0" w:color="auto"/>
                <w:right w:val="none" w:sz="0" w:space="0" w:color="auto"/>
              </w:divBdr>
              <w:divsChild>
                <w:div w:id="579142623">
                  <w:marLeft w:val="0"/>
                  <w:marRight w:val="0"/>
                  <w:marTop w:val="0"/>
                  <w:marBottom w:val="0"/>
                  <w:divBdr>
                    <w:top w:val="none" w:sz="0" w:space="0" w:color="auto"/>
                    <w:left w:val="none" w:sz="0" w:space="0" w:color="auto"/>
                    <w:bottom w:val="none" w:sz="0" w:space="0" w:color="auto"/>
                    <w:right w:val="none" w:sz="0" w:space="0" w:color="auto"/>
                  </w:divBdr>
                  <w:divsChild>
                    <w:div w:id="1019772030">
                      <w:marLeft w:val="0"/>
                      <w:marRight w:val="0"/>
                      <w:marTop w:val="0"/>
                      <w:marBottom w:val="0"/>
                      <w:divBdr>
                        <w:top w:val="none" w:sz="0" w:space="0" w:color="auto"/>
                        <w:left w:val="none" w:sz="0" w:space="0" w:color="auto"/>
                        <w:bottom w:val="none" w:sz="0" w:space="0" w:color="auto"/>
                        <w:right w:val="none" w:sz="0" w:space="0" w:color="auto"/>
                      </w:divBdr>
                      <w:divsChild>
                        <w:div w:id="1943763161">
                          <w:marLeft w:val="0"/>
                          <w:marRight w:val="0"/>
                          <w:marTop w:val="0"/>
                          <w:marBottom w:val="0"/>
                          <w:divBdr>
                            <w:top w:val="none" w:sz="0" w:space="0" w:color="auto"/>
                            <w:left w:val="none" w:sz="0" w:space="0" w:color="auto"/>
                            <w:bottom w:val="none" w:sz="0" w:space="0" w:color="auto"/>
                            <w:right w:val="none" w:sz="0" w:space="0" w:color="auto"/>
                          </w:divBdr>
                          <w:divsChild>
                            <w:div w:id="18578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605505">
      <w:bodyDiv w:val="1"/>
      <w:marLeft w:val="0"/>
      <w:marRight w:val="0"/>
      <w:marTop w:val="0"/>
      <w:marBottom w:val="0"/>
      <w:divBdr>
        <w:top w:val="none" w:sz="0" w:space="0" w:color="auto"/>
        <w:left w:val="none" w:sz="0" w:space="0" w:color="auto"/>
        <w:bottom w:val="none" w:sz="0" w:space="0" w:color="auto"/>
        <w:right w:val="none" w:sz="0" w:space="0" w:color="auto"/>
      </w:divBdr>
      <w:divsChild>
        <w:div w:id="1703440148">
          <w:marLeft w:val="0"/>
          <w:marRight w:val="0"/>
          <w:marTop w:val="0"/>
          <w:marBottom w:val="0"/>
          <w:divBdr>
            <w:top w:val="none" w:sz="0" w:space="0" w:color="auto"/>
            <w:left w:val="none" w:sz="0" w:space="0" w:color="auto"/>
            <w:bottom w:val="none" w:sz="0" w:space="0" w:color="auto"/>
            <w:right w:val="none" w:sz="0" w:space="0" w:color="auto"/>
          </w:divBdr>
          <w:divsChild>
            <w:div w:id="1251692098">
              <w:marLeft w:val="0"/>
              <w:marRight w:val="0"/>
              <w:marTop w:val="0"/>
              <w:marBottom w:val="0"/>
              <w:divBdr>
                <w:top w:val="none" w:sz="0" w:space="0" w:color="auto"/>
                <w:left w:val="none" w:sz="0" w:space="0" w:color="auto"/>
                <w:bottom w:val="none" w:sz="0" w:space="0" w:color="auto"/>
                <w:right w:val="none" w:sz="0" w:space="0" w:color="auto"/>
              </w:divBdr>
              <w:divsChild>
                <w:div w:id="1088698070">
                  <w:marLeft w:val="0"/>
                  <w:marRight w:val="0"/>
                  <w:marTop w:val="0"/>
                  <w:marBottom w:val="0"/>
                  <w:divBdr>
                    <w:top w:val="none" w:sz="0" w:space="0" w:color="auto"/>
                    <w:left w:val="none" w:sz="0" w:space="0" w:color="auto"/>
                    <w:bottom w:val="none" w:sz="0" w:space="0" w:color="auto"/>
                    <w:right w:val="none" w:sz="0" w:space="0" w:color="auto"/>
                  </w:divBdr>
                  <w:divsChild>
                    <w:div w:id="1964312034">
                      <w:marLeft w:val="0"/>
                      <w:marRight w:val="0"/>
                      <w:marTop w:val="0"/>
                      <w:marBottom w:val="0"/>
                      <w:divBdr>
                        <w:top w:val="none" w:sz="0" w:space="0" w:color="auto"/>
                        <w:left w:val="none" w:sz="0" w:space="0" w:color="auto"/>
                        <w:bottom w:val="none" w:sz="0" w:space="0" w:color="auto"/>
                        <w:right w:val="none" w:sz="0" w:space="0" w:color="auto"/>
                      </w:divBdr>
                      <w:divsChild>
                        <w:div w:id="2060856903">
                          <w:marLeft w:val="0"/>
                          <w:marRight w:val="0"/>
                          <w:marTop w:val="0"/>
                          <w:marBottom w:val="0"/>
                          <w:divBdr>
                            <w:top w:val="none" w:sz="0" w:space="0" w:color="auto"/>
                            <w:left w:val="none" w:sz="0" w:space="0" w:color="auto"/>
                            <w:bottom w:val="none" w:sz="0" w:space="0" w:color="auto"/>
                            <w:right w:val="none" w:sz="0" w:space="0" w:color="auto"/>
                          </w:divBdr>
                          <w:divsChild>
                            <w:div w:id="21263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 TargetMode="External"/><Relationship Id="rId3" Type="http://schemas.openxmlformats.org/officeDocument/2006/relationships/hyperlink" Target="http://hudoc.echr.coe.int/eng" TargetMode="External"/><Relationship Id="rId7" Type="http://schemas.openxmlformats.org/officeDocument/2006/relationships/hyperlink" Target="http://portal.rechtsorde.nl/pages/hybridredirect.ashx?redirecturl=https%3a%2f%2fhybrid.kluwer.nl%2fdisplay%3fd%3did3bb9505e07b94ebc8a4457ed565930aa%26cip%3dhybrid%26idp%3dhttps%253a%252f%252flogin.rechtsorde.nl%252fsso%26h1%3d(C-399%2f11)%26v%3df" TargetMode="External"/><Relationship Id="rId2" Type="http://schemas.openxmlformats.org/officeDocument/2006/relationships/hyperlink" Target="http://hudoc.echr.coe.int/eng" TargetMode="External"/><Relationship Id="rId1" Type="http://schemas.openxmlformats.org/officeDocument/2006/relationships/hyperlink" Target="http://hudoc.echr.coe.int/eng" TargetMode="External"/><Relationship Id="rId6" Type="http://schemas.openxmlformats.org/officeDocument/2006/relationships/hyperlink" Target="http://hudoc.echr.coe.int/eng" TargetMode="External"/><Relationship Id="rId5" Type="http://schemas.openxmlformats.org/officeDocument/2006/relationships/hyperlink" Target="http://hudoc.echr.coe.int/eng" TargetMode="External"/><Relationship Id="rId10" Type="http://schemas.openxmlformats.org/officeDocument/2006/relationships/hyperlink" Target="http://hudoc.echr.coe.int/eng" TargetMode="External"/><Relationship Id="rId4" Type="http://schemas.openxmlformats.org/officeDocument/2006/relationships/hyperlink" Target="http://hudoc.echr.coe.int/eng" TargetMode="External"/><Relationship Id="rId9"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E7D4-4EAC-45B0-B2ED-35158141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10244</Words>
  <Characters>56345</Characters>
  <Application>Microsoft Office Word</Application>
  <DocSecurity>0</DocSecurity>
  <Lines>469</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Arnold</dc:creator>
  <cp:lastModifiedBy>Pauline Jacobs</cp:lastModifiedBy>
  <cp:revision>2</cp:revision>
  <cp:lastPrinted>2016-11-25T12:32:00Z</cp:lastPrinted>
  <dcterms:created xsi:type="dcterms:W3CDTF">2019-02-04T15:56:00Z</dcterms:created>
  <dcterms:modified xsi:type="dcterms:W3CDTF">2019-02-04T15:56:00Z</dcterms:modified>
</cp:coreProperties>
</file>