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07F34" w14:textId="77777777" w:rsidR="00F26664" w:rsidRDefault="00F26664" w:rsidP="00F26664">
      <w:pPr>
        <w:pStyle w:val="textnormal"/>
        <w:spacing w:line="240" w:lineRule="auto"/>
        <w:rPr>
          <w:sz w:val="24"/>
          <w:szCs w:val="24"/>
          <w:lang w:val="en-GB"/>
        </w:rPr>
      </w:pPr>
    </w:p>
    <w:p w14:paraId="6BCCF608" w14:textId="4C4D6CE8" w:rsidR="004E1E58" w:rsidRDefault="006730CD" w:rsidP="004E1E58">
      <w:pPr>
        <w:spacing w:after="200"/>
        <w:jc w:val="center"/>
        <w:rPr>
          <w:b/>
          <w:color w:val="000000"/>
          <w:lang w:val="en-GB"/>
        </w:rPr>
      </w:pPr>
      <w:r>
        <w:rPr>
          <w:b/>
          <w:color w:val="000000"/>
          <w:lang w:val="en-GB"/>
        </w:rPr>
        <w:t xml:space="preserve">THE CROWBAR TO UNIVERSALITY: </w:t>
      </w:r>
      <w:r w:rsidR="00482C43">
        <w:rPr>
          <w:b/>
          <w:color w:val="000000"/>
          <w:lang w:val="en-GB"/>
        </w:rPr>
        <w:t xml:space="preserve">IMPLICATIONS </w:t>
      </w:r>
      <w:r>
        <w:rPr>
          <w:b/>
          <w:color w:val="000000"/>
          <w:lang w:val="en-GB"/>
        </w:rPr>
        <w:t>O</w:t>
      </w:r>
      <w:r w:rsidR="00482C43">
        <w:rPr>
          <w:b/>
          <w:color w:val="000000"/>
          <w:lang w:val="en-GB"/>
        </w:rPr>
        <w:t>F</w:t>
      </w:r>
      <w:r>
        <w:rPr>
          <w:b/>
          <w:color w:val="000000"/>
          <w:lang w:val="en-GB"/>
        </w:rPr>
        <w:t xml:space="preserve"> </w:t>
      </w:r>
      <w:r w:rsidRPr="00C4115F">
        <w:rPr>
          <w:b/>
          <w:color w:val="000000"/>
          <w:lang w:val="en-GB"/>
        </w:rPr>
        <w:t xml:space="preserve"> </w:t>
      </w:r>
      <w:r w:rsidR="004E1E58" w:rsidRPr="00C4115F">
        <w:rPr>
          <w:b/>
          <w:color w:val="000000"/>
          <w:lang w:val="en-GB"/>
        </w:rPr>
        <w:t>‘EQUAL IN RIGHTS’</w:t>
      </w:r>
    </w:p>
    <w:p w14:paraId="38D20FB8" w14:textId="77777777" w:rsidR="00794DA9" w:rsidRPr="00AA4059" w:rsidRDefault="00794DA9" w:rsidP="00794DA9">
      <w:pPr>
        <w:pStyle w:val="Normaalweb"/>
        <w:spacing w:before="0" w:beforeAutospacing="0" w:after="0" w:afterAutospacing="0"/>
        <w:ind w:left="720"/>
        <w:rPr>
          <w:spacing w:val="-3"/>
          <w:lang w:val="en-GB"/>
        </w:rPr>
      </w:pPr>
      <w:r w:rsidRPr="00AA4059">
        <w:rPr>
          <w:spacing w:val="-3"/>
          <w:lang w:val="en-GB"/>
        </w:rPr>
        <w:t xml:space="preserve">in </w:t>
      </w:r>
      <w:proofErr w:type="spellStart"/>
      <w:r w:rsidRPr="00AA4059">
        <w:rPr>
          <w:spacing w:val="-3"/>
          <w:lang w:val="en-GB"/>
        </w:rPr>
        <w:t>Marjolein</w:t>
      </w:r>
      <w:proofErr w:type="spellEnd"/>
      <w:r w:rsidRPr="00AA4059">
        <w:rPr>
          <w:spacing w:val="-3"/>
          <w:lang w:val="en-GB"/>
        </w:rPr>
        <w:t xml:space="preserve"> van den Brink et alia, </w:t>
      </w:r>
      <w:r w:rsidRPr="00AA4059">
        <w:rPr>
          <w:i/>
          <w:spacing w:val="-3"/>
          <w:lang w:val="en-GB"/>
        </w:rPr>
        <w:t>Equality and human rights: nothing but trouble</w:t>
      </w:r>
      <w:r w:rsidRPr="00AA4059">
        <w:rPr>
          <w:spacing w:val="-3"/>
          <w:lang w:val="en-GB"/>
        </w:rPr>
        <w:t xml:space="preserve">, Liber </w:t>
      </w:r>
      <w:proofErr w:type="spellStart"/>
      <w:r w:rsidRPr="00AA4059">
        <w:rPr>
          <w:spacing w:val="-3"/>
          <w:lang w:val="en-GB"/>
        </w:rPr>
        <w:t>amicorum</w:t>
      </w:r>
      <w:proofErr w:type="spellEnd"/>
      <w:r w:rsidRPr="00AA4059">
        <w:rPr>
          <w:spacing w:val="-3"/>
          <w:lang w:val="en-GB"/>
        </w:rPr>
        <w:t xml:space="preserve"> </w:t>
      </w:r>
      <w:proofErr w:type="spellStart"/>
      <w:r w:rsidRPr="00AA4059">
        <w:rPr>
          <w:spacing w:val="-3"/>
          <w:lang w:val="en-GB"/>
        </w:rPr>
        <w:t>Titia</w:t>
      </w:r>
      <w:proofErr w:type="spellEnd"/>
      <w:r w:rsidRPr="00AA4059">
        <w:rPr>
          <w:spacing w:val="-3"/>
          <w:lang w:val="en-GB"/>
        </w:rPr>
        <w:t xml:space="preserve"> </w:t>
      </w:r>
      <w:proofErr w:type="spellStart"/>
      <w:r w:rsidRPr="00AA4059">
        <w:rPr>
          <w:spacing w:val="-3"/>
          <w:lang w:val="en-GB"/>
        </w:rPr>
        <w:t>Loenen</w:t>
      </w:r>
      <w:proofErr w:type="spellEnd"/>
      <w:r w:rsidRPr="00AA4059">
        <w:rPr>
          <w:spacing w:val="-3"/>
          <w:lang w:val="en-GB"/>
        </w:rPr>
        <w:t>, Sim Special 38, Utrecht: 2015, pp. 21-45</w:t>
      </w:r>
    </w:p>
    <w:p w14:paraId="095FBC93" w14:textId="77777777" w:rsidR="00794DA9" w:rsidRPr="00C4115F" w:rsidRDefault="00794DA9" w:rsidP="004E1E58">
      <w:pPr>
        <w:spacing w:after="200"/>
        <w:jc w:val="center"/>
        <w:rPr>
          <w:b/>
          <w:color w:val="000000"/>
          <w:lang w:val="en-GB"/>
        </w:rPr>
      </w:pPr>
      <w:bookmarkStart w:id="0" w:name="_GoBack"/>
      <w:bookmarkEnd w:id="0"/>
    </w:p>
    <w:p w14:paraId="310792C2" w14:textId="77777777" w:rsidR="004E1E58" w:rsidRPr="00C4115F" w:rsidRDefault="004E1E58" w:rsidP="004E1E58">
      <w:pPr>
        <w:spacing w:after="200"/>
        <w:jc w:val="center"/>
        <w:rPr>
          <w:i/>
          <w:color w:val="000000"/>
          <w:lang w:val="en-GB"/>
        </w:rPr>
      </w:pPr>
      <w:r w:rsidRPr="00C4115F">
        <w:rPr>
          <w:i/>
          <w:color w:val="000000"/>
          <w:lang w:val="en-GB"/>
        </w:rPr>
        <w:t>Bas de Gaay Fortman</w:t>
      </w:r>
      <w:r w:rsidR="0032617E">
        <w:rPr>
          <w:rStyle w:val="Voetnootmarkering"/>
          <w:i/>
          <w:color w:val="000000"/>
          <w:lang w:val="en-GB"/>
        </w:rPr>
        <w:footnoteReference w:id="1"/>
      </w:r>
    </w:p>
    <w:p w14:paraId="0A95EE14" w14:textId="77777777" w:rsidR="004E1E58" w:rsidRPr="0001623B" w:rsidRDefault="004E1E58" w:rsidP="004E1E58">
      <w:pPr>
        <w:spacing w:after="200"/>
        <w:jc w:val="both"/>
        <w:rPr>
          <w:b/>
          <w:color w:val="000000"/>
          <w:lang w:val="en-GB"/>
        </w:rPr>
      </w:pPr>
      <w:r w:rsidRPr="0001623B">
        <w:rPr>
          <w:b/>
          <w:color w:val="000000"/>
          <w:lang w:val="en-GB"/>
        </w:rPr>
        <w:t>Introduction</w:t>
      </w:r>
    </w:p>
    <w:p w14:paraId="34DB2153" w14:textId="384B6A3A" w:rsidR="004E1E58" w:rsidRDefault="004E1E58" w:rsidP="004E1E58">
      <w:pPr>
        <w:spacing w:after="200"/>
        <w:jc w:val="both"/>
        <w:rPr>
          <w:color w:val="000000"/>
          <w:lang w:val="en-GB"/>
        </w:rPr>
      </w:pPr>
      <w:r w:rsidRPr="00C4115F">
        <w:rPr>
          <w:color w:val="000000"/>
          <w:lang w:val="en-GB"/>
        </w:rPr>
        <w:t>In May 2003</w:t>
      </w:r>
      <w:r w:rsidR="007B1B17">
        <w:rPr>
          <w:color w:val="000000"/>
          <w:lang w:val="en-GB"/>
        </w:rPr>
        <w:t>,</w:t>
      </w:r>
      <w:r w:rsidRPr="00C4115F">
        <w:rPr>
          <w:color w:val="000000"/>
          <w:lang w:val="en-GB"/>
        </w:rPr>
        <w:t xml:space="preserve"> at </w:t>
      </w:r>
      <w:proofErr w:type="spellStart"/>
      <w:r w:rsidRPr="00C4115F">
        <w:rPr>
          <w:color w:val="000000"/>
          <w:lang w:val="en-GB"/>
        </w:rPr>
        <w:t>Mofid</w:t>
      </w:r>
      <w:proofErr w:type="spellEnd"/>
      <w:r w:rsidRPr="00C4115F">
        <w:rPr>
          <w:color w:val="000000"/>
          <w:lang w:val="en-GB"/>
        </w:rPr>
        <w:t xml:space="preserve"> University in Iran’s holy city of Qom, an institution for </w:t>
      </w:r>
      <w:r w:rsidR="003F1D6D">
        <w:rPr>
          <w:color w:val="000000"/>
          <w:lang w:val="en-GB"/>
        </w:rPr>
        <w:t xml:space="preserve">the </w:t>
      </w:r>
      <w:r>
        <w:rPr>
          <w:color w:val="000000"/>
          <w:lang w:val="en-GB"/>
        </w:rPr>
        <w:t>academic</w:t>
      </w:r>
      <w:r w:rsidRPr="00C4115F">
        <w:rPr>
          <w:color w:val="000000"/>
          <w:lang w:val="en-GB"/>
        </w:rPr>
        <w:t xml:space="preserve"> education of Islamic clerics, I had the pleasure of listening to </w:t>
      </w:r>
      <w:proofErr w:type="spellStart"/>
      <w:r w:rsidRPr="00C4115F">
        <w:rPr>
          <w:color w:val="000000"/>
          <w:lang w:val="en-GB"/>
        </w:rPr>
        <w:t>Titia</w:t>
      </w:r>
      <w:proofErr w:type="spellEnd"/>
      <w:r w:rsidRPr="00C4115F">
        <w:rPr>
          <w:color w:val="000000"/>
          <w:lang w:val="en-GB"/>
        </w:rPr>
        <w:t xml:space="preserve"> </w:t>
      </w:r>
      <w:proofErr w:type="spellStart"/>
      <w:r w:rsidRPr="00C4115F">
        <w:rPr>
          <w:color w:val="000000"/>
          <w:lang w:val="en-GB"/>
        </w:rPr>
        <w:t>Loenen’s</w:t>
      </w:r>
      <w:proofErr w:type="spellEnd"/>
      <w:r w:rsidRPr="00C4115F">
        <w:rPr>
          <w:color w:val="000000"/>
          <w:lang w:val="en-GB"/>
        </w:rPr>
        <w:t xml:space="preserve"> presentation of her paper </w:t>
      </w:r>
      <w:r>
        <w:rPr>
          <w:color w:val="000000"/>
          <w:lang w:val="en-GB"/>
        </w:rPr>
        <w:t xml:space="preserve">for a Conference Workshop on </w:t>
      </w:r>
      <w:r w:rsidR="00D237B8">
        <w:rPr>
          <w:color w:val="000000"/>
          <w:lang w:val="en-GB"/>
        </w:rPr>
        <w:t>“</w:t>
      </w:r>
      <w:r>
        <w:rPr>
          <w:color w:val="000000"/>
          <w:lang w:val="en-GB"/>
        </w:rPr>
        <w:t>Human Rights: Universality versus Cultural Diversity</w:t>
      </w:r>
      <w:r w:rsidR="00D237B8">
        <w:rPr>
          <w:color w:val="000000"/>
          <w:lang w:val="en-GB"/>
        </w:rPr>
        <w:t>.”</w:t>
      </w:r>
      <w:r w:rsidRPr="00C4115F">
        <w:rPr>
          <w:color w:val="000000"/>
          <w:lang w:val="en-GB"/>
        </w:rPr>
        <w:t xml:space="preserve"> It was very well attended, particularly by young women from all over Iran, wearing—like Titia herself</w:t>
      </w:r>
      <w:r>
        <w:rPr>
          <w:color w:val="000000"/>
          <w:lang w:val="en-GB"/>
        </w:rPr>
        <w:t>—</w:t>
      </w:r>
      <w:r w:rsidRPr="00C4115F">
        <w:rPr>
          <w:color w:val="000000"/>
          <w:lang w:val="en-GB"/>
        </w:rPr>
        <w:t xml:space="preserve">their </w:t>
      </w:r>
      <w:r>
        <w:rPr>
          <w:color w:val="000000"/>
          <w:lang w:val="en-GB"/>
        </w:rPr>
        <w:t>obligatory</w:t>
      </w:r>
      <w:r w:rsidR="00D237B8">
        <w:rPr>
          <w:color w:val="000000"/>
          <w:lang w:val="en-GB"/>
        </w:rPr>
        <w:t>,</w:t>
      </w:r>
      <w:r>
        <w:rPr>
          <w:color w:val="000000"/>
          <w:lang w:val="en-GB"/>
        </w:rPr>
        <w:t xml:space="preserve"> yet joyous headscarves. What Professor Loenen addressed was </w:t>
      </w:r>
      <w:r w:rsidRPr="001D6D29">
        <w:rPr>
          <w:i/>
          <w:color w:val="000000"/>
          <w:lang w:val="en-GB"/>
        </w:rPr>
        <w:t>Human Rights, Universality and Gender Bias</w:t>
      </w:r>
      <w:r w:rsidR="007B1B17">
        <w:rPr>
          <w:i/>
          <w:color w:val="000000"/>
          <w:lang w:val="en-GB"/>
        </w:rPr>
        <w:t>.</w:t>
      </w:r>
      <w:r>
        <w:rPr>
          <w:rStyle w:val="Voetnootmarkering"/>
          <w:color w:val="000000"/>
          <w:lang w:val="en-GB"/>
        </w:rPr>
        <w:footnoteReference w:id="2"/>
      </w:r>
      <w:r>
        <w:rPr>
          <w:color w:val="000000"/>
          <w:lang w:val="en-GB"/>
        </w:rPr>
        <w:t xml:space="preserve"> Bypassing secondary issues such as th</w:t>
      </w:r>
      <w:r w:rsidR="007B1B17">
        <w:rPr>
          <w:color w:val="000000"/>
          <w:lang w:val="en-GB"/>
        </w:rPr>
        <w:t>e</w:t>
      </w:r>
      <w:r>
        <w:rPr>
          <w:color w:val="000000"/>
          <w:lang w:val="en-GB"/>
        </w:rPr>
        <w:t xml:space="preserve"> legally </w:t>
      </w:r>
      <w:r w:rsidR="007B1B17">
        <w:rPr>
          <w:color w:val="000000"/>
          <w:lang w:val="en-GB"/>
        </w:rPr>
        <w:t xml:space="preserve">mandated </w:t>
      </w:r>
      <w:r>
        <w:rPr>
          <w:color w:val="000000"/>
          <w:lang w:val="en-GB"/>
        </w:rPr>
        <w:t xml:space="preserve">female attire, her critique was on </w:t>
      </w:r>
      <w:r w:rsidR="007B1B17">
        <w:rPr>
          <w:color w:val="000000"/>
          <w:lang w:val="en-GB"/>
        </w:rPr>
        <w:t xml:space="preserve">the </w:t>
      </w:r>
      <w:r>
        <w:rPr>
          <w:color w:val="000000"/>
          <w:lang w:val="en-GB"/>
        </w:rPr>
        <w:t xml:space="preserve">international human rights </w:t>
      </w:r>
      <w:r w:rsidR="007B1B17">
        <w:rPr>
          <w:color w:val="000000"/>
          <w:lang w:val="en-GB"/>
        </w:rPr>
        <w:t>framework</w:t>
      </w:r>
      <w:r>
        <w:rPr>
          <w:color w:val="000000"/>
          <w:lang w:val="en-GB"/>
        </w:rPr>
        <w:t xml:space="preserve">, questioning </w:t>
      </w:r>
      <w:r w:rsidR="004F2196">
        <w:rPr>
          <w:color w:val="000000"/>
          <w:lang w:val="en-GB"/>
        </w:rPr>
        <w:t>the true universality of its nature</w:t>
      </w:r>
      <w:r>
        <w:rPr>
          <w:color w:val="000000"/>
          <w:lang w:val="en-GB"/>
        </w:rPr>
        <w:t xml:space="preserve">. Her point </w:t>
      </w:r>
      <w:r w:rsidR="001E3A18">
        <w:rPr>
          <w:color w:val="000000"/>
          <w:lang w:val="en-GB"/>
        </w:rPr>
        <w:t>wa</w:t>
      </w:r>
      <w:r>
        <w:rPr>
          <w:color w:val="000000"/>
          <w:lang w:val="en-GB"/>
        </w:rPr>
        <w:t>s that the Universal Declaration of Human Rights (1948)</w:t>
      </w:r>
      <w:r w:rsidR="00D237B8">
        <w:rPr>
          <w:color w:val="000000"/>
          <w:lang w:val="en-GB"/>
        </w:rPr>
        <w:t xml:space="preserve">, </w:t>
      </w:r>
      <w:r>
        <w:rPr>
          <w:color w:val="000000"/>
          <w:lang w:val="en-GB"/>
        </w:rPr>
        <w:t>the Charter</w:t>
      </w:r>
      <w:r w:rsidR="00954B19">
        <w:rPr>
          <w:color w:val="000000"/>
          <w:lang w:val="en-GB"/>
        </w:rPr>
        <w:t>-</w:t>
      </w:r>
      <w:r w:rsidR="006A15BF">
        <w:rPr>
          <w:color w:val="000000"/>
          <w:lang w:val="en-GB"/>
        </w:rPr>
        <w:t xml:space="preserve">Based </w:t>
      </w:r>
      <w:r w:rsidR="00954B19">
        <w:rPr>
          <w:color w:val="000000"/>
          <w:lang w:val="en-GB"/>
        </w:rPr>
        <w:t>declarations</w:t>
      </w:r>
      <w:r w:rsidR="00D237B8">
        <w:rPr>
          <w:color w:val="000000"/>
          <w:lang w:val="en-GB"/>
        </w:rPr>
        <w:t>,</w:t>
      </w:r>
      <w:r>
        <w:rPr>
          <w:color w:val="000000"/>
          <w:lang w:val="en-GB"/>
        </w:rPr>
        <w:t xml:space="preserve"> and </w:t>
      </w:r>
      <w:r w:rsidR="00954B19">
        <w:rPr>
          <w:color w:val="000000"/>
          <w:lang w:val="en-GB"/>
        </w:rPr>
        <w:t xml:space="preserve">the </w:t>
      </w:r>
      <w:r>
        <w:rPr>
          <w:color w:val="000000"/>
          <w:lang w:val="en-GB"/>
        </w:rPr>
        <w:t xml:space="preserve">Treaty-Based instruments that followed reflect an inherent assumption that the human being is male. </w:t>
      </w:r>
      <w:r w:rsidR="007B1B17">
        <w:rPr>
          <w:color w:val="000000"/>
          <w:lang w:val="en-GB"/>
        </w:rPr>
        <w:t>Since the entire post-WWII venture</w:t>
      </w:r>
      <w:r>
        <w:rPr>
          <w:color w:val="000000"/>
          <w:lang w:val="en-GB"/>
        </w:rPr>
        <w:t xml:space="preserve"> is founded upon the non-discrimination principle, women ought to be protected by these rights no less than men.</w:t>
      </w:r>
      <w:r w:rsidRPr="00C4115F">
        <w:rPr>
          <w:color w:val="000000"/>
          <w:lang w:val="en-GB"/>
        </w:rPr>
        <w:t xml:space="preserve"> </w:t>
      </w:r>
      <w:r w:rsidR="007B1B17">
        <w:rPr>
          <w:color w:val="000000"/>
          <w:lang w:val="en-GB"/>
        </w:rPr>
        <w:t>Yet,</w:t>
      </w:r>
      <w:r>
        <w:rPr>
          <w:color w:val="000000"/>
          <w:lang w:val="en-GB"/>
        </w:rPr>
        <w:t xml:space="preserve"> how have these rights </w:t>
      </w:r>
      <w:r w:rsidR="007B1B17">
        <w:rPr>
          <w:color w:val="000000"/>
          <w:lang w:val="en-GB"/>
        </w:rPr>
        <w:t xml:space="preserve">actually </w:t>
      </w:r>
      <w:r>
        <w:rPr>
          <w:color w:val="000000"/>
          <w:lang w:val="en-GB"/>
        </w:rPr>
        <w:t>been defined?</w:t>
      </w:r>
      <w:r w:rsidRPr="00C4115F">
        <w:rPr>
          <w:color w:val="000000"/>
          <w:lang w:val="en-GB"/>
        </w:rPr>
        <w:t xml:space="preserve"> </w:t>
      </w:r>
      <w:r w:rsidR="007F6404">
        <w:rPr>
          <w:color w:val="000000"/>
          <w:lang w:val="en-GB"/>
        </w:rPr>
        <w:t>With a central f</w:t>
      </w:r>
      <w:r w:rsidR="007F6404" w:rsidRPr="00C4115F">
        <w:rPr>
          <w:color w:val="000000"/>
          <w:lang w:val="en-GB"/>
        </w:rPr>
        <w:t>ocus</w:t>
      </w:r>
      <w:r w:rsidR="007F6404">
        <w:rPr>
          <w:color w:val="000000"/>
          <w:lang w:val="en-GB"/>
        </w:rPr>
        <w:t xml:space="preserve"> </w:t>
      </w:r>
      <w:r w:rsidR="007F6404" w:rsidRPr="00C4115F">
        <w:rPr>
          <w:color w:val="000000"/>
          <w:lang w:val="en-GB"/>
        </w:rPr>
        <w:t xml:space="preserve">on </w:t>
      </w:r>
      <w:r w:rsidR="007F6404">
        <w:rPr>
          <w:color w:val="000000"/>
          <w:lang w:val="en-GB"/>
        </w:rPr>
        <w:t xml:space="preserve">the </w:t>
      </w:r>
      <w:r w:rsidR="007F6404" w:rsidRPr="00C4115F">
        <w:rPr>
          <w:color w:val="000000"/>
          <w:lang w:val="en-GB"/>
        </w:rPr>
        <w:t>risks people face in the public sphere</w:t>
      </w:r>
      <w:r w:rsidR="007F6404">
        <w:rPr>
          <w:color w:val="000000"/>
          <w:lang w:val="en-GB"/>
        </w:rPr>
        <w:t>,</w:t>
      </w:r>
      <w:r w:rsidR="007F6404" w:rsidRPr="00C4115F">
        <w:rPr>
          <w:color w:val="000000"/>
          <w:lang w:val="en-GB"/>
        </w:rPr>
        <w:t xml:space="preserve"> which men are </w:t>
      </w:r>
      <w:r w:rsidR="007F6404">
        <w:rPr>
          <w:color w:val="000000"/>
          <w:lang w:val="en-GB"/>
        </w:rPr>
        <w:t xml:space="preserve">generally </w:t>
      </w:r>
      <w:r w:rsidR="007F6404" w:rsidRPr="00C4115F">
        <w:rPr>
          <w:color w:val="000000"/>
          <w:lang w:val="en-GB"/>
        </w:rPr>
        <w:t xml:space="preserve">concerned about, </w:t>
      </w:r>
      <w:r w:rsidR="007F6404">
        <w:rPr>
          <w:color w:val="000000"/>
          <w:lang w:val="en-GB"/>
        </w:rPr>
        <w:t xml:space="preserve">Loenen concluded. Now attention </w:t>
      </w:r>
      <w:r w:rsidR="003F1D6D">
        <w:rPr>
          <w:color w:val="000000"/>
          <w:lang w:val="en-GB"/>
        </w:rPr>
        <w:t>is</w:t>
      </w:r>
      <w:r w:rsidR="007F6404">
        <w:rPr>
          <w:color w:val="000000"/>
          <w:lang w:val="en-GB"/>
        </w:rPr>
        <w:t xml:space="preserve"> to be drawn to </w:t>
      </w:r>
      <w:r w:rsidR="007F6404" w:rsidRPr="00C4115F">
        <w:rPr>
          <w:color w:val="000000"/>
          <w:lang w:val="en-GB"/>
        </w:rPr>
        <w:t>the private sphere</w:t>
      </w:r>
      <w:r w:rsidR="007F6404" w:rsidRPr="00DB263C">
        <w:rPr>
          <w:color w:val="000000"/>
        </w:rPr>
        <w:t xml:space="preserve">, </w:t>
      </w:r>
      <w:r w:rsidR="007F6404">
        <w:rPr>
          <w:color w:val="000000"/>
          <w:lang w:val="en-GB"/>
        </w:rPr>
        <w:t>the domain where women tend to face substantial risk</w:t>
      </w:r>
      <w:r w:rsidR="003F1D6D">
        <w:rPr>
          <w:color w:val="000000"/>
          <w:lang w:val="en-GB"/>
        </w:rPr>
        <w:t>s</w:t>
      </w:r>
      <w:r w:rsidR="007F6404">
        <w:rPr>
          <w:color w:val="000000"/>
          <w:lang w:val="en-GB"/>
        </w:rPr>
        <w:t xml:space="preserve">. </w:t>
      </w:r>
      <w:r>
        <w:rPr>
          <w:color w:val="000000"/>
          <w:lang w:val="en-GB"/>
        </w:rPr>
        <w:t xml:space="preserve">Naturally, she </w:t>
      </w:r>
      <w:r w:rsidR="00DE6322">
        <w:rPr>
          <w:color w:val="000000"/>
          <w:lang w:val="en-GB"/>
        </w:rPr>
        <w:t>referred</w:t>
      </w:r>
      <w:r>
        <w:rPr>
          <w:color w:val="000000"/>
          <w:lang w:val="en-GB"/>
        </w:rPr>
        <w:t xml:space="preserve"> </w:t>
      </w:r>
      <w:r w:rsidR="007F6404">
        <w:rPr>
          <w:color w:val="000000"/>
          <w:lang w:val="en-GB"/>
        </w:rPr>
        <w:t xml:space="preserve">here </w:t>
      </w:r>
      <w:r>
        <w:rPr>
          <w:color w:val="000000"/>
          <w:lang w:val="en-GB"/>
        </w:rPr>
        <w:t xml:space="preserve">to domestic violence, pointing to </w:t>
      </w:r>
      <w:r w:rsidR="00D237B8">
        <w:rPr>
          <w:color w:val="000000"/>
          <w:lang w:val="en-GB"/>
        </w:rPr>
        <w:t>“</w:t>
      </w:r>
      <w:r>
        <w:rPr>
          <w:color w:val="000000"/>
          <w:lang w:val="en-GB"/>
        </w:rPr>
        <w:t>the invisibility of human rights violations in the private sphere.</w:t>
      </w:r>
      <w:r w:rsidR="00D237B8">
        <w:rPr>
          <w:color w:val="000000"/>
          <w:lang w:val="en-GB"/>
        </w:rPr>
        <w:t>”</w:t>
      </w:r>
      <w:r>
        <w:rPr>
          <w:color w:val="000000"/>
          <w:lang w:val="en-GB"/>
        </w:rPr>
        <w:t xml:space="preserve"> Domestic violence, that </w:t>
      </w:r>
      <w:r w:rsidR="00D237B8">
        <w:rPr>
          <w:color w:val="000000"/>
          <w:lang w:val="en-GB"/>
        </w:rPr>
        <w:t>“</w:t>
      </w:r>
      <w:r>
        <w:rPr>
          <w:color w:val="000000"/>
          <w:lang w:val="en-GB"/>
        </w:rPr>
        <w:t>regretfully universal phenomenon</w:t>
      </w:r>
      <w:r w:rsidR="00D237B8">
        <w:rPr>
          <w:color w:val="000000"/>
          <w:lang w:val="en-GB"/>
        </w:rPr>
        <w:t>,”</w:t>
      </w:r>
      <w:r>
        <w:rPr>
          <w:color w:val="000000"/>
          <w:lang w:val="en-GB"/>
        </w:rPr>
        <w:t xml:space="preserve"> is absent from the International Bill of Human Rights, and, one may add, even from the Convention for the Elimination of All Forms of Discrimination Against Women (CEDAW).</w:t>
      </w:r>
      <w:r>
        <w:rPr>
          <w:rStyle w:val="Voetnootmarkering"/>
          <w:color w:val="000000"/>
          <w:lang w:val="en-GB"/>
        </w:rPr>
        <w:footnoteReference w:id="3"/>
      </w:r>
      <w:r>
        <w:rPr>
          <w:color w:val="000000"/>
          <w:lang w:val="en-GB"/>
        </w:rPr>
        <w:t xml:space="preserve"> </w:t>
      </w:r>
      <w:r w:rsidR="003F1D6D">
        <w:rPr>
          <w:color w:val="000000"/>
          <w:lang w:val="en-GB"/>
        </w:rPr>
        <w:t>T</w:t>
      </w:r>
      <w:r w:rsidR="00691DC2">
        <w:rPr>
          <w:color w:val="000000"/>
          <w:lang w:val="en-GB"/>
        </w:rPr>
        <w:t xml:space="preserve">he prevalence of domestic violence </w:t>
      </w:r>
      <w:r>
        <w:rPr>
          <w:color w:val="000000"/>
          <w:lang w:val="en-GB"/>
        </w:rPr>
        <w:t xml:space="preserve">must be </w:t>
      </w:r>
      <w:r w:rsidR="003F1D6D">
        <w:rPr>
          <w:color w:val="000000"/>
          <w:lang w:val="en-GB"/>
        </w:rPr>
        <w:t xml:space="preserve">truly </w:t>
      </w:r>
      <w:r>
        <w:rPr>
          <w:color w:val="000000"/>
          <w:lang w:val="en-GB"/>
        </w:rPr>
        <w:t xml:space="preserve">seen as one of the major </w:t>
      </w:r>
      <w:r w:rsidR="00D237B8">
        <w:rPr>
          <w:color w:val="000000"/>
          <w:lang w:val="en-GB"/>
        </w:rPr>
        <w:t>components</w:t>
      </w:r>
      <w:r>
        <w:rPr>
          <w:color w:val="000000"/>
          <w:lang w:val="en-GB"/>
        </w:rPr>
        <w:t xml:space="preserve"> in the </w:t>
      </w:r>
      <w:r w:rsidR="00D237B8">
        <w:rPr>
          <w:color w:val="000000"/>
          <w:lang w:val="en-GB"/>
        </w:rPr>
        <w:t>“</w:t>
      </w:r>
      <w:r>
        <w:rPr>
          <w:color w:val="000000"/>
          <w:lang w:val="en-GB"/>
        </w:rPr>
        <w:t>global human rights deficit</w:t>
      </w:r>
      <w:r w:rsidR="00D237B8">
        <w:rPr>
          <w:color w:val="000000"/>
          <w:lang w:val="en-GB"/>
        </w:rPr>
        <w:t>.”</w:t>
      </w:r>
      <w:r>
        <w:rPr>
          <w:rStyle w:val="Voetnootmarkering"/>
          <w:color w:val="000000"/>
          <w:lang w:val="en-GB"/>
        </w:rPr>
        <w:footnoteReference w:id="4"/>
      </w:r>
    </w:p>
    <w:p w14:paraId="559A3F7F" w14:textId="428395F5" w:rsidR="004E1E58" w:rsidRDefault="004E1E58" w:rsidP="004E1E58">
      <w:pPr>
        <w:spacing w:after="200"/>
        <w:jc w:val="both"/>
        <w:rPr>
          <w:color w:val="000000"/>
          <w:lang w:val="en-GB"/>
        </w:rPr>
      </w:pPr>
      <w:proofErr w:type="spellStart"/>
      <w:r>
        <w:rPr>
          <w:color w:val="000000"/>
          <w:lang w:val="en-GB"/>
        </w:rPr>
        <w:t>Loenen</w:t>
      </w:r>
      <w:proofErr w:type="spellEnd"/>
      <w:r>
        <w:rPr>
          <w:color w:val="000000"/>
          <w:lang w:val="en-GB"/>
        </w:rPr>
        <w:t xml:space="preserve"> </w:t>
      </w:r>
      <w:r w:rsidR="003F1D6D">
        <w:rPr>
          <w:color w:val="000000"/>
          <w:lang w:val="en-GB"/>
        </w:rPr>
        <w:t>directed</w:t>
      </w:r>
      <w:r w:rsidR="007B1B17">
        <w:rPr>
          <w:color w:val="000000"/>
          <w:lang w:val="en-GB"/>
        </w:rPr>
        <w:t xml:space="preserve"> </w:t>
      </w:r>
      <w:r>
        <w:rPr>
          <w:color w:val="000000"/>
          <w:lang w:val="en-GB"/>
        </w:rPr>
        <w:t>a</w:t>
      </w:r>
      <w:r w:rsidRPr="00094214">
        <w:rPr>
          <w:color w:val="000000"/>
          <w:lang w:val="en-GB"/>
        </w:rPr>
        <w:t xml:space="preserve"> similar </w:t>
      </w:r>
      <w:r w:rsidR="007B1B17">
        <w:rPr>
          <w:color w:val="000000"/>
          <w:lang w:val="en-GB"/>
        </w:rPr>
        <w:t xml:space="preserve">critique </w:t>
      </w:r>
      <w:r w:rsidR="00391398">
        <w:rPr>
          <w:color w:val="000000"/>
          <w:lang w:val="en-GB"/>
        </w:rPr>
        <w:t>concerning</w:t>
      </w:r>
      <w:r>
        <w:rPr>
          <w:color w:val="000000"/>
          <w:lang w:val="en-GB"/>
        </w:rPr>
        <w:t xml:space="preserve"> the universality of human rights </w:t>
      </w:r>
      <w:r w:rsidR="007B1B17">
        <w:rPr>
          <w:color w:val="000000"/>
          <w:lang w:val="en-GB"/>
        </w:rPr>
        <w:t xml:space="preserve">with regard </w:t>
      </w:r>
      <w:r>
        <w:rPr>
          <w:color w:val="000000"/>
          <w:lang w:val="en-GB"/>
        </w:rPr>
        <w:t xml:space="preserve">to the right to work, again a domain in which </w:t>
      </w:r>
      <w:r w:rsidR="003E5C0E">
        <w:rPr>
          <w:color w:val="000000"/>
          <w:lang w:val="en-GB"/>
        </w:rPr>
        <w:t>“</w:t>
      </w:r>
      <w:r>
        <w:rPr>
          <w:color w:val="000000"/>
          <w:lang w:val="en-GB"/>
        </w:rPr>
        <w:t>the implicit standard of reference often [is] male life experiences and models of living rather than female ones</w:t>
      </w:r>
      <w:r w:rsidR="003E5C0E">
        <w:rPr>
          <w:color w:val="000000"/>
          <w:lang w:val="en-GB"/>
        </w:rPr>
        <w:t>.”</w:t>
      </w:r>
      <w:r>
        <w:rPr>
          <w:rStyle w:val="Voetnootmarkering"/>
          <w:color w:val="000000"/>
          <w:lang w:val="en-GB"/>
        </w:rPr>
        <w:footnoteReference w:id="5"/>
      </w:r>
      <w:r>
        <w:rPr>
          <w:color w:val="000000"/>
          <w:lang w:val="en-GB"/>
        </w:rPr>
        <w:t xml:space="preserve"> Thus, </w:t>
      </w:r>
      <w:r>
        <w:rPr>
          <w:color w:val="000000"/>
          <w:lang w:val="en-GB"/>
        </w:rPr>
        <w:lastRenderedPageBreak/>
        <w:t>in the crucial UN documents there is just work and leisure</w:t>
      </w:r>
      <w:r w:rsidR="003F1D6D">
        <w:rPr>
          <w:color w:val="000000"/>
          <w:lang w:val="en-GB"/>
        </w:rPr>
        <w:t xml:space="preserve"> </w:t>
      </w:r>
      <w:r w:rsidR="007B1B17">
        <w:rPr>
          <w:color w:val="000000"/>
          <w:lang w:val="en-GB"/>
        </w:rPr>
        <w:t>--</w:t>
      </w:r>
      <w:r w:rsidR="003F1D6D">
        <w:rPr>
          <w:color w:val="000000"/>
          <w:lang w:val="en-GB"/>
        </w:rPr>
        <w:t xml:space="preserve"> </w:t>
      </w:r>
      <w:r>
        <w:rPr>
          <w:color w:val="000000"/>
          <w:lang w:val="en-GB"/>
        </w:rPr>
        <w:t xml:space="preserve">completely neglecting any </w:t>
      </w:r>
      <w:r w:rsidR="003E5C0E">
        <w:rPr>
          <w:color w:val="000000"/>
          <w:lang w:val="en-GB"/>
        </w:rPr>
        <w:t>“</w:t>
      </w:r>
      <w:r>
        <w:rPr>
          <w:color w:val="000000"/>
          <w:lang w:val="en-GB"/>
        </w:rPr>
        <w:t>right to (give) care</w:t>
      </w:r>
      <w:r w:rsidR="003E5C0E">
        <w:rPr>
          <w:color w:val="000000"/>
          <w:lang w:val="en-GB"/>
        </w:rPr>
        <w:t>”</w:t>
      </w:r>
      <w:r>
        <w:rPr>
          <w:rStyle w:val="Voetnootmarkering"/>
          <w:color w:val="000000"/>
          <w:lang w:val="en-GB"/>
        </w:rPr>
        <w:footnoteReference w:id="6"/>
      </w:r>
      <w:r w:rsidR="003F1D6D">
        <w:rPr>
          <w:color w:val="000000"/>
          <w:lang w:val="en-GB"/>
        </w:rPr>
        <w:t xml:space="preserve"> </w:t>
      </w:r>
      <w:r w:rsidR="007B1B17">
        <w:rPr>
          <w:color w:val="000000"/>
          <w:lang w:val="en-GB"/>
        </w:rPr>
        <w:t>--</w:t>
      </w:r>
      <w:r>
        <w:rPr>
          <w:color w:val="000000"/>
          <w:lang w:val="en-GB"/>
        </w:rPr>
        <w:t xml:space="preserve"> while work has been rather obviously connected to a male head of the household responsible for feeding </w:t>
      </w:r>
      <w:r w:rsidRPr="00883445">
        <w:rPr>
          <w:i/>
          <w:color w:val="000000"/>
          <w:lang w:val="en-GB"/>
        </w:rPr>
        <w:t>his</w:t>
      </w:r>
      <w:r>
        <w:rPr>
          <w:color w:val="000000"/>
          <w:lang w:val="en-GB"/>
        </w:rPr>
        <w:t xml:space="preserve"> family. </w:t>
      </w:r>
    </w:p>
    <w:p w14:paraId="26957AE1" w14:textId="5AA6DAE7" w:rsidR="009849BB" w:rsidRDefault="004E1E58" w:rsidP="004E1E58">
      <w:pPr>
        <w:spacing w:after="200"/>
        <w:jc w:val="both"/>
        <w:rPr>
          <w:lang w:val="en-GB"/>
        </w:rPr>
      </w:pPr>
      <w:r w:rsidRPr="0084338E">
        <w:rPr>
          <w:color w:val="000000" w:themeColor="text1"/>
          <w:lang w:val="en-GB"/>
        </w:rPr>
        <w:t xml:space="preserve">This is a strong critique, further elaborated in a highly instructive article by Ivana </w:t>
      </w:r>
      <w:proofErr w:type="spellStart"/>
      <w:r w:rsidRPr="0084338E">
        <w:rPr>
          <w:color w:val="000000" w:themeColor="text1"/>
        </w:rPr>
        <w:t>Radačić</w:t>
      </w:r>
      <w:proofErr w:type="spellEnd"/>
      <w:r w:rsidRPr="0084338E">
        <w:rPr>
          <w:color w:val="000000" w:themeColor="text1"/>
        </w:rPr>
        <w:t xml:space="preserve"> </w:t>
      </w:r>
      <w:r w:rsidR="003F1D6D">
        <w:rPr>
          <w:color w:val="000000" w:themeColor="text1"/>
        </w:rPr>
        <w:t>en</w:t>
      </w:r>
      <w:r w:rsidRPr="0084338E">
        <w:rPr>
          <w:color w:val="000000" w:themeColor="text1"/>
        </w:rPr>
        <w:t xml:space="preserve">titled </w:t>
      </w:r>
      <w:r w:rsidR="00F700B8">
        <w:rPr>
          <w:color w:val="000000" w:themeColor="text1"/>
        </w:rPr>
        <w:t>“</w:t>
      </w:r>
      <w:r w:rsidRPr="0084338E">
        <w:rPr>
          <w:color w:val="000000" w:themeColor="text1"/>
        </w:rPr>
        <w:t>Human rights of women and the public/private divide in international human rights law</w:t>
      </w:r>
      <w:r w:rsidR="00F700B8">
        <w:rPr>
          <w:color w:val="000000" w:themeColor="text1"/>
        </w:rPr>
        <w:t>.”</w:t>
      </w:r>
      <w:r w:rsidRPr="0084338E">
        <w:rPr>
          <w:rStyle w:val="Voetnootmarkering"/>
          <w:color w:val="000000" w:themeColor="text1"/>
        </w:rPr>
        <w:footnoteReference w:id="7"/>
      </w:r>
      <w:r w:rsidRPr="0084338E">
        <w:rPr>
          <w:color w:val="000000" w:themeColor="text1"/>
          <w:lang w:val="en-GB"/>
        </w:rPr>
        <w:t xml:space="preserve"> Yet, </w:t>
      </w:r>
      <w:r>
        <w:rPr>
          <w:color w:val="000000"/>
          <w:lang w:val="en-GB"/>
        </w:rPr>
        <w:t xml:space="preserve">rather than joining feminist rejections of </w:t>
      </w:r>
      <w:r w:rsidR="00F700B8">
        <w:rPr>
          <w:color w:val="000000"/>
          <w:lang w:val="en-GB"/>
        </w:rPr>
        <w:t>“</w:t>
      </w:r>
      <w:r>
        <w:rPr>
          <w:color w:val="000000"/>
          <w:lang w:val="en-GB"/>
        </w:rPr>
        <w:t>male chauvinist</w:t>
      </w:r>
      <w:r w:rsidR="00F700B8">
        <w:rPr>
          <w:color w:val="000000"/>
          <w:lang w:val="en-GB"/>
        </w:rPr>
        <w:t>”</w:t>
      </w:r>
      <w:r>
        <w:rPr>
          <w:color w:val="000000"/>
          <w:lang w:val="en-GB"/>
        </w:rPr>
        <w:t xml:space="preserve"> human rights </w:t>
      </w:r>
      <w:r w:rsidRPr="00007CF6">
        <w:rPr>
          <w:i/>
          <w:color w:val="000000"/>
          <w:lang w:val="en-GB"/>
        </w:rPr>
        <w:t>per se</w:t>
      </w:r>
      <w:r>
        <w:rPr>
          <w:color w:val="000000"/>
          <w:lang w:val="en-GB"/>
        </w:rPr>
        <w:t>, Loenen emphasize</w:t>
      </w:r>
      <w:r w:rsidR="00E510B6">
        <w:rPr>
          <w:color w:val="000000"/>
          <w:lang w:val="en-GB"/>
        </w:rPr>
        <w:t>d</w:t>
      </w:r>
      <w:r>
        <w:rPr>
          <w:color w:val="000000"/>
          <w:lang w:val="en-GB"/>
        </w:rPr>
        <w:t xml:space="preserve"> the dynamic potential of international human rights law</w:t>
      </w:r>
      <w:r w:rsidRPr="00883445">
        <w:rPr>
          <w:color w:val="000000"/>
          <w:lang w:val="en-GB"/>
        </w:rPr>
        <w:t xml:space="preserve">:  </w:t>
      </w:r>
      <w:r w:rsidR="00F700B8">
        <w:rPr>
          <w:lang w:val="en-GB"/>
        </w:rPr>
        <w:t>“</w:t>
      </w:r>
      <w:r w:rsidRPr="00883445">
        <w:rPr>
          <w:lang w:val="en-GB"/>
        </w:rPr>
        <w:t>…the provisions in the human rights conventions are formulated open enough to allow for a dynamic interpretation.</w:t>
      </w:r>
      <w:r w:rsidR="00F700B8">
        <w:rPr>
          <w:lang w:val="en-GB"/>
        </w:rPr>
        <w:t>”</w:t>
      </w:r>
      <w:r>
        <w:rPr>
          <w:rStyle w:val="Voetnootmarkering"/>
          <w:lang w:val="en-GB"/>
        </w:rPr>
        <w:footnoteReference w:id="8"/>
      </w:r>
      <w:r w:rsidRPr="00883445">
        <w:rPr>
          <w:lang w:val="en-GB"/>
        </w:rPr>
        <w:t xml:space="preserve"> </w:t>
      </w:r>
      <w:r>
        <w:rPr>
          <w:lang w:val="en-GB"/>
        </w:rPr>
        <w:t xml:space="preserve">Indeed, </w:t>
      </w:r>
      <w:r>
        <w:rPr>
          <w:color w:val="000000"/>
          <w:lang w:val="en-GB"/>
        </w:rPr>
        <w:t>t</w:t>
      </w:r>
      <w:r w:rsidRPr="00C4115F">
        <w:rPr>
          <w:color w:val="000000"/>
          <w:lang w:val="en-GB"/>
        </w:rPr>
        <w:t xml:space="preserve">he </w:t>
      </w:r>
      <w:r w:rsidR="00F700B8">
        <w:rPr>
          <w:color w:val="000000"/>
          <w:lang w:val="en-GB"/>
        </w:rPr>
        <w:t>“</w:t>
      </w:r>
      <w:r w:rsidRPr="00C4115F">
        <w:rPr>
          <w:color w:val="000000"/>
          <w:lang w:val="en-GB"/>
        </w:rPr>
        <w:t>human rights system has turned out to be a rather flexible system, which provides space for dynamic development and interpretation.</w:t>
      </w:r>
      <w:r w:rsidR="00F700B8">
        <w:rPr>
          <w:color w:val="000000"/>
          <w:lang w:val="en-GB"/>
        </w:rPr>
        <w:t>”</w:t>
      </w:r>
      <w:r w:rsidR="00F700B8">
        <w:rPr>
          <w:rStyle w:val="Voetnootmarkering"/>
          <w:color w:val="000000"/>
          <w:lang w:val="en-GB"/>
        </w:rPr>
        <w:footnoteReference w:id="9"/>
      </w:r>
      <w:r w:rsidRPr="00C4115F">
        <w:rPr>
          <w:color w:val="000000"/>
          <w:lang w:val="en-GB"/>
        </w:rPr>
        <w:t xml:space="preserve"> </w:t>
      </w:r>
      <w:r>
        <w:rPr>
          <w:lang w:val="en-GB"/>
        </w:rPr>
        <w:t>Thus, in 1993, the UN General Assembly added to CEDAW the Declaration on the Elimination of Violence against Women (DEVAW)</w:t>
      </w:r>
      <w:r w:rsidR="00F700B8">
        <w:rPr>
          <w:lang w:val="en-GB"/>
        </w:rPr>
        <w:t>.</w:t>
      </w:r>
      <w:r>
        <w:rPr>
          <w:rStyle w:val="Voetnootmarkering"/>
          <w:lang w:val="en-GB"/>
        </w:rPr>
        <w:footnoteReference w:id="10"/>
      </w:r>
      <w:r>
        <w:rPr>
          <w:lang w:val="en-GB"/>
        </w:rPr>
        <w:t xml:space="preserve"> Moreover, through a general comment identifying domestic violence against women as a discriminatory practice the CEDAW </w:t>
      </w:r>
      <w:r w:rsidR="00E510B6">
        <w:rPr>
          <w:lang w:val="en-GB"/>
        </w:rPr>
        <w:t>C</w:t>
      </w:r>
      <w:r>
        <w:rPr>
          <w:lang w:val="en-GB"/>
        </w:rPr>
        <w:t>ommittee has incorporated this human rights violation in its mandate.</w:t>
      </w:r>
      <w:r>
        <w:rPr>
          <w:rStyle w:val="Voetnootmarkering"/>
          <w:lang w:val="en-GB"/>
        </w:rPr>
        <w:footnoteReference w:id="11"/>
      </w:r>
      <w:r>
        <w:rPr>
          <w:lang w:val="en-GB"/>
        </w:rPr>
        <w:t xml:space="preserve"> Loenen conclude</w:t>
      </w:r>
      <w:r w:rsidR="00E510B6">
        <w:rPr>
          <w:lang w:val="en-GB"/>
        </w:rPr>
        <w:t>d</w:t>
      </w:r>
      <w:r>
        <w:rPr>
          <w:lang w:val="en-GB"/>
        </w:rPr>
        <w:t>:</w:t>
      </w:r>
    </w:p>
    <w:p w14:paraId="4C60733D" w14:textId="18952A8B" w:rsidR="004E1E58" w:rsidRPr="00C4115F" w:rsidRDefault="004E1E58" w:rsidP="00954B19">
      <w:pPr>
        <w:spacing w:after="200"/>
        <w:ind w:left="720" w:right="720"/>
        <w:jc w:val="both"/>
        <w:rPr>
          <w:lang w:val="en-GB"/>
        </w:rPr>
      </w:pPr>
      <w:r w:rsidRPr="00ED1A13">
        <w:rPr>
          <w:lang w:val="en-GB"/>
        </w:rPr>
        <w:t>…I would say we should use the dynamics of the human rights system to do away with gender bias and to make it truly universal. The image is one of restructuring and adding, of incorporating and extending the human rights building, not of demolishing and building anew from scratch.</w:t>
      </w:r>
      <w:r>
        <w:rPr>
          <w:rStyle w:val="Voetnootmarkering"/>
          <w:lang w:val="en-GB"/>
        </w:rPr>
        <w:footnoteReference w:id="12"/>
      </w:r>
      <w:r w:rsidRPr="00ED1A13">
        <w:rPr>
          <w:lang w:val="en-GB"/>
        </w:rPr>
        <w:t xml:space="preserve"> </w:t>
      </w:r>
    </w:p>
    <w:p w14:paraId="2B31BA49" w14:textId="6590F892" w:rsidR="004E1E58" w:rsidRDefault="004E1E58" w:rsidP="004E1E58">
      <w:pPr>
        <w:spacing w:after="200"/>
        <w:jc w:val="both"/>
        <w:rPr>
          <w:lang w:val="en-GB"/>
        </w:rPr>
      </w:pPr>
      <w:r>
        <w:rPr>
          <w:lang w:val="en-GB"/>
        </w:rPr>
        <w:t>I concur. All too often well</w:t>
      </w:r>
      <w:r w:rsidR="004F2196">
        <w:rPr>
          <w:lang w:val="en-GB"/>
        </w:rPr>
        <w:t>-</w:t>
      </w:r>
      <w:r>
        <w:rPr>
          <w:lang w:val="en-GB"/>
        </w:rPr>
        <w:t>founded criticism o</w:t>
      </w:r>
      <w:r w:rsidR="004F2196">
        <w:rPr>
          <w:lang w:val="en-GB"/>
        </w:rPr>
        <w:t>f</w:t>
      </w:r>
      <w:r>
        <w:rPr>
          <w:lang w:val="en-GB"/>
        </w:rPr>
        <w:t xml:space="preserve"> the global human rights venture culminates in proposals for new paradigms. What is neglected </w:t>
      </w:r>
      <w:r w:rsidR="00C830A6">
        <w:rPr>
          <w:lang w:val="en-GB"/>
        </w:rPr>
        <w:t>t</w:t>
      </w:r>
      <w:r>
        <w:rPr>
          <w:lang w:val="en-GB"/>
        </w:rPr>
        <w:t xml:space="preserve">here is both the positive reception of human rights within the international community and the flexibility of the international venture to protect everyone’s basic human dignity by law. Following </w:t>
      </w:r>
      <w:proofErr w:type="spellStart"/>
      <w:r>
        <w:rPr>
          <w:lang w:val="en-GB"/>
        </w:rPr>
        <w:t>Loenen’s</w:t>
      </w:r>
      <w:proofErr w:type="spellEnd"/>
      <w:r>
        <w:rPr>
          <w:lang w:val="en-GB"/>
        </w:rPr>
        <w:t xml:space="preserve"> advice, </w:t>
      </w:r>
      <w:r w:rsidR="004F2196">
        <w:rPr>
          <w:lang w:val="en-GB"/>
        </w:rPr>
        <w:t>this</w:t>
      </w:r>
      <w:r>
        <w:rPr>
          <w:lang w:val="en-GB"/>
        </w:rPr>
        <w:t xml:space="preserve"> chapter will take the </w:t>
      </w:r>
      <w:r w:rsidRPr="00883445">
        <w:rPr>
          <w:lang w:val="en-GB"/>
        </w:rPr>
        <w:t xml:space="preserve">dynamic nature of </w:t>
      </w:r>
      <w:r>
        <w:rPr>
          <w:lang w:val="en-GB"/>
        </w:rPr>
        <w:t xml:space="preserve">international human rights in general, the Universal Declaration in particular, and more specifically </w:t>
      </w:r>
      <w:r w:rsidR="004F2196">
        <w:rPr>
          <w:lang w:val="en-GB"/>
        </w:rPr>
        <w:t xml:space="preserve">the </w:t>
      </w:r>
      <w:r w:rsidR="00EA0144">
        <w:rPr>
          <w:lang w:val="en-GB"/>
        </w:rPr>
        <w:t>F</w:t>
      </w:r>
      <w:r>
        <w:rPr>
          <w:lang w:val="en-GB"/>
        </w:rPr>
        <w:t xml:space="preserve">irst Article, as a starting point to a political economy approach towards the significance and implications of that crucial phrase </w:t>
      </w:r>
      <w:r>
        <w:rPr>
          <w:i/>
          <w:lang w:val="en-GB"/>
        </w:rPr>
        <w:t>equal in rights</w:t>
      </w:r>
      <w:r>
        <w:rPr>
          <w:lang w:val="en-GB"/>
        </w:rPr>
        <w:t>. This is a clause on which there is hardly any literature, let alone jurisprudence.</w:t>
      </w:r>
      <w:r w:rsidR="001C1EF8">
        <w:rPr>
          <w:rStyle w:val="Voetnootmarkering"/>
          <w:lang w:val="en-GB"/>
        </w:rPr>
        <w:footnoteReference w:id="13"/>
      </w:r>
      <w:r>
        <w:rPr>
          <w:lang w:val="en-GB"/>
        </w:rPr>
        <w:t xml:space="preserve"> However, it </w:t>
      </w:r>
      <w:r w:rsidR="004F2196">
        <w:rPr>
          <w:lang w:val="en-GB"/>
        </w:rPr>
        <w:lastRenderedPageBreak/>
        <w:t>is essential</w:t>
      </w:r>
      <w:r>
        <w:rPr>
          <w:lang w:val="en-GB"/>
        </w:rPr>
        <w:t xml:space="preserve"> to examine if in efforts to enhance true universality </w:t>
      </w:r>
      <w:r w:rsidR="001D540F">
        <w:rPr>
          <w:lang w:val="en-GB"/>
        </w:rPr>
        <w:t xml:space="preserve">of human rights -- </w:t>
      </w:r>
      <w:r>
        <w:rPr>
          <w:lang w:val="en-GB"/>
        </w:rPr>
        <w:t>without bias</w:t>
      </w:r>
      <w:r w:rsidR="001D540F">
        <w:rPr>
          <w:lang w:val="en-GB"/>
        </w:rPr>
        <w:t xml:space="preserve"> --</w:t>
      </w:r>
      <w:r>
        <w:rPr>
          <w:lang w:val="en-GB"/>
        </w:rPr>
        <w:t xml:space="preserve"> there might be </w:t>
      </w:r>
      <w:r w:rsidR="001D540F">
        <w:rPr>
          <w:lang w:val="en-GB"/>
        </w:rPr>
        <w:t xml:space="preserve">potential for a </w:t>
      </w:r>
      <w:r w:rsidR="005D493A">
        <w:rPr>
          <w:lang w:val="en-GB"/>
        </w:rPr>
        <w:t xml:space="preserve">methodological </w:t>
      </w:r>
      <w:r w:rsidR="001D540F">
        <w:rPr>
          <w:lang w:val="en-GB"/>
        </w:rPr>
        <w:t>approach.</w:t>
      </w:r>
    </w:p>
    <w:p w14:paraId="2DC4552B" w14:textId="059CDBCC" w:rsidR="004E1E58" w:rsidRPr="00883445" w:rsidRDefault="004E1E58" w:rsidP="004E1E58">
      <w:pPr>
        <w:spacing w:after="200"/>
        <w:jc w:val="both"/>
        <w:rPr>
          <w:color w:val="000000"/>
          <w:lang w:val="en-GB"/>
        </w:rPr>
      </w:pPr>
      <w:r w:rsidRPr="008231F2">
        <w:rPr>
          <w:lang w:val="en-GB"/>
        </w:rPr>
        <w:t>No</w:t>
      </w:r>
      <w:r>
        <w:rPr>
          <w:lang w:val="en-GB"/>
        </w:rPr>
        <w:t xml:space="preserve">tably, we abstain from </w:t>
      </w:r>
      <w:r w:rsidRPr="008231F2">
        <w:rPr>
          <w:lang w:val="en-GB"/>
        </w:rPr>
        <w:t xml:space="preserve">philosophical </w:t>
      </w:r>
      <w:r w:rsidR="004F2196">
        <w:rPr>
          <w:lang w:val="en-GB"/>
        </w:rPr>
        <w:t>i</w:t>
      </w:r>
      <w:r w:rsidRPr="008231F2">
        <w:rPr>
          <w:lang w:val="en-GB"/>
        </w:rPr>
        <w:t>nquir</w:t>
      </w:r>
      <w:r>
        <w:rPr>
          <w:lang w:val="en-GB"/>
        </w:rPr>
        <w:t xml:space="preserve">ies </w:t>
      </w:r>
      <w:r w:rsidRPr="008231F2">
        <w:rPr>
          <w:lang w:val="en-GB"/>
        </w:rPr>
        <w:t xml:space="preserve">into </w:t>
      </w:r>
      <w:r>
        <w:rPr>
          <w:lang w:val="en-GB"/>
        </w:rPr>
        <w:t xml:space="preserve">distinct meanings of </w:t>
      </w:r>
      <w:r w:rsidRPr="008231F2">
        <w:rPr>
          <w:lang w:val="en-GB"/>
        </w:rPr>
        <w:t>equality</w:t>
      </w:r>
      <w:r w:rsidR="004F2196">
        <w:rPr>
          <w:lang w:val="en-GB"/>
        </w:rPr>
        <w:t>, and instead</w:t>
      </w:r>
      <w:r w:rsidRPr="008231F2">
        <w:rPr>
          <w:lang w:val="en-GB"/>
        </w:rPr>
        <w:t xml:space="preserve"> </w:t>
      </w:r>
      <w:r>
        <w:rPr>
          <w:lang w:val="en-GB"/>
        </w:rPr>
        <w:t>start from existing human rights law in the light of</w:t>
      </w:r>
      <w:r w:rsidRPr="008231F2">
        <w:rPr>
          <w:lang w:val="en-GB"/>
        </w:rPr>
        <w:t xml:space="preserve"> concrete implications of inequality in actual struggles to protect human dignity. First, </w:t>
      </w:r>
      <w:r>
        <w:rPr>
          <w:lang w:val="en-GB"/>
        </w:rPr>
        <w:t xml:space="preserve">our focus will be on </w:t>
      </w:r>
      <w:r w:rsidRPr="008231F2">
        <w:rPr>
          <w:lang w:val="en-GB"/>
        </w:rPr>
        <w:t xml:space="preserve">universality </w:t>
      </w:r>
      <w:r>
        <w:rPr>
          <w:lang w:val="en-GB"/>
        </w:rPr>
        <w:t xml:space="preserve">as represented by the word </w:t>
      </w:r>
      <w:r w:rsidR="00DD67B0">
        <w:rPr>
          <w:lang w:val="en-GB"/>
        </w:rPr>
        <w:t>“</w:t>
      </w:r>
      <w:r>
        <w:rPr>
          <w:lang w:val="en-GB"/>
        </w:rPr>
        <w:t>all</w:t>
      </w:r>
      <w:r w:rsidR="00DD67B0">
        <w:rPr>
          <w:lang w:val="en-GB"/>
        </w:rPr>
        <w:t>.”</w:t>
      </w:r>
      <w:r>
        <w:rPr>
          <w:lang w:val="en-GB"/>
        </w:rPr>
        <w:t xml:space="preserve"> </w:t>
      </w:r>
      <w:r w:rsidR="00582D07">
        <w:rPr>
          <w:lang w:val="en-GB"/>
        </w:rPr>
        <w:t>Second,</w:t>
      </w:r>
      <w:r w:rsidR="00582D07" w:rsidRPr="008231F2">
        <w:rPr>
          <w:lang w:val="en-GB"/>
        </w:rPr>
        <w:t xml:space="preserve"> </w:t>
      </w:r>
      <w:r>
        <w:rPr>
          <w:lang w:val="en-GB"/>
        </w:rPr>
        <w:t xml:space="preserve">we will examine the general meaning and implications of </w:t>
      </w:r>
      <w:r w:rsidRPr="008231F2">
        <w:rPr>
          <w:lang w:val="en-GB"/>
        </w:rPr>
        <w:t>Article 1</w:t>
      </w:r>
      <w:r>
        <w:rPr>
          <w:lang w:val="en-GB"/>
        </w:rPr>
        <w:t xml:space="preserve">. </w:t>
      </w:r>
      <w:r w:rsidR="00582D07">
        <w:rPr>
          <w:lang w:val="en-GB"/>
        </w:rPr>
        <w:t>Third</w:t>
      </w:r>
      <w:r w:rsidRPr="008231F2">
        <w:rPr>
          <w:lang w:val="en-GB"/>
        </w:rPr>
        <w:t xml:space="preserve">, we shall look into </w:t>
      </w:r>
      <w:r>
        <w:rPr>
          <w:lang w:val="en-GB"/>
        </w:rPr>
        <w:t xml:space="preserve">the </w:t>
      </w:r>
      <w:r w:rsidRPr="008231F2">
        <w:rPr>
          <w:lang w:val="en-GB"/>
        </w:rPr>
        <w:t xml:space="preserve">general meaning </w:t>
      </w:r>
      <w:r>
        <w:rPr>
          <w:lang w:val="en-GB"/>
        </w:rPr>
        <w:t xml:space="preserve">of </w:t>
      </w:r>
      <w:r w:rsidRPr="008231F2">
        <w:rPr>
          <w:lang w:val="en-GB"/>
        </w:rPr>
        <w:t xml:space="preserve">equal in rights </w:t>
      </w:r>
      <w:r>
        <w:rPr>
          <w:lang w:val="en-GB"/>
        </w:rPr>
        <w:t>as a normative statement</w:t>
      </w:r>
      <w:r w:rsidRPr="008231F2">
        <w:rPr>
          <w:lang w:val="en-GB"/>
        </w:rPr>
        <w:t>, connecting the idea of human rights to both formal and substantive equality</w:t>
      </w:r>
      <w:r>
        <w:rPr>
          <w:lang w:val="en-GB"/>
        </w:rPr>
        <w:t xml:space="preserve">. Finally, the </w:t>
      </w:r>
      <w:r w:rsidR="00DD67B0">
        <w:rPr>
          <w:lang w:val="en-GB"/>
        </w:rPr>
        <w:t>“</w:t>
      </w:r>
      <w:r>
        <w:rPr>
          <w:lang w:val="en-GB"/>
        </w:rPr>
        <w:t>equal in rights</w:t>
      </w:r>
      <w:r w:rsidR="00DD67B0">
        <w:rPr>
          <w:lang w:val="en-GB"/>
        </w:rPr>
        <w:t>”</w:t>
      </w:r>
      <w:r>
        <w:rPr>
          <w:lang w:val="en-GB"/>
        </w:rPr>
        <w:t xml:space="preserve"> principle will be applied to the challenges of overcoming the global human rights deficit as apparent in the public/private divide, the impunity of state-related perpetrators of gross and systemic violations, abuse of the rights of oppressed </w:t>
      </w:r>
      <w:proofErr w:type="spellStart"/>
      <w:r>
        <w:rPr>
          <w:lang w:val="en-GB"/>
        </w:rPr>
        <w:t>collectivities</w:t>
      </w:r>
      <w:proofErr w:type="spellEnd"/>
      <w:r w:rsidR="00B970D8">
        <w:rPr>
          <w:lang w:val="en-GB"/>
        </w:rPr>
        <w:t>, and structural non-implementation of the rights of the poor</w:t>
      </w:r>
      <w:r>
        <w:rPr>
          <w:lang w:val="en-GB"/>
        </w:rPr>
        <w:t>.</w:t>
      </w:r>
    </w:p>
    <w:p w14:paraId="60041382" w14:textId="263BD213" w:rsidR="004E1E58" w:rsidRDefault="004E1E58" w:rsidP="004E1E58">
      <w:pPr>
        <w:rPr>
          <w:lang w:val="en-GB"/>
        </w:rPr>
      </w:pPr>
      <w:r>
        <w:rPr>
          <w:b/>
          <w:lang w:val="en-GB"/>
        </w:rPr>
        <w:t xml:space="preserve">The </w:t>
      </w:r>
      <w:r w:rsidR="00DD67B0">
        <w:rPr>
          <w:b/>
          <w:lang w:val="en-GB"/>
        </w:rPr>
        <w:t>S</w:t>
      </w:r>
      <w:r>
        <w:rPr>
          <w:b/>
          <w:lang w:val="en-GB"/>
        </w:rPr>
        <w:t xml:space="preserve">truggle for </w:t>
      </w:r>
      <w:r w:rsidR="00DD67B0">
        <w:rPr>
          <w:b/>
          <w:lang w:val="en-GB"/>
        </w:rPr>
        <w:t>T</w:t>
      </w:r>
      <w:r>
        <w:rPr>
          <w:b/>
          <w:lang w:val="en-GB"/>
        </w:rPr>
        <w:t xml:space="preserve">rue </w:t>
      </w:r>
      <w:r w:rsidR="00DD67B0">
        <w:rPr>
          <w:b/>
          <w:lang w:val="en-GB"/>
        </w:rPr>
        <w:t>U</w:t>
      </w:r>
      <w:r>
        <w:rPr>
          <w:b/>
          <w:lang w:val="en-GB"/>
        </w:rPr>
        <w:t>niversality</w:t>
      </w:r>
    </w:p>
    <w:p w14:paraId="176D479B" w14:textId="4E28A51C" w:rsidR="004E1E58" w:rsidRDefault="004E1E58" w:rsidP="004E1E58">
      <w:pPr>
        <w:jc w:val="both"/>
        <w:rPr>
          <w:lang w:val="en-GB"/>
        </w:rPr>
      </w:pPr>
      <w:r>
        <w:rPr>
          <w:lang w:val="en-GB"/>
        </w:rPr>
        <w:t xml:space="preserve">In assertions of an entirely </w:t>
      </w:r>
      <w:r w:rsidR="00DD67B0">
        <w:rPr>
          <w:lang w:val="en-GB"/>
        </w:rPr>
        <w:t>“</w:t>
      </w:r>
      <w:r>
        <w:rPr>
          <w:lang w:val="en-GB"/>
        </w:rPr>
        <w:t>Western</w:t>
      </w:r>
      <w:r w:rsidR="00DD67B0">
        <w:rPr>
          <w:lang w:val="en-GB"/>
        </w:rPr>
        <w:t>”</w:t>
      </w:r>
      <w:r>
        <w:rPr>
          <w:lang w:val="en-GB"/>
        </w:rPr>
        <w:t xml:space="preserve"> history of human rights</w:t>
      </w:r>
      <w:r w:rsidR="00DD67B0">
        <w:rPr>
          <w:lang w:val="en-GB"/>
        </w:rPr>
        <w:t>,</w:t>
      </w:r>
      <w:r>
        <w:rPr>
          <w:lang w:val="en-GB"/>
        </w:rPr>
        <w:t xml:space="preserve"> it is usually assumed that these are to be seen as inalienable rights to protect citizens against their own sovereign, </w:t>
      </w:r>
      <w:r w:rsidRPr="00E50F70">
        <w:rPr>
          <w:i/>
          <w:lang w:val="en-GB"/>
        </w:rPr>
        <w:t>viz.</w:t>
      </w:r>
      <w:r>
        <w:rPr>
          <w:lang w:val="en-GB"/>
        </w:rPr>
        <w:t xml:space="preserve"> the state. Crucial here is the notion of rights, regarded as (primarily individual) interests protected by law.</w:t>
      </w:r>
      <w:r>
        <w:rPr>
          <w:rStyle w:val="Voetnootmarkering"/>
          <w:lang w:val="en-GB"/>
        </w:rPr>
        <w:footnoteReference w:id="14"/>
      </w:r>
      <w:r>
        <w:rPr>
          <w:lang w:val="en-GB"/>
        </w:rPr>
        <w:t xml:space="preserve"> Human rights, then, are fundamental interests, </w:t>
      </w:r>
      <w:r w:rsidRPr="003F7F48">
        <w:rPr>
          <w:i/>
          <w:lang w:val="en-GB"/>
        </w:rPr>
        <w:t>viz.</w:t>
      </w:r>
      <w:r>
        <w:rPr>
          <w:lang w:val="en-GB"/>
        </w:rPr>
        <w:t xml:space="preserve"> fundamental freedoms and basic human entitlements, protected by law. It is crucial that these are truly inalienable, which </w:t>
      </w:r>
      <w:r w:rsidR="00923979">
        <w:rPr>
          <w:lang w:val="en-GB"/>
        </w:rPr>
        <w:t>means</w:t>
      </w:r>
      <w:r>
        <w:rPr>
          <w:lang w:val="en-GB"/>
        </w:rPr>
        <w:t xml:space="preserve"> sacrosanct in confrontations with any state. Since to a large extent the formation of modern nation</w:t>
      </w:r>
      <w:r w:rsidR="003F1D6D">
        <w:rPr>
          <w:lang w:val="en-GB"/>
        </w:rPr>
        <w:t xml:space="preserve"> </w:t>
      </w:r>
      <w:r>
        <w:rPr>
          <w:lang w:val="en-GB"/>
        </w:rPr>
        <w:t xml:space="preserve">states began in </w:t>
      </w:r>
      <w:r w:rsidR="00DD67B0">
        <w:rPr>
          <w:lang w:val="en-GB"/>
        </w:rPr>
        <w:t>“</w:t>
      </w:r>
      <w:r>
        <w:rPr>
          <w:lang w:val="en-GB"/>
        </w:rPr>
        <w:t>the West</w:t>
      </w:r>
      <w:r w:rsidR="00EA0144">
        <w:rPr>
          <w:lang w:val="en-GB"/>
        </w:rPr>
        <w:t>,</w:t>
      </w:r>
      <w:r w:rsidR="00DD67B0">
        <w:rPr>
          <w:lang w:val="en-GB"/>
        </w:rPr>
        <w:t>”</w:t>
      </w:r>
      <w:r>
        <w:rPr>
          <w:lang w:val="en-GB"/>
        </w:rPr>
        <w:t xml:space="preserve"> so did the struggle for </w:t>
      </w:r>
      <w:r w:rsidR="003F1D6D">
        <w:rPr>
          <w:lang w:val="en-GB"/>
        </w:rPr>
        <w:t xml:space="preserve">the </w:t>
      </w:r>
      <w:r>
        <w:rPr>
          <w:lang w:val="en-GB"/>
        </w:rPr>
        <w:t>inalienability of rights. Indeed, if rights pertaining to freedoms and entitlements derived from people</w:t>
      </w:r>
      <w:r w:rsidR="0062195C">
        <w:rPr>
          <w:lang w:val="en-GB"/>
        </w:rPr>
        <w:t>’</w:t>
      </w:r>
      <w:r>
        <w:rPr>
          <w:lang w:val="en-GB"/>
        </w:rPr>
        <w:t xml:space="preserve">s </w:t>
      </w:r>
      <w:r w:rsidR="00DA30BD">
        <w:rPr>
          <w:lang w:val="en-GB"/>
        </w:rPr>
        <w:t xml:space="preserve">basic human dignity </w:t>
      </w:r>
      <w:r>
        <w:rPr>
          <w:lang w:val="en-GB"/>
        </w:rPr>
        <w:t xml:space="preserve">could be simply </w:t>
      </w:r>
      <w:r>
        <w:rPr>
          <w:lang w:val="en-GB"/>
        </w:rPr>
        <w:lastRenderedPageBreak/>
        <w:t xml:space="preserve">taken away </w:t>
      </w:r>
      <w:r w:rsidR="00C62B29">
        <w:rPr>
          <w:lang w:val="en-GB"/>
        </w:rPr>
        <w:t xml:space="preserve">based upon </w:t>
      </w:r>
      <w:r w:rsidR="00DD67B0">
        <w:rPr>
          <w:lang w:val="en-GB"/>
        </w:rPr>
        <w:t>“</w:t>
      </w:r>
      <w:r>
        <w:rPr>
          <w:lang w:val="en-GB"/>
        </w:rPr>
        <w:t>raisons d’état</w:t>
      </w:r>
      <w:r w:rsidR="00C62B29">
        <w:rPr>
          <w:lang w:val="en-GB"/>
        </w:rPr>
        <w:t>,</w:t>
      </w:r>
      <w:r w:rsidR="00DD67B0">
        <w:rPr>
          <w:lang w:val="en-GB"/>
        </w:rPr>
        <w:t>”</w:t>
      </w:r>
      <w:r>
        <w:rPr>
          <w:lang w:val="en-GB"/>
        </w:rPr>
        <w:t xml:space="preserve"> they would lose all meaning. Thus, the history of the human rights </w:t>
      </w:r>
      <w:r w:rsidR="00DD67B0">
        <w:rPr>
          <w:lang w:val="en-GB"/>
        </w:rPr>
        <w:t>endeavour</w:t>
      </w:r>
      <w:r>
        <w:rPr>
          <w:lang w:val="en-GB"/>
        </w:rPr>
        <w:t xml:space="preserve"> became a struggle for the rule of law</w:t>
      </w:r>
      <w:r w:rsidR="00C62B29">
        <w:rPr>
          <w:lang w:val="en-GB"/>
        </w:rPr>
        <w:t>;</w:t>
      </w:r>
      <w:r>
        <w:rPr>
          <w:lang w:val="en-GB"/>
        </w:rPr>
        <w:t xml:space="preserve"> in the sense </w:t>
      </w:r>
      <w:r w:rsidR="00C62B29">
        <w:rPr>
          <w:lang w:val="en-GB"/>
        </w:rPr>
        <w:t>that a</w:t>
      </w:r>
      <w:r>
        <w:rPr>
          <w:lang w:val="en-GB"/>
        </w:rPr>
        <w:t xml:space="preserve"> state is itself subject to established legality, too, and committed to respect the rights of its citizens including their </w:t>
      </w:r>
      <w:r w:rsidRPr="0001623B">
        <w:rPr>
          <w:i/>
          <w:lang w:val="en-GB"/>
        </w:rPr>
        <w:t>human</w:t>
      </w:r>
      <w:r>
        <w:rPr>
          <w:lang w:val="en-GB"/>
        </w:rPr>
        <w:t xml:space="preserve"> rights. </w:t>
      </w:r>
    </w:p>
    <w:p w14:paraId="5660D5EE" w14:textId="77777777" w:rsidR="004E1E58" w:rsidRDefault="004E1E58" w:rsidP="004E1E58">
      <w:pPr>
        <w:jc w:val="both"/>
        <w:rPr>
          <w:lang w:val="en-GB"/>
        </w:rPr>
      </w:pPr>
    </w:p>
    <w:p w14:paraId="5BFBF662" w14:textId="03407587" w:rsidR="004E1E58" w:rsidRDefault="004E1E58" w:rsidP="004E1E58">
      <w:pPr>
        <w:jc w:val="both"/>
        <w:rPr>
          <w:lang w:val="en-GB"/>
        </w:rPr>
      </w:pPr>
      <w:r>
        <w:rPr>
          <w:lang w:val="en-GB"/>
        </w:rPr>
        <w:t xml:space="preserve">Actually, however, this is just the account of a struggle to realise one particular category of fundamental rights, called civil and political rights, </w:t>
      </w:r>
      <w:r w:rsidR="00DA30BD">
        <w:rPr>
          <w:lang w:val="en-GB"/>
        </w:rPr>
        <w:t>intended</w:t>
      </w:r>
      <w:r>
        <w:rPr>
          <w:lang w:val="en-GB"/>
        </w:rPr>
        <w:t xml:space="preserve"> to protect fundamental freedoms </w:t>
      </w:r>
      <w:r w:rsidR="00DA30BD">
        <w:rPr>
          <w:lang w:val="en-GB"/>
        </w:rPr>
        <w:t xml:space="preserve">primarily </w:t>
      </w:r>
      <w:r>
        <w:rPr>
          <w:lang w:val="en-GB"/>
        </w:rPr>
        <w:t>against state power. In terms of realising peoples</w:t>
      </w:r>
      <w:r w:rsidR="004B3803">
        <w:rPr>
          <w:lang w:val="en-GB"/>
        </w:rPr>
        <w:t>’</w:t>
      </w:r>
      <w:r>
        <w:rPr>
          <w:lang w:val="en-GB"/>
        </w:rPr>
        <w:t xml:space="preserve"> basic human dignity in a confrontational context, the struggles to implement a second category called economic, social and cultural rights, meant to ensure peoples</w:t>
      </w:r>
      <w:r w:rsidR="004B3803">
        <w:rPr>
          <w:lang w:val="en-GB"/>
        </w:rPr>
        <w:t>’</w:t>
      </w:r>
      <w:r>
        <w:rPr>
          <w:lang w:val="en-GB"/>
        </w:rPr>
        <w:t xml:space="preserve"> basic entitlements, are no less crucial, and that applies to the whole world including </w:t>
      </w:r>
      <w:r w:rsidR="004B3803">
        <w:rPr>
          <w:lang w:val="en-GB"/>
        </w:rPr>
        <w:t>“</w:t>
      </w:r>
      <w:r>
        <w:rPr>
          <w:lang w:val="en-GB"/>
        </w:rPr>
        <w:t>the West</w:t>
      </w:r>
      <w:r w:rsidR="004B3803">
        <w:rPr>
          <w:lang w:val="en-GB"/>
        </w:rPr>
        <w:t>.”</w:t>
      </w:r>
      <w:r>
        <w:rPr>
          <w:lang w:val="en-GB"/>
        </w:rPr>
        <w:t xml:space="preserve"> Illustrative in this respect is the </w:t>
      </w:r>
      <w:r w:rsidR="004B3803">
        <w:rPr>
          <w:lang w:val="en-GB"/>
        </w:rPr>
        <w:t>“</w:t>
      </w:r>
      <w:r>
        <w:rPr>
          <w:lang w:val="en-GB"/>
        </w:rPr>
        <w:t>right to work</w:t>
      </w:r>
      <w:r w:rsidR="004B3803">
        <w:rPr>
          <w:lang w:val="en-GB"/>
        </w:rPr>
        <w:t>”</w:t>
      </w:r>
      <w:r>
        <w:rPr>
          <w:lang w:val="en-GB"/>
        </w:rPr>
        <w:t xml:space="preserve"> (UDHR art. 23), a </w:t>
      </w:r>
      <w:r w:rsidR="004B3803">
        <w:rPr>
          <w:lang w:val="en-GB"/>
        </w:rPr>
        <w:t>“</w:t>
      </w:r>
      <w:r>
        <w:rPr>
          <w:lang w:val="en-GB"/>
        </w:rPr>
        <w:t>universally declared</w:t>
      </w:r>
      <w:r w:rsidR="004B3803">
        <w:rPr>
          <w:lang w:val="en-GB"/>
        </w:rPr>
        <w:t>”</w:t>
      </w:r>
      <w:r>
        <w:rPr>
          <w:lang w:val="en-GB"/>
        </w:rPr>
        <w:t xml:space="preserve"> right that is devoid of legal significance in any kind of jurisdiction </w:t>
      </w:r>
      <w:r w:rsidR="009607AB">
        <w:rPr>
          <w:lang w:val="en-GB"/>
        </w:rPr>
        <w:t>in the sense of grounding concrete claims</w:t>
      </w:r>
      <w:r w:rsidR="00D7051E">
        <w:rPr>
          <w:lang w:val="en-GB"/>
        </w:rPr>
        <w:t xml:space="preserve"> to employment</w:t>
      </w:r>
      <w:r w:rsidR="009607AB">
        <w:rPr>
          <w:lang w:val="en-GB"/>
        </w:rPr>
        <w:t>. Additionally, the “right to work” appears to be</w:t>
      </w:r>
      <w:r>
        <w:rPr>
          <w:lang w:val="en-GB"/>
        </w:rPr>
        <w:t xml:space="preserve"> practically absent from day-to-day politics in whatever situation of gross and systemic unemployment.</w:t>
      </w:r>
      <w:r w:rsidR="009607AB">
        <w:rPr>
          <w:rStyle w:val="Voetnootmarkering"/>
          <w:lang w:val="en-GB"/>
        </w:rPr>
        <w:footnoteReference w:id="15"/>
      </w:r>
      <w:r>
        <w:rPr>
          <w:lang w:val="en-GB"/>
        </w:rPr>
        <w:t xml:space="preserve">  </w:t>
      </w:r>
    </w:p>
    <w:p w14:paraId="6C27EF28" w14:textId="77777777" w:rsidR="004E1E58" w:rsidRDefault="004E1E58" w:rsidP="004E1E58">
      <w:pPr>
        <w:jc w:val="both"/>
        <w:rPr>
          <w:lang w:val="en-GB"/>
        </w:rPr>
      </w:pPr>
    </w:p>
    <w:p w14:paraId="530EBE67" w14:textId="6A19FE52" w:rsidR="004E1E58" w:rsidRDefault="004E1E58" w:rsidP="004E1E58">
      <w:pPr>
        <w:jc w:val="both"/>
        <w:rPr>
          <w:lang w:val="en-GB"/>
        </w:rPr>
      </w:pPr>
      <w:r>
        <w:rPr>
          <w:lang w:val="en-GB"/>
        </w:rPr>
        <w:t xml:space="preserve">Moreover, while first restricted to citizens’ rights, international efforts have extended the endeavour to realise fundamental freedoms protecting people against abuse of power and to ensure basic entitlements to sustain daily livelihoods, to </w:t>
      </w:r>
      <w:r w:rsidRPr="00AF318D">
        <w:rPr>
          <w:i/>
          <w:lang w:val="en-GB"/>
        </w:rPr>
        <w:t>all</w:t>
      </w:r>
      <w:r>
        <w:rPr>
          <w:i/>
          <w:lang w:val="en-GB"/>
        </w:rPr>
        <w:t xml:space="preserve"> human beings</w:t>
      </w:r>
      <w:r>
        <w:rPr>
          <w:lang w:val="en-GB"/>
        </w:rPr>
        <w:t xml:space="preserve">. Naturally, this happens to be a mega struggle too, a meta-Western one for that matter, and not </w:t>
      </w:r>
      <w:r w:rsidR="00F41A08">
        <w:rPr>
          <w:lang w:val="en-GB"/>
        </w:rPr>
        <w:t xml:space="preserve">only </w:t>
      </w:r>
      <w:r>
        <w:rPr>
          <w:lang w:val="en-GB"/>
        </w:rPr>
        <w:t xml:space="preserve">a battle </w:t>
      </w:r>
      <w:r w:rsidRPr="00AF318D">
        <w:rPr>
          <w:i/>
          <w:lang w:val="en-GB"/>
        </w:rPr>
        <w:t>against</w:t>
      </w:r>
      <w:r>
        <w:rPr>
          <w:lang w:val="en-GB"/>
        </w:rPr>
        <w:t xml:space="preserve"> </w:t>
      </w:r>
      <w:r w:rsidR="00F41A08">
        <w:rPr>
          <w:lang w:val="en-GB"/>
        </w:rPr>
        <w:t>“</w:t>
      </w:r>
      <w:r>
        <w:rPr>
          <w:lang w:val="en-GB"/>
        </w:rPr>
        <w:t>the West</w:t>
      </w:r>
      <w:r w:rsidR="008135B1">
        <w:rPr>
          <w:lang w:val="en-GB"/>
        </w:rPr>
        <w:t>,</w:t>
      </w:r>
      <w:r w:rsidR="00F41A08">
        <w:rPr>
          <w:lang w:val="en-GB"/>
        </w:rPr>
        <w:t>”</w:t>
      </w:r>
      <w:r>
        <w:rPr>
          <w:lang w:val="en-GB"/>
        </w:rPr>
        <w:t xml:space="preserve"> </w:t>
      </w:r>
      <w:r w:rsidR="008135B1">
        <w:rPr>
          <w:lang w:val="en-GB"/>
        </w:rPr>
        <w:t xml:space="preserve">as in the case of the slave trade, </w:t>
      </w:r>
      <w:r>
        <w:rPr>
          <w:lang w:val="en-GB"/>
        </w:rPr>
        <w:t>slavery</w:t>
      </w:r>
      <w:r w:rsidR="008135B1">
        <w:rPr>
          <w:lang w:val="en-GB"/>
        </w:rPr>
        <w:t>,</w:t>
      </w:r>
      <w:r>
        <w:rPr>
          <w:lang w:val="en-GB"/>
        </w:rPr>
        <w:t xml:space="preserve"> and of colonialism in all its manifestations of oppression of </w:t>
      </w:r>
      <w:r w:rsidR="00F41A08">
        <w:rPr>
          <w:lang w:val="en-GB"/>
        </w:rPr>
        <w:t>“</w:t>
      </w:r>
      <w:r>
        <w:rPr>
          <w:lang w:val="en-GB"/>
        </w:rPr>
        <w:t>the others</w:t>
      </w:r>
      <w:r w:rsidR="00F41A08">
        <w:rPr>
          <w:lang w:val="en-GB"/>
        </w:rPr>
        <w:t>”</w:t>
      </w:r>
      <w:r>
        <w:rPr>
          <w:lang w:val="en-GB"/>
        </w:rPr>
        <w:t xml:space="preserve"> (the natives). Notably, the struggle against such</w:t>
      </w:r>
      <w:r w:rsidR="003F1D6D">
        <w:rPr>
          <w:lang w:val="en-GB"/>
        </w:rPr>
        <w:t xml:space="preserve"> a</w:t>
      </w:r>
      <w:r>
        <w:rPr>
          <w:lang w:val="en-GB"/>
        </w:rPr>
        <w:t xml:space="preserve"> systemic denial of universal human rights has been full of contradictions. Thus, in </w:t>
      </w:r>
      <w:r w:rsidR="00EA0144">
        <w:rPr>
          <w:lang w:val="en-GB"/>
        </w:rPr>
        <w:t xml:space="preserve">the </w:t>
      </w:r>
      <w:r>
        <w:rPr>
          <w:lang w:val="en-GB"/>
        </w:rPr>
        <w:t>Declaration of Independence, 1776, the United States plainly declared:</w:t>
      </w:r>
    </w:p>
    <w:p w14:paraId="77AB4C68" w14:textId="77777777" w:rsidR="004E1E58" w:rsidRDefault="004E1E58" w:rsidP="004E1E58">
      <w:pPr>
        <w:jc w:val="both"/>
        <w:rPr>
          <w:lang w:val="en-GB"/>
        </w:rPr>
      </w:pPr>
    </w:p>
    <w:p w14:paraId="019F2D91" w14:textId="04245045" w:rsidR="004E1E58" w:rsidRPr="00C50F0B" w:rsidRDefault="004E1E58" w:rsidP="00954B19">
      <w:pPr>
        <w:ind w:left="720" w:right="720"/>
        <w:jc w:val="both"/>
        <w:rPr>
          <w:lang w:val="en-GB"/>
        </w:rPr>
      </w:pPr>
      <w:r w:rsidRPr="00C50F0B">
        <w:rPr>
          <w:color w:val="000000" w:themeColor="text1"/>
        </w:rPr>
        <w:t>We hold these Truths to be self-evident, that all Men are created equal, that they are endowed, by their CREATOR, with certain unalienable Rights, that among these are Life, Liberty, and the Pursuit of Happiness.</w:t>
      </w:r>
      <w:r>
        <w:rPr>
          <w:color w:val="000000" w:themeColor="text1"/>
        </w:rPr>
        <w:t xml:space="preserve"> </w:t>
      </w:r>
      <w:r w:rsidRPr="00C50F0B">
        <w:rPr>
          <w:color w:val="000000" w:themeColor="text1"/>
        </w:rPr>
        <w:t>That to secure these Rights, Governments are instituted among Men, deriving their just Powers from the Consent of the Governed</w:t>
      </w:r>
      <w:r>
        <w:rPr>
          <w:color w:val="000000" w:themeColor="text1"/>
          <w:lang w:val="en-GB"/>
        </w:rPr>
        <w:t>…</w:t>
      </w:r>
    </w:p>
    <w:p w14:paraId="52A3C9D9" w14:textId="77777777" w:rsidR="004E1E58" w:rsidRDefault="004E1E58" w:rsidP="004E1E58">
      <w:pPr>
        <w:jc w:val="both"/>
        <w:rPr>
          <w:lang w:val="en-GB"/>
        </w:rPr>
      </w:pPr>
    </w:p>
    <w:p w14:paraId="7083702F" w14:textId="0853112C" w:rsidR="004E1E58" w:rsidRPr="004E27C2" w:rsidRDefault="004E1E58" w:rsidP="004E1E58">
      <w:pPr>
        <w:jc w:val="both"/>
      </w:pPr>
      <w:r>
        <w:rPr>
          <w:lang w:val="en-GB"/>
        </w:rPr>
        <w:t xml:space="preserve">Unbelievably, however, normative notions </w:t>
      </w:r>
      <w:r w:rsidR="00EA0144">
        <w:rPr>
          <w:lang w:val="en-GB"/>
        </w:rPr>
        <w:t xml:space="preserve">such </w:t>
      </w:r>
      <w:r>
        <w:rPr>
          <w:lang w:val="en-GB"/>
        </w:rPr>
        <w:t xml:space="preserve">as </w:t>
      </w:r>
      <w:r w:rsidR="00F41A08">
        <w:rPr>
          <w:lang w:val="en-GB"/>
        </w:rPr>
        <w:t>“</w:t>
      </w:r>
      <w:r>
        <w:rPr>
          <w:lang w:val="en-GB"/>
        </w:rPr>
        <w:t>equal</w:t>
      </w:r>
      <w:r w:rsidR="00F41A08">
        <w:rPr>
          <w:lang w:val="en-GB"/>
        </w:rPr>
        <w:t>,”</w:t>
      </w:r>
      <w:r>
        <w:rPr>
          <w:lang w:val="en-GB"/>
        </w:rPr>
        <w:t xml:space="preserve"> </w:t>
      </w:r>
      <w:r w:rsidR="00F41A08">
        <w:rPr>
          <w:lang w:val="en-GB"/>
        </w:rPr>
        <w:t>“</w:t>
      </w:r>
      <w:r>
        <w:rPr>
          <w:lang w:val="en-GB"/>
        </w:rPr>
        <w:t>liberty</w:t>
      </w:r>
      <w:r w:rsidR="00F41A08">
        <w:rPr>
          <w:lang w:val="en-GB"/>
        </w:rPr>
        <w:t>,”</w:t>
      </w:r>
      <w:r>
        <w:rPr>
          <w:lang w:val="en-GB"/>
        </w:rPr>
        <w:t xml:space="preserve"> and </w:t>
      </w:r>
      <w:r w:rsidR="00F41A08">
        <w:rPr>
          <w:lang w:val="en-GB"/>
        </w:rPr>
        <w:t>“</w:t>
      </w:r>
      <w:r>
        <w:rPr>
          <w:lang w:val="en-GB"/>
        </w:rPr>
        <w:t>consent of the governed</w:t>
      </w:r>
      <w:r w:rsidR="00F41A08">
        <w:rPr>
          <w:lang w:val="en-GB"/>
        </w:rPr>
        <w:t>”</w:t>
      </w:r>
      <w:r>
        <w:rPr>
          <w:lang w:val="en-GB"/>
        </w:rPr>
        <w:t xml:space="preserve"> excluded indigenous peoples, slaves,</w:t>
      </w:r>
      <w:r w:rsidR="008135B1">
        <w:rPr>
          <w:lang w:val="en-GB"/>
        </w:rPr>
        <w:t xml:space="preserve"> women,</w:t>
      </w:r>
      <w:r w:rsidR="00262F6C">
        <w:rPr>
          <w:rStyle w:val="Voetnootmarkering"/>
          <w:lang w:val="en-GB"/>
        </w:rPr>
        <w:footnoteReference w:id="16"/>
      </w:r>
      <w:r>
        <w:rPr>
          <w:lang w:val="en-GB"/>
        </w:rPr>
        <w:t xml:space="preserve"> and the like. Indeed, </w:t>
      </w:r>
      <w:r w:rsidRPr="00802CBC">
        <w:t xml:space="preserve">the </w:t>
      </w:r>
      <w:r w:rsidRPr="00802CBC">
        <w:lastRenderedPageBreak/>
        <w:t xml:space="preserve">laws of </w:t>
      </w:r>
      <w:r w:rsidR="00F41A08">
        <w:t>s</w:t>
      </w:r>
      <w:r w:rsidRPr="00802CBC">
        <w:t xml:space="preserve">lave </w:t>
      </w:r>
      <w:r w:rsidR="00F41A08">
        <w:t>s</w:t>
      </w:r>
      <w:r w:rsidRPr="00802CBC">
        <w:t>tates call</w:t>
      </w:r>
      <w:r>
        <w:t>ed</w:t>
      </w:r>
      <w:r w:rsidRPr="00802CBC">
        <w:t xml:space="preserve"> </w:t>
      </w:r>
      <w:r>
        <w:t>the slave</w:t>
      </w:r>
      <w:r w:rsidRPr="00802CBC">
        <w:t xml:space="preserve"> </w:t>
      </w:r>
      <w:r w:rsidR="00F41A08">
        <w:t>“</w:t>
      </w:r>
      <w:r w:rsidRPr="00802CBC">
        <w:t>a chattel personal</w:t>
      </w:r>
      <w:r w:rsidR="00F41A08">
        <w:rPr>
          <w:lang w:val="en-GB"/>
        </w:rPr>
        <w:t>.”</w:t>
      </w:r>
      <w:r>
        <w:rPr>
          <w:lang w:val="en-GB"/>
        </w:rPr>
        <w:t xml:space="preserve"> Yet, it is precisely her reflection on universal morality that induced Angelina </w:t>
      </w:r>
      <w:proofErr w:type="spellStart"/>
      <w:r>
        <w:rPr>
          <w:lang w:val="en-GB"/>
        </w:rPr>
        <w:t>Grimké</w:t>
      </w:r>
      <w:proofErr w:type="spellEnd"/>
      <w:r>
        <w:rPr>
          <w:lang w:val="en-GB"/>
        </w:rPr>
        <w:t xml:space="preserve">, </w:t>
      </w:r>
      <w:r w:rsidR="003F1D6D">
        <w:rPr>
          <w:lang w:val="en-GB"/>
        </w:rPr>
        <w:t xml:space="preserve">the </w:t>
      </w:r>
      <w:r w:rsidRPr="004E27C2">
        <w:t>daughter of a slaveholder</w:t>
      </w:r>
      <w:r w:rsidR="003F1D6D">
        <w:t>,</w:t>
      </w:r>
      <w:r w:rsidRPr="004E27C2">
        <w:t xml:space="preserve"> </w:t>
      </w:r>
      <w:r>
        <w:t xml:space="preserve">to become </w:t>
      </w:r>
      <w:r w:rsidRPr="004E27C2">
        <w:t>an active abolitionist</w:t>
      </w:r>
      <w:r>
        <w:t>. In a letter written in 1838 she acknowledge</w:t>
      </w:r>
      <w:r w:rsidR="00EA0144">
        <w:t>d</w:t>
      </w:r>
      <w:r>
        <w:t xml:space="preserve"> </w:t>
      </w:r>
      <w:r w:rsidR="00F41A08">
        <w:t>“</w:t>
      </w:r>
      <w:r>
        <w:t>the rights of the slave</w:t>
      </w:r>
      <w:r w:rsidR="00F41A08">
        <w:t>”</w:t>
      </w:r>
      <w:r>
        <w:t xml:space="preserve"> arguing</w:t>
      </w:r>
      <w:r w:rsidRPr="004E27C2">
        <w:t>:</w:t>
      </w:r>
    </w:p>
    <w:p w14:paraId="7D73A505" w14:textId="77777777" w:rsidR="004E1E58" w:rsidRPr="00FF17D4" w:rsidRDefault="004E1E58" w:rsidP="00954B19">
      <w:pPr>
        <w:pStyle w:val="extla"/>
        <w:spacing w:line="240" w:lineRule="auto"/>
        <w:ind w:left="720" w:right="720"/>
        <w:rPr>
          <w:sz w:val="24"/>
          <w:szCs w:val="24"/>
        </w:rPr>
      </w:pPr>
      <w:r w:rsidRPr="004E27C2">
        <w:rPr>
          <w:sz w:val="24"/>
          <w:szCs w:val="24"/>
        </w:rPr>
        <w:t xml:space="preserve">The investigation of the rights of the slave has led me to a better understanding of my own. I have found the Anti-slavery clause to be the high school of morals in our land – the school in which morals are more fully investigated and better understood and taught, than in any other. Here a great fundamental principle is uplifted and illuminated, and from this central light rays innumerable stream all around. Human beings have </w:t>
      </w:r>
      <w:r w:rsidRPr="004E27C2">
        <w:rPr>
          <w:i/>
          <w:sz w:val="24"/>
          <w:szCs w:val="24"/>
        </w:rPr>
        <w:t>rights</w:t>
      </w:r>
      <w:r w:rsidRPr="004E27C2">
        <w:rPr>
          <w:sz w:val="24"/>
          <w:szCs w:val="24"/>
        </w:rPr>
        <w:t>, because they are moral beings: the rights of all men grown out of their moral nature; they have essentially the same rights.</w:t>
      </w:r>
      <w:r>
        <w:rPr>
          <w:rStyle w:val="Voetnootmarkering"/>
          <w:sz w:val="24"/>
          <w:szCs w:val="24"/>
        </w:rPr>
        <w:footnoteReference w:id="17"/>
      </w:r>
    </w:p>
    <w:p w14:paraId="588EAB06" w14:textId="59B772D8" w:rsidR="004E1E58" w:rsidRPr="00531569" w:rsidRDefault="004E1E58" w:rsidP="004E1E58">
      <w:pPr>
        <w:pStyle w:val="extla"/>
        <w:spacing w:line="240" w:lineRule="auto"/>
        <w:ind w:left="0"/>
        <w:rPr>
          <w:sz w:val="24"/>
          <w:szCs w:val="24"/>
        </w:rPr>
      </w:pPr>
      <w:r w:rsidRPr="00FF17D4">
        <w:rPr>
          <w:sz w:val="24"/>
          <w:szCs w:val="24"/>
        </w:rPr>
        <w:t xml:space="preserve">The </w:t>
      </w:r>
      <w:r w:rsidR="00F41A08">
        <w:rPr>
          <w:sz w:val="24"/>
          <w:szCs w:val="24"/>
        </w:rPr>
        <w:t>“</w:t>
      </w:r>
      <w:r w:rsidRPr="00FF17D4">
        <w:rPr>
          <w:sz w:val="24"/>
          <w:szCs w:val="24"/>
        </w:rPr>
        <w:t>Anti-slavery clause</w:t>
      </w:r>
      <w:r w:rsidR="00F41A08">
        <w:rPr>
          <w:sz w:val="24"/>
          <w:szCs w:val="24"/>
        </w:rPr>
        <w:t>”</w:t>
      </w:r>
      <w:r w:rsidRPr="00FF17D4">
        <w:rPr>
          <w:sz w:val="24"/>
          <w:szCs w:val="24"/>
        </w:rPr>
        <w:t xml:space="preserve"> refers to Thomas Jefferson</w:t>
      </w:r>
      <w:r w:rsidR="00923979">
        <w:rPr>
          <w:sz w:val="24"/>
          <w:szCs w:val="24"/>
        </w:rPr>
        <w:t>’</w:t>
      </w:r>
      <w:r w:rsidRPr="00FF17D4">
        <w:rPr>
          <w:sz w:val="24"/>
          <w:szCs w:val="24"/>
        </w:rPr>
        <w:t xml:space="preserve">s draft of the Declaration of Independence. Much of </w:t>
      </w:r>
      <w:r>
        <w:rPr>
          <w:sz w:val="24"/>
          <w:szCs w:val="24"/>
        </w:rPr>
        <w:t>that</w:t>
      </w:r>
      <w:r w:rsidRPr="00FF17D4">
        <w:rPr>
          <w:sz w:val="24"/>
          <w:szCs w:val="24"/>
        </w:rPr>
        <w:t xml:space="preserve"> draft was ultimately adopted by Congress, but </w:t>
      </w:r>
      <w:r w:rsidR="00923979">
        <w:rPr>
          <w:sz w:val="24"/>
          <w:szCs w:val="24"/>
        </w:rPr>
        <w:t>only after</w:t>
      </w:r>
      <w:r w:rsidRPr="00FF17D4">
        <w:rPr>
          <w:sz w:val="24"/>
          <w:szCs w:val="24"/>
        </w:rPr>
        <w:t xml:space="preserve"> remov</w:t>
      </w:r>
      <w:r w:rsidR="00923979">
        <w:rPr>
          <w:sz w:val="24"/>
          <w:szCs w:val="24"/>
        </w:rPr>
        <w:t>ing</w:t>
      </w:r>
      <w:r w:rsidRPr="00FF17D4">
        <w:rPr>
          <w:sz w:val="24"/>
          <w:szCs w:val="24"/>
        </w:rPr>
        <w:t xml:space="preserve"> his clause on </w:t>
      </w:r>
      <w:r>
        <w:rPr>
          <w:sz w:val="24"/>
          <w:szCs w:val="24"/>
        </w:rPr>
        <w:t xml:space="preserve">British </w:t>
      </w:r>
      <w:r w:rsidRPr="00FF17D4">
        <w:rPr>
          <w:sz w:val="24"/>
          <w:szCs w:val="24"/>
        </w:rPr>
        <w:t xml:space="preserve">culpability in promoting the slave trade in America </w:t>
      </w:r>
      <w:r>
        <w:rPr>
          <w:sz w:val="24"/>
          <w:szCs w:val="24"/>
        </w:rPr>
        <w:t>and o</w:t>
      </w:r>
      <w:r w:rsidRPr="00FF17D4">
        <w:rPr>
          <w:sz w:val="24"/>
          <w:szCs w:val="24"/>
        </w:rPr>
        <w:t xml:space="preserve">n encouraging slaves to rise up in insurrection against their slaveholders. </w:t>
      </w:r>
      <w:r>
        <w:rPr>
          <w:sz w:val="24"/>
          <w:szCs w:val="24"/>
        </w:rPr>
        <w:t xml:space="preserve">Later </w:t>
      </w:r>
      <w:r w:rsidRPr="00FF17D4">
        <w:rPr>
          <w:sz w:val="24"/>
          <w:szCs w:val="24"/>
        </w:rPr>
        <w:t>John Adams wondered if the failure to publish</w:t>
      </w:r>
      <w:r>
        <w:rPr>
          <w:sz w:val="24"/>
          <w:szCs w:val="24"/>
        </w:rPr>
        <w:t xml:space="preserve"> that draft had been due to its </w:t>
      </w:r>
      <w:r w:rsidR="0070004A">
        <w:rPr>
          <w:sz w:val="24"/>
          <w:szCs w:val="24"/>
        </w:rPr>
        <w:t>“</w:t>
      </w:r>
      <w:r w:rsidRPr="00FF17D4">
        <w:rPr>
          <w:sz w:val="24"/>
          <w:szCs w:val="24"/>
        </w:rPr>
        <w:t>vehement philippic against Negro slavery</w:t>
      </w:r>
      <w:r w:rsidR="0070004A">
        <w:rPr>
          <w:sz w:val="24"/>
          <w:szCs w:val="24"/>
        </w:rPr>
        <w:t>.”</w:t>
      </w:r>
      <w:r>
        <w:rPr>
          <w:rStyle w:val="Voetnootmarkering"/>
          <w:sz w:val="24"/>
          <w:szCs w:val="24"/>
        </w:rPr>
        <w:footnoteReference w:id="18"/>
      </w:r>
      <w:r w:rsidR="0070004A">
        <w:rPr>
          <w:sz w:val="24"/>
          <w:szCs w:val="24"/>
        </w:rPr>
        <w:t xml:space="preserve"> </w:t>
      </w:r>
      <w:r>
        <w:rPr>
          <w:sz w:val="24"/>
          <w:szCs w:val="24"/>
        </w:rPr>
        <w:t xml:space="preserve">Strikingly, it is that erased clause which convinced Angelina </w:t>
      </w:r>
      <w:proofErr w:type="spellStart"/>
      <w:r>
        <w:rPr>
          <w:sz w:val="24"/>
          <w:szCs w:val="24"/>
        </w:rPr>
        <w:t>Grimké</w:t>
      </w:r>
      <w:proofErr w:type="spellEnd"/>
      <w:r>
        <w:rPr>
          <w:sz w:val="24"/>
          <w:szCs w:val="24"/>
        </w:rPr>
        <w:t xml:space="preserve"> that </w:t>
      </w:r>
      <w:r w:rsidRPr="00FF17D4">
        <w:rPr>
          <w:sz w:val="24"/>
          <w:szCs w:val="24"/>
        </w:rPr>
        <w:t xml:space="preserve">all </w:t>
      </w:r>
      <w:r>
        <w:rPr>
          <w:sz w:val="24"/>
          <w:szCs w:val="24"/>
        </w:rPr>
        <w:t xml:space="preserve">fundamental freedoms grow out of our moral nature and that as moral beings </w:t>
      </w:r>
      <w:r w:rsidRPr="00FF17D4">
        <w:rPr>
          <w:sz w:val="24"/>
          <w:szCs w:val="24"/>
        </w:rPr>
        <w:t>essentially</w:t>
      </w:r>
      <w:r>
        <w:rPr>
          <w:sz w:val="24"/>
          <w:szCs w:val="24"/>
        </w:rPr>
        <w:t xml:space="preserve"> we all have the same rights or, in other words, we are all </w:t>
      </w:r>
      <w:r w:rsidR="0070004A">
        <w:rPr>
          <w:sz w:val="24"/>
          <w:szCs w:val="24"/>
        </w:rPr>
        <w:t>“</w:t>
      </w:r>
      <w:r>
        <w:rPr>
          <w:sz w:val="24"/>
          <w:szCs w:val="24"/>
        </w:rPr>
        <w:t>equal in rights</w:t>
      </w:r>
      <w:r w:rsidR="00C24591">
        <w:rPr>
          <w:sz w:val="24"/>
          <w:szCs w:val="24"/>
        </w:rPr>
        <w:t>.</w:t>
      </w:r>
      <w:r w:rsidR="0070004A">
        <w:rPr>
          <w:sz w:val="24"/>
          <w:szCs w:val="24"/>
        </w:rPr>
        <w:t xml:space="preserve">” </w:t>
      </w:r>
      <w:r>
        <w:rPr>
          <w:sz w:val="24"/>
          <w:szCs w:val="24"/>
        </w:rPr>
        <w:t xml:space="preserve">Consequently, this is </w:t>
      </w:r>
      <w:r w:rsidRPr="00531569">
        <w:rPr>
          <w:sz w:val="24"/>
          <w:szCs w:val="24"/>
        </w:rPr>
        <w:t>a normative statement</w:t>
      </w:r>
      <w:r>
        <w:rPr>
          <w:sz w:val="24"/>
          <w:szCs w:val="24"/>
        </w:rPr>
        <w:t>,</w:t>
      </w:r>
      <w:r w:rsidRPr="00531569">
        <w:rPr>
          <w:sz w:val="24"/>
          <w:szCs w:val="24"/>
        </w:rPr>
        <w:t xml:space="preserve"> apparently derived from a struggle for true universality.</w:t>
      </w:r>
      <w:r>
        <w:rPr>
          <w:sz w:val="24"/>
          <w:szCs w:val="24"/>
        </w:rPr>
        <w:t xml:space="preserve"> As a foundational value it has found its place in the Universal Declaration of Human Rights of 1948 (UDHR). </w:t>
      </w:r>
    </w:p>
    <w:p w14:paraId="7443E8E8" w14:textId="77777777" w:rsidR="004E1E58" w:rsidRPr="00531569" w:rsidRDefault="004E1E58" w:rsidP="004E1E58">
      <w:pPr>
        <w:jc w:val="both"/>
        <w:rPr>
          <w:lang w:val="en-GB"/>
        </w:rPr>
      </w:pPr>
      <w:r w:rsidRPr="00531569">
        <w:rPr>
          <w:lang w:val="en-GB"/>
        </w:rPr>
        <w:t xml:space="preserve">    </w:t>
      </w:r>
    </w:p>
    <w:p w14:paraId="6C4B036A" w14:textId="77777777" w:rsidR="004E1E58" w:rsidRDefault="004E1E58" w:rsidP="004E1E58">
      <w:pPr>
        <w:rPr>
          <w:b/>
          <w:lang w:val="en-GB"/>
        </w:rPr>
      </w:pPr>
      <w:r>
        <w:rPr>
          <w:b/>
          <w:lang w:val="en-GB"/>
        </w:rPr>
        <w:t>Article 1 of the Universal Declaration of Human Rights</w:t>
      </w:r>
      <w:r w:rsidR="00923979">
        <w:rPr>
          <w:rStyle w:val="Voetnootmarkering"/>
          <w:b/>
          <w:lang w:val="en-GB"/>
        </w:rPr>
        <w:footnoteReference w:id="19"/>
      </w:r>
    </w:p>
    <w:p w14:paraId="14CEF285" w14:textId="75C66AF8" w:rsidR="004E1E58" w:rsidRDefault="004E1E58" w:rsidP="004E1E58">
      <w:pPr>
        <w:jc w:val="both"/>
      </w:pPr>
      <w:r>
        <w:t xml:space="preserve">Although </w:t>
      </w:r>
      <w:r w:rsidR="002A6BC0">
        <w:t xml:space="preserve">designed </w:t>
      </w:r>
      <w:r>
        <w:t>as a credo, the first article of the Universal Declaration (UDHR) is not well</w:t>
      </w:r>
      <w:r w:rsidR="00696BED">
        <w:t xml:space="preserve"> </w:t>
      </w:r>
      <w:r>
        <w:t>known. This applies to both the general public and the international community itself. Indeed, there is relatively little literature on that text, which stipulates:</w:t>
      </w:r>
    </w:p>
    <w:p w14:paraId="623A9947" w14:textId="77777777" w:rsidR="004E1E58" w:rsidRDefault="004E1E58" w:rsidP="004E1E58">
      <w:pPr>
        <w:jc w:val="both"/>
      </w:pPr>
      <w:r>
        <w:t xml:space="preserve"> </w:t>
      </w:r>
    </w:p>
    <w:p w14:paraId="7D172523" w14:textId="77777777" w:rsidR="004E1E58" w:rsidRPr="00D81154" w:rsidRDefault="004E1E58" w:rsidP="00954B19">
      <w:pPr>
        <w:ind w:left="720" w:right="720"/>
        <w:jc w:val="both"/>
        <w:rPr>
          <w:b/>
          <w:u w:val="single"/>
        </w:rPr>
      </w:pPr>
      <w:r w:rsidRPr="00D81154">
        <w:t>All human beings are born free and equal in dignity and rights. They are endowed with reason and conscience and should act towards one anot</w:t>
      </w:r>
      <w:r>
        <w:t>her in a spirit of brotherhood.</w:t>
      </w:r>
      <w:r w:rsidRPr="008049B9">
        <w:rPr>
          <w:rStyle w:val="Voetnootmarkering"/>
          <w:color w:val="000000"/>
          <w:lang w:val="en-GB"/>
        </w:rPr>
        <w:t xml:space="preserve"> </w:t>
      </w:r>
      <w:r w:rsidRPr="00C4115F">
        <w:rPr>
          <w:rStyle w:val="Voetnootmarkering"/>
          <w:color w:val="000000"/>
          <w:lang w:val="en-GB"/>
        </w:rPr>
        <w:footnoteReference w:id="20"/>
      </w:r>
    </w:p>
    <w:p w14:paraId="7BF8A294" w14:textId="7A1FCB33" w:rsidR="004E1E58" w:rsidRPr="003C1508" w:rsidRDefault="004E1E58" w:rsidP="004E1E58">
      <w:pPr>
        <w:pStyle w:val="exl1l"/>
        <w:spacing w:line="240" w:lineRule="auto"/>
        <w:ind w:left="0" w:firstLine="0"/>
        <w:rPr>
          <w:sz w:val="24"/>
          <w:szCs w:val="24"/>
        </w:rPr>
      </w:pPr>
      <w:r w:rsidRPr="003C1508">
        <w:rPr>
          <w:sz w:val="24"/>
          <w:szCs w:val="24"/>
        </w:rPr>
        <w:lastRenderedPageBreak/>
        <w:t xml:space="preserve">Notably, every word in the UDHR is important, even seemingly small words such as </w:t>
      </w:r>
      <w:r w:rsidR="002A6BC0">
        <w:rPr>
          <w:sz w:val="24"/>
          <w:szCs w:val="24"/>
        </w:rPr>
        <w:t>“</w:t>
      </w:r>
      <w:r w:rsidRPr="003C1508">
        <w:rPr>
          <w:sz w:val="24"/>
          <w:szCs w:val="24"/>
        </w:rPr>
        <w:t>equal</w:t>
      </w:r>
      <w:r w:rsidR="002A6BC0">
        <w:rPr>
          <w:sz w:val="24"/>
          <w:szCs w:val="24"/>
        </w:rPr>
        <w:t>”</w:t>
      </w:r>
      <w:r w:rsidRPr="003C1508">
        <w:rPr>
          <w:sz w:val="24"/>
          <w:szCs w:val="24"/>
        </w:rPr>
        <w:t xml:space="preserve"> and </w:t>
      </w:r>
      <w:r w:rsidR="002A6BC0">
        <w:rPr>
          <w:sz w:val="24"/>
          <w:szCs w:val="24"/>
        </w:rPr>
        <w:t>“</w:t>
      </w:r>
      <w:r w:rsidRPr="003C1508">
        <w:rPr>
          <w:sz w:val="24"/>
          <w:szCs w:val="24"/>
        </w:rPr>
        <w:t>all,</w:t>
      </w:r>
      <w:r w:rsidR="002A6BC0">
        <w:rPr>
          <w:sz w:val="24"/>
          <w:szCs w:val="24"/>
        </w:rPr>
        <w:t>”</w:t>
      </w:r>
      <w:r w:rsidRPr="003C1508">
        <w:rPr>
          <w:sz w:val="24"/>
          <w:szCs w:val="24"/>
        </w:rPr>
        <w:t xml:space="preserve"> since the drafting of the UDHR was one in which, </w:t>
      </w:r>
      <w:r w:rsidR="002A6BC0">
        <w:rPr>
          <w:sz w:val="24"/>
          <w:szCs w:val="24"/>
        </w:rPr>
        <w:t>“</w:t>
      </w:r>
      <w:r w:rsidRPr="003C1508">
        <w:rPr>
          <w:sz w:val="24"/>
          <w:szCs w:val="24"/>
        </w:rPr>
        <w:t xml:space="preserve">…delegates </w:t>
      </w:r>
      <w:r w:rsidR="002A6BC0">
        <w:rPr>
          <w:sz w:val="24"/>
          <w:szCs w:val="24"/>
        </w:rPr>
        <w:t>‘</w:t>
      </w:r>
      <w:r w:rsidRPr="003C1508">
        <w:rPr>
          <w:sz w:val="24"/>
          <w:szCs w:val="24"/>
        </w:rPr>
        <w:t>thrashed out</w:t>
      </w:r>
      <w:r w:rsidR="002A6BC0">
        <w:rPr>
          <w:sz w:val="24"/>
          <w:szCs w:val="24"/>
        </w:rPr>
        <w:t>’</w:t>
      </w:r>
      <w:r w:rsidRPr="003C1508">
        <w:rPr>
          <w:sz w:val="24"/>
          <w:szCs w:val="24"/>
        </w:rPr>
        <w:t xml:space="preserve"> their differences and poured over the draft text ‘line by line’ and ‘word by word.</w:t>
      </w:r>
      <w:r w:rsidR="002A6BC0">
        <w:rPr>
          <w:sz w:val="24"/>
          <w:szCs w:val="24"/>
        </w:rPr>
        <w:t>”</w:t>
      </w:r>
      <w:r w:rsidRPr="003C1508">
        <w:rPr>
          <w:rStyle w:val="Voetnootmarkering"/>
          <w:sz w:val="24"/>
          <w:szCs w:val="24"/>
        </w:rPr>
        <w:footnoteReference w:id="21"/>
      </w:r>
      <w:r w:rsidRPr="003C1508">
        <w:rPr>
          <w:sz w:val="24"/>
          <w:szCs w:val="24"/>
        </w:rPr>
        <w:t xml:space="preserve"> This scrutiny is to be understood in the light of that global endeavour to find a moral-political basis for universal recognition and equal protection of the dignity of each and every human being, which the international community was determined to </w:t>
      </w:r>
      <w:r w:rsidR="00696BED">
        <w:rPr>
          <w:sz w:val="24"/>
          <w:szCs w:val="24"/>
        </w:rPr>
        <w:t xml:space="preserve">get </w:t>
      </w:r>
      <w:r w:rsidRPr="003C1508">
        <w:rPr>
          <w:sz w:val="24"/>
          <w:szCs w:val="24"/>
        </w:rPr>
        <w:t>enacted as its main goal after the moral-political catastrophe of Nazism and the ensuing World War.</w:t>
      </w:r>
    </w:p>
    <w:p w14:paraId="0C81F324" w14:textId="77777777" w:rsidR="004E1E58" w:rsidRPr="003C1508" w:rsidRDefault="004E1E58" w:rsidP="004E1E58">
      <w:pPr>
        <w:jc w:val="both"/>
        <w:rPr>
          <w:color w:val="000000"/>
          <w:lang w:val="en-GB"/>
        </w:rPr>
      </w:pPr>
    </w:p>
    <w:p w14:paraId="70596ACA" w14:textId="2F3C668A" w:rsidR="004E1E58" w:rsidRPr="003C1508" w:rsidRDefault="00C44247" w:rsidP="004E1E58">
      <w:pPr>
        <w:jc w:val="both"/>
      </w:pPr>
      <w:r>
        <w:rPr>
          <w:color w:val="000000"/>
          <w:lang w:val="en-GB"/>
        </w:rPr>
        <w:t>Although nearly every other article in the UDHR has been codified into a treaty and served as the basis for jurisprudence</w:t>
      </w:r>
      <w:r w:rsidR="002A6BC0">
        <w:rPr>
          <w:color w:val="000000"/>
          <w:lang w:val="en-GB"/>
        </w:rPr>
        <w:t>,</w:t>
      </w:r>
      <w:r w:rsidR="004145E4">
        <w:rPr>
          <w:rStyle w:val="Voetnootmarkering"/>
          <w:color w:val="000000"/>
          <w:lang w:val="en-GB"/>
        </w:rPr>
        <w:footnoteReference w:id="22"/>
      </w:r>
      <w:r>
        <w:rPr>
          <w:color w:val="000000"/>
          <w:lang w:val="en-GB"/>
        </w:rPr>
        <w:t xml:space="preserve"> t</w:t>
      </w:r>
      <w:r w:rsidR="004E1E58" w:rsidRPr="003C1508">
        <w:rPr>
          <w:color w:val="000000"/>
          <w:lang w:val="en-GB"/>
        </w:rPr>
        <w:t>here is hardly any jurisprudence on Article 1 UDHR (Article 1), however.</w:t>
      </w:r>
      <w:r w:rsidR="004E1E58" w:rsidRPr="003C1508">
        <w:rPr>
          <w:rStyle w:val="Voetnootmarkering"/>
          <w:color w:val="000000"/>
          <w:lang w:val="en-GB"/>
        </w:rPr>
        <w:footnoteReference w:id="23"/>
      </w:r>
      <w:r w:rsidR="004E1E58" w:rsidRPr="003C1508">
        <w:rPr>
          <w:color w:val="000000"/>
          <w:lang w:val="en-GB"/>
        </w:rPr>
        <w:t xml:space="preserve"> In the scarce literature on this foundational text, two major issues are addressed: origin and inclusion, and basic values. A primary focus, </w:t>
      </w:r>
      <w:r w:rsidR="004E1E58" w:rsidRPr="003C1508">
        <w:rPr>
          <w:color w:val="000000"/>
          <w:lang w:val="en-GB"/>
        </w:rPr>
        <w:lastRenderedPageBreak/>
        <w:t>then, is on the drafting process.</w:t>
      </w:r>
      <w:r w:rsidR="004E1E58" w:rsidRPr="003C1508">
        <w:rPr>
          <w:rStyle w:val="Voetnootmarkering"/>
          <w:color w:val="000000"/>
          <w:lang w:val="en-GB"/>
        </w:rPr>
        <w:footnoteReference w:id="24"/>
      </w:r>
      <w:r w:rsidR="004E1E58" w:rsidRPr="003C1508">
        <w:rPr>
          <w:color w:val="000000"/>
          <w:lang w:val="en-GB"/>
        </w:rPr>
        <w:t xml:space="preserve"> The adoption of Article 1 </w:t>
      </w:r>
      <w:r w:rsidR="00A027C3">
        <w:rPr>
          <w:color w:val="000000"/>
          <w:lang w:val="en-GB"/>
        </w:rPr>
        <w:t>“</w:t>
      </w:r>
      <w:r w:rsidR="004E1E58" w:rsidRPr="003C1508">
        <w:rPr>
          <w:lang w:val="en-GB"/>
        </w:rPr>
        <w:t>reflects the inspirational nature of the project</w:t>
      </w:r>
      <w:r w:rsidR="00A027C3">
        <w:rPr>
          <w:lang w:val="en-GB"/>
        </w:rPr>
        <w:t>,”</w:t>
      </w:r>
      <w:r w:rsidR="004E1E58" w:rsidRPr="003C1508">
        <w:rPr>
          <w:lang w:val="en-GB"/>
        </w:rPr>
        <w:t xml:space="preserve"> as one author put it.</w:t>
      </w:r>
      <w:r w:rsidR="004E1E58" w:rsidRPr="003C1508">
        <w:rPr>
          <w:rStyle w:val="Voetnootmarkering"/>
          <w:lang w:val="en-GB"/>
        </w:rPr>
        <w:footnoteReference w:id="25"/>
      </w:r>
      <w:r w:rsidR="004E1E58" w:rsidRPr="003C1508">
        <w:rPr>
          <w:lang w:val="en-GB"/>
        </w:rPr>
        <w:t xml:space="preserve"> It was included, he writes, </w:t>
      </w:r>
      <w:r w:rsidR="00A027C3">
        <w:rPr>
          <w:lang w:val="en-GB"/>
        </w:rPr>
        <w:t>“</w:t>
      </w:r>
      <w:r w:rsidR="004E1E58" w:rsidRPr="003C1508">
        <w:rPr>
          <w:lang w:val="en-GB"/>
        </w:rPr>
        <w:t xml:space="preserve">only after much controversy about whether it was just stating the obvious, or whether it should be included in the preamble rather than the main text […] The reason for including it in the </w:t>
      </w:r>
      <w:r w:rsidR="004E1E58" w:rsidRPr="002361CE">
        <w:rPr>
          <w:lang w:val="en-GB"/>
        </w:rPr>
        <w:t xml:space="preserve">main text, then, is to state firmly the basis of all human rights, the rationality of human persons and their </w:t>
      </w:r>
      <w:r w:rsidR="004E1E58" w:rsidRPr="00C252AF">
        <w:rPr>
          <w:i/>
          <w:lang w:val="en-GB"/>
        </w:rPr>
        <w:t>obligation</w:t>
      </w:r>
      <w:r w:rsidR="004E1E58" w:rsidRPr="000A457B">
        <w:rPr>
          <w:lang w:val="en-GB"/>
        </w:rPr>
        <w:t xml:space="preserve"> to deal fairly with everyone else, regardless of race, sex, wealth and so on</w:t>
      </w:r>
      <w:r w:rsidR="00A027C3" w:rsidRPr="000A457B">
        <w:rPr>
          <w:lang w:val="en-GB"/>
        </w:rPr>
        <w:t>.”</w:t>
      </w:r>
      <w:r w:rsidR="004E1E58" w:rsidRPr="002361CE">
        <w:rPr>
          <w:rStyle w:val="Voetnootmarkering"/>
          <w:lang w:val="en-GB"/>
        </w:rPr>
        <w:footnoteReference w:id="26"/>
      </w:r>
      <w:r w:rsidR="004E1E58" w:rsidRPr="002361CE">
        <w:rPr>
          <w:lang w:val="en-GB"/>
        </w:rPr>
        <w:t xml:space="preserve"> </w:t>
      </w:r>
      <w:r w:rsidR="004E1E58" w:rsidRPr="002361CE">
        <w:t xml:space="preserve">As Eleanor Roosevelt acknowledged, during the drafting of the UDHR, </w:t>
      </w:r>
      <w:r w:rsidR="00A027C3" w:rsidRPr="002361CE">
        <w:t>“</w:t>
      </w:r>
      <w:r w:rsidR="004E1E58" w:rsidRPr="002361CE">
        <w:t>[s]he believed in an international community that respected the value and variety of all human life where no nation or individual person could be truly free as long as others were not. Consequently, as she expressed herself in thought and action it became clear that her commitment to human rights embraced presidents and ambassadors as well as the “everyday people” of the world, and extended from the large citadels of government power to tiny hamlets and villages.</w:t>
      </w:r>
      <w:r w:rsidR="00001CD0" w:rsidRPr="002361CE">
        <w:t>”</w:t>
      </w:r>
      <w:r w:rsidR="004E1E58" w:rsidRPr="002361CE">
        <w:rPr>
          <w:rStyle w:val="Voetnootmarkering"/>
        </w:rPr>
        <w:footnoteReference w:id="27"/>
      </w:r>
      <w:r w:rsidR="004E1E58" w:rsidRPr="002361CE">
        <w:t xml:space="preserve"> According to her, it was designed </w:t>
      </w:r>
      <w:r w:rsidR="00001CD0" w:rsidRPr="002361CE">
        <w:t>“</w:t>
      </w:r>
      <w:r w:rsidR="004E1E58" w:rsidRPr="002361CE">
        <w:t xml:space="preserve">…as a common standard valid </w:t>
      </w:r>
      <w:r w:rsidR="00001CD0" w:rsidRPr="002361CE">
        <w:t>‘</w:t>
      </w:r>
      <w:r w:rsidR="004E1E58" w:rsidRPr="002361CE">
        <w:t>for all people and all nations.”’</w:t>
      </w:r>
      <w:r w:rsidR="004E1E58" w:rsidRPr="002361CE">
        <w:rPr>
          <w:rStyle w:val="Voetnootmarkering"/>
        </w:rPr>
        <w:footnoteReference w:id="28"/>
      </w:r>
      <w:r w:rsidR="004E1E58" w:rsidRPr="003C1508">
        <w:t xml:space="preserve"> </w:t>
      </w:r>
    </w:p>
    <w:p w14:paraId="3162C8DC" w14:textId="77777777" w:rsidR="004E1E58" w:rsidRPr="003C1508" w:rsidRDefault="004E1E58" w:rsidP="004E1E58">
      <w:pPr>
        <w:jc w:val="both"/>
      </w:pPr>
    </w:p>
    <w:p w14:paraId="35C074F7" w14:textId="1E853C1F" w:rsidR="004E1E58" w:rsidRDefault="004E1E58" w:rsidP="004E1E58">
      <w:pPr>
        <w:jc w:val="both"/>
        <w:rPr>
          <w:lang w:val="en-GB"/>
        </w:rPr>
      </w:pPr>
      <w:r w:rsidRPr="00432299">
        <w:rPr>
          <w:lang w:val="en-GB"/>
        </w:rPr>
        <w:t>Actually</w:t>
      </w:r>
      <w:r>
        <w:rPr>
          <w:lang w:val="en-GB"/>
        </w:rPr>
        <w:t>, the middle part of the text—</w:t>
      </w:r>
      <w:r w:rsidRPr="00432299">
        <w:rPr>
          <w:lang w:val="en-GB"/>
        </w:rPr>
        <w:t>on the human endowment with reason and conscience, and th</w:t>
      </w:r>
      <w:r>
        <w:rPr>
          <w:lang w:val="en-GB"/>
        </w:rPr>
        <w:t>e subsequent</w:t>
      </w:r>
      <w:r w:rsidRPr="00432299">
        <w:rPr>
          <w:lang w:val="en-GB"/>
        </w:rPr>
        <w:t xml:space="preserve"> duty to treat others as fellows</w:t>
      </w:r>
      <w:r>
        <w:rPr>
          <w:lang w:val="en-GB"/>
        </w:rPr>
        <w:t>—</w:t>
      </w:r>
      <w:r w:rsidRPr="00432299">
        <w:rPr>
          <w:lang w:val="en-GB"/>
        </w:rPr>
        <w:t>was added somewhat later at the drafting stage after there had been an argument as to i</w:t>
      </w:r>
      <w:r>
        <w:rPr>
          <w:lang w:val="en-GB"/>
        </w:rPr>
        <w:t xml:space="preserve">ts factual basis. Deliberately, then, </w:t>
      </w:r>
      <w:r w:rsidRPr="00432299">
        <w:rPr>
          <w:lang w:val="en-GB"/>
        </w:rPr>
        <w:t xml:space="preserve">the article is voiced as a matter of faith rather than fact. In the General Assembly, the term </w:t>
      </w:r>
      <w:r w:rsidR="00137DDB">
        <w:rPr>
          <w:lang w:val="en-GB"/>
        </w:rPr>
        <w:t>“</w:t>
      </w:r>
      <w:r w:rsidRPr="00432299">
        <w:rPr>
          <w:lang w:val="en-GB"/>
        </w:rPr>
        <w:t>by nature</w:t>
      </w:r>
      <w:r w:rsidR="00137DDB">
        <w:rPr>
          <w:lang w:val="en-GB"/>
        </w:rPr>
        <w:t>”</w:t>
      </w:r>
      <w:r w:rsidR="00090CCD">
        <w:rPr>
          <w:lang w:val="en-GB"/>
        </w:rPr>
        <w:t>—</w:t>
      </w:r>
      <w:r w:rsidRPr="00432299">
        <w:rPr>
          <w:lang w:val="en-GB"/>
        </w:rPr>
        <w:t>in respect of the endowing force</w:t>
      </w:r>
      <w:r w:rsidR="00090CCD">
        <w:rPr>
          <w:lang w:val="en-GB"/>
        </w:rPr>
        <w:t>—</w:t>
      </w:r>
      <w:r w:rsidRPr="00432299">
        <w:rPr>
          <w:lang w:val="en-GB"/>
        </w:rPr>
        <w:t>was deleted as the gist of the Declaration was to keep disputed (</w:t>
      </w:r>
      <w:r w:rsidR="003B4E18">
        <w:rPr>
          <w:lang w:val="en-GB"/>
        </w:rPr>
        <w:t>“</w:t>
      </w:r>
      <w:r w:rsidRPr="00432299">
        <w:rPr>
          <w:lang w:val="en-GB"/>
        </w:rPr>
        <w:t>metaphysical</w:t>
      </w:r>
      <w:r w:rsidR="003B4E18">
        <w:rPr>
          <w:lang w:val="en-GB"/>
        </w:rPr>
        <w:t>”</w:t>
      </w:r>
      <w:r w:rsidRPr="00432299">
        <w:rPr>
          <w:lang w:val="en-GB"/>
        </w:rPr>
        <w:t>)</w:t>
      </w:r>
      <w:r w:rsidRPr="00432299">
        <w:rPr>
          <w:rStyle w:val="Voetnootmarkering"/>
          <w:lang w:val="en-GB"/>
        </w:rPr>
        <w:footnoteReference w:id="29"/>
      </w:r>
      <w:r w:rsidRPr="00432299">
        <w:rPr>
          <w:lang w:val="en-GB"/>
        </w:rPr>
        <w:t xml:space="preserve"> beliefs out of a </w:t>
      </w:r>
      <w:r w:rsidRPr="00432299">
        <w:rPr>
          <w:i/>
          <w:lang w:val="en-GB"/>
        </w:rPr>
        <w:t>universal</w:t>
      </w:r>
      <w:r w:rsidRPr="00432299">
        <w:rPr>
          <w:lang w:val="en-GB"/>
        </w:rPr>
        <w:t xml:space="preserve"> declaration. </w:t>
      </w:r>
      <w:r>
        <w:rPr>
          <w:lang w:val="en-GB"/>
        </w:rPr>
        <w:t>(</w:t>
      </w:r>
      <w:r w:rsidRPr="00432299">
        <w:rPr>
          <w:lang w:val="en-GB"/>
        </w:rPr>
        <w:t xml:space="preserve">In a similar vein, the General Assembly rejected the Dutch delegate Leo Beaufort’s amendment to the preamble, referring to </w:t>
      </w:r>
      <w:r w:rsidR="003B4E18">
        <w:rPr>
          <w:lang w:val="en-GB"/>
        </w:rPr>
        <w:t>“</w:t>
      </w:r>
      <w:r w:rsidRPr="00432299">
        <w:rPr>
          <w:lang w:val="en-GB"/>
        </w:rPr>
        <w:t>man’s divine origin and immortal destiny</w:t>
      </w:r>
      <w:r w:rsidR="003B4E18">
        <w:rPr>
          <w:lang w:val="en-GB"/>
        </w:rPr>
        <w:t>.”</w:t>
      </w:r>
      <w:r w:rsidRPr="00432299">
        <w:rPr>
          <w:rStyle w:val="Voetnootmarkering"/>
          <w:lang w:val="en-GB"/>
        </w:rPr>
        <w:footnoteReference w:id="30"/>
      </w:r>
      <w:r>
        <w:rPr>
          <w:lang w:val="en-GB"/>
        </w:rPr>
        <w:t>)</w:t>
      </w:r>
      <w:r w:rsidRPr="00432299">
        <w:rPr>
          <w:lang w:val="en-GB"/>
        </w:rPr>
        <w:t xml:space="preserve"> Finally, the statement of duty</w:t>
      </w:r>
      <w:r>
        <w:rPr>
          <w:lang w:val="en-GB"/>
        </w:rPr>
        <w:t>—</w:t>
      </w:r>
      <w:r w:rsidR="003B4E18">
        <w:rPr>
          <w:lang w:val="en-GB"/>
        </w:rPr>
        <w:t>“</w:t>
      </w:r>
      <w:r w:rsidRPr="00432299">
        <w:rPr>
          <w:lang w:val="en-GB"/>
        </w:rPr>
        <w:t>should act towards one another in a spirit of brotherhood</w:t>
      </w:r>
      <w:r w:rsidR="003B4E18">
        <w:rPr>
          <w:lang w:val="en-GB"/>
        </w:rPr>
        <w:t>”</w:t>
      </w:r>
      <w:r>
        <w:rPr>
          <w:lang w:val="en-GB"/>
        </w:rPr>
        <w:t>—</w:t>
      </w:r>
      <w:r w:rsidRPr="00432299">
        <w:rPr>
          <w:lang w:val="en-GB"/>
        </w:rPr>
        <w:t xml:space="preserve">was intentionally placed at the end. A proposed phrase referring to </w:t>
      </w:r>
      <w:r w:rsidR="003B4E18">
        <w:rPr>
          <w:lang w:val="en-GB"/>
        </w:rPr>
        <w:t>“</w:t>
      </w:r>
      <w:r w:rsidRPr="00432299">
        <w:rPr>
          <w:lang w:val="en-GB"/>
        </w:rPr>
        <w:t>duties to the community</w:t>
      </w:r>
      <w:r w:rsidR="003B4E18">
        <w:rPr>
          <w:lang w:val="en-GB"/>
        </w:rPr>
        <w:t xml:space="preserve">” </w:t>
      </w:r>
      <w:r w:rsidRPr="00432299">
        <w:rPr>
          <w:lang w:val="en-GB"/>
        </w:rPr>
        <w:t>was shifted to Article 29.</w:t>
      </w:r>
      <w:r>
        <w:rPr>
          <w:rStyle w:val="Voetnootmarkering"/>
          <w:lang w:val="en-GB"/>
        </w:rPr>
        <w:footnoteReference w:id="31"/>
      </w:r>
    </w:p>
    <w:p w14:paraId="335407CA" w14:textId="77777777" w:rsidR="004E1E58" w:rsidRDefault="004E1E58" w:rsidP="004E1E58">
      <w:pPr>
        <w:jc w:val="both"/>
        <w:rPr>
          <w:lang w:val="en-GB"/>
        </w:rPr>
      </w:pPr>
    </w:p>
    <w:p w14:paraId="39BBA4FA" w14:textId="30C36168" w:rsidR="004E1E58" w:rsidRDefault="004E1E58" w:rsidP="004E1E58">
      <w:pPr>
        <w:jc w:val="both"/>
        <w:rPr>
          <w:lang w:val="en-GB"/>
        </w:rPr>
      </w:pPr>
      <w:r w:rsidRPr="00432299">
        <w:rPr>
          <w:lang w:val="en-GB"/>
        </w:rPr>
        <w:t xml:space="preserve">Obviously then, </w:t>
      </w:r>
      <w:r>
        <w:rPr>
          <w:lang w:val="en-GB"/>
        </w:rPr>
        <w:t>Article 1</w:t>
      </w:r>
      <w:r w:rsidRPr="00432299">
        <w:rPr>
          <w:lang w:val="en-GB"/>
        </w:rPr>
        <w:t xml:space="preserve"> was framed as opening articles of statutes and constitutions commonly are, in both public and private settings, namely as </w:t>
      </w:r>
      <w:r>
        <w:rPr>
          <w:i/>
          <w:lang w:val="en-GB"/>
        </w:rPr>
        <w:t>j</w:t>
      </w:r>
      <w:r w:rsidRPr="00432299">
        <w:rPr>
          <w:i/>
          <w:lang w:val="en-GB"/>
        </w:rPr>
        <w:t xml:space="preserve">us </w:t>
      </w:r>
      <w:proofErr w:type="spellStart"/>
      <w:r w:rsidRPr="00432299">
        <w:rPr>
          <w:i/>
          <w:lang w:val="en-GB"/>
        </w:rPr>
        <w:t>divinum</w:t>
      </w:r>
      <w:proofErr w:type="spellEnd"/>
      <w:r w:rsidRPr="00432299">
        <w:rPr>
          <w:lang w:val="en-GB"/>
        </w:rPr>
        <w:t xml:space="preserve"> in the metaphorical sense of a fundamental s</w:t>
      </w:r>
      <w:r>
        <w:rPr>
          <w:lang w:val="en-GB"/>
        </w:rPr>
        <w:t>tatement of faith and mission—</w:t>
      </w:r>
      <w:r w:rsidRPr="00432299">
        <w:rPr>
          <w:lang w:val="en-GB"/>
        </w:rPr>
        <w:t>a statement of principles</w:t>
      </w:r>
      <w:r>
        <w:rPr>
          <w:lang w:val="en-GB"/>
        </w:rPr>
        <w:t>—</w:t>
      </w:r>
      <w:r w:rsidRPr="00432299">
        <w:rPr>
          <w:lang w:val="en-GB"/>
        </w:rPr>
        <w:t xml:space="preserve">as opposed to </w:t>
      </w:r>
      <w:proofErr w:type="spellStart"/>
      <w:r>
        <w:rPr>
          <w:i/>
          <w:lang w:val="en-GB"/>
        </w:rPr>
        <w:t>j</w:t>
      </w:r>
      <w:r w:rsidRPr="00432299">
        <w:rPr>
          <w:i/>
          <w:lang w:val="en-GB"/>
        </w:rPr>
        <w:t>us</w:t>
      </w:r>
      <w:proofErr w:type="spellEnd"/>
      <w:r w:rsidRPr="00432299">
        <w:rPr>
          <w:i/>
          <w:lang w:val="en-GB"/>
        </w:rPr>
        <w:t xml:space="preserve"> </w:t>
      </w:r>
      <w:proofErr w:type="spellStart"/>
      <w:r w:rsidRPr="00432299">
        <w:rPr>
          <w:i/>
          <w:lang w:val="en-GB"/>
        </w:rPr>
        <w:t>positivum</w:t>
      </w:r>
      <w:proofErr w:type="spellEnd"/>
      <w:r w:rsidRPr="00432299">
        <w:rPr>
          <w:lang w:val="en-GB"/>
        </w:rPr>
        <w:t>, implying concrete norms and rules enacted to be observed and if necessary enforced.</w:t>
      </w:r>
      <w:r w:rsidRPr="00432299">
        <w:rPr>
          <w:rStyle w:val="Voetnootmarkering"/>
          <w:lang w:val="en-GB"/>
        </w:rPr>
        <w:footnoteReference w:id="32"/>
      </w:r>
      <w:r w:rsidRPr="00432299">
        <w:rPr>
          <w:lang w:val="en-GB"/>
        </w:rPr>
        <w:t xml:space="preserve"> Indeed, the first article of the Declaration is to be regarded as an expression of th</w:t>
      </w:r>
      <w:r>
        <w:rPr>
          <w:lang w:val="en-GB"/>
        </w:rPr>
        <w:t>at</w:t>
      </w:r>
      <w:r w:rsidRPr="00432299">
        <w:rPr>
          <w:lang w:val="en-GB"/>
        </w:rPr>
        <w:t xml:space="preserve"> reaffirmed </w:t>
      </w:r>
      <w:r w:rsidRPr="00432299">
        <w:rPr>
          <w:i/>
          <w:lang w:val="en-GB"/>
        </w:rPr>
        <w:t>faith</w:t>
      </w:r>
      <w:r w:rsidRPr="00432299">
        <w:rPr>
          <w:lang w:val="en-GB"/>
        </w:rPr>
        <w:t xml:space="preserve"> in fundamental human rights expressed in the preambles </w:t>
      </w:r>
      <w:r w:rsidR="00E02BD5">
        <w:rPr>
          <w:lang w:val="en-GB"/>
        </w:rPr>
        <w:t>to</w:t>
      </w:r>
      <w:r w:rsidRPr="00432299">
        <w:rPr>
          <w:lang w:val="en-GB"/>
        </w:rPr>
        <w:t xml:space="preserve"> both the Charter and the Declaration. Thus, human rights </w:t>
      </w:r>
      <w:r w:rsidR="00C616F5">
        <w:rPr>
          <w:lang w:val="en-GB"/>
        </w:rPr>
        <w:t>are</w:t>
      </w:r>
      <w:r w:rsidRPr="00432299">
        <w:rPr>
          <w:lang w:val="en-GB"/>
        </w:rPr>
        <w:t xml:space="preserve"> based </w:t>
      </w:r>
      <w:r w:rsidR="00C616F5">
        <w:rPr>
          <w:lang w:val="en-GB"/>
        </w:rPr>
        <w:t xml:space="preserve">upon </w:t>
      </w:r>
      <w:r w:rsidRPr="00432299">
        <w:rPr>
          <w:lang w:val="en-GB"/>
        </w:rPr>
        <w:t xml:space="preserve">universal faith in certain crucial values. It is </w:t>
      </w:r>
      <w:r>
        <w:rPr>
          <w:lang w:val="en-GB"/>
        </w:rPr>
        <w:t xml:space="preserve">primarily </w:t>
      </w:r>
      <w:r w:rsidRPr="00432299">
        <w:rPr>
          <w:lang w:val="en-GB"/>
        </w:rPr>
        <w:t xml:space="preserve">as a normative basis for both law-making and </w:t>
      </w:r>
      <w:r>
        <w:rPr>
          <w:lang w:val="en-GB"/>
        </w:rPr>
        <w:t xml:space="preserve">judicial </w:t>
      </w:r>
      <w:r w:rsidRPr="00432299">
        <w:rPr>
          <w:lang w:val="en-GB"/>
        </w:rPr>
        <w:t xml:space="preserve">interpretation that these </w:t>
      </w:r>
      <w:r>
        <w:rPr>
          <w:lang w:val="en-GB"/>
        </w:rPr>
        <w:t>values are</w:t>
      </w:r>
      <w:r w:rsidRPr="00432299">
        <w:rPr>
          <w:lang w:val="en-GB"/>
        </w:rPr>
        <w:t xml:space="preserve"> to play their part. </w:t>
      </w:r>
    </w:p>
    <w:p w14:paraId="6EB4E76E" w14:textId="77777777" w:rsidR="004E1E58" w:rsidRDefault="004E1E58" w:rsidP="004E1E58">
      <w:pPr>
        <w:jc w:val="both"/>
      </w:pPr>
    </w:p>
    <w:p w14:paraId="2D1F5448" w14:textId="527CB29D" w:rsidR="004E1E58" w:rsidRDefault="004E1E58" w:rsidP="004E1E58">
      <w:pPr>
        <w:jc w:val="both"/>
      </w:pPr>
      <w:r w:rsidRPr="0074674C">
        <w:rPr>
          <w:bCs/>
          <w:iCs/>
        </w:rPr>
        <w:t xml:space="preserve">On the normative </w:t>
      </w:r>
      <w:r>
        <w:rPr>
          <w:bCs/>
          <w:iCs/>
        </w:rPr>
        <w:t>proclamation</w:t>
      </w:r>
      <w:r w:rsidRPr="0074674C">
        <w:rPr>
          <w:bCs/>
          <w:iCs/>
        </w:rPr>
        <w:t xml:space="preserve"> that human beings are all equal in rights, the United Nations do</w:t>
      </w:r>
      <w:r w:rsidR="00EA0144">
        <w:rPr>
          <w:bCs/>
          <w:iCs/>
        </w:rPr>
        <w:t>es</w:t>
      </w:r>
      <w:r w:rsidRPr="0074674C">
        <w:rPr>
          <w:bCs/>
          <w:iCs/>
        </w:rPr>
        <w:t xml:space="preserve"> not provide much </w:t>
      </w:r>
      <w:r>
        <w:rPr>
          <w:bCs/>
          <w:iCs/>
        </w:rPr>
        <w:t xml:space="preserve">instructive </w:t>
      </w:r>
      <w:r w:rsidRPr="0074674C">
        <w:rPr>
          <w:bCs/>
          <w:iCs/>
        </w:rPr>
        <w:t xml:space="preserve">comment. </w:t>
      </w:r>
      <w:r>
        <w:rPr>
          <w:bCs/>
          <w:iCs/>
        </w:rPr>
        <w:t>Indeed</w:t>
      </w:r>
      <w:r w:rsidRPr="0074674C">
        <w:rPr>
          <w:bCs/>
          <w:iCs/>
        </w:rPr>
        <w:t xml:space="preserve">, an educational explanation on </w:t>
      </w:r>
      <w:r w:rsidR="00EA0144">
        <w:rPr>
          <w:bCs/>
          <w:iCs/>
        </w:rPr>
        <w:t>the UN</w:t>
      </w:r>
      <w:r w:rsidR="00EA0144" w:rsidRPr="0074674C">
        <w:rPr>
          <w:bCs/>
          <w:iCs/>
        </w:rPr>
        <w:t xml:space="preserve"> </w:t>
      </w:r>
      <w:r>
        <w:rPr>
          <w:bCs/>
          <w:iCs/>
        </w:rPr>
        <w:t xml:space="preserve">digital </w:t>
      </w:r>
      <w:proofErr w:type="spellStart"/>
      <w:r>
        <w:rPr>
          <w:bCs/>
          <w:iCs/>
        </w:rPr>
        <w:t>programme</w:t>
      </w:r>
      <w:proofErr w:type="spellEnd"/>
      <w:r>
        <w:rPr>
          <w:bCs/>
          <w:iCs/>
        </w:rPr>
        <w:t xml:space="preserve"> </w:t>
      </w:r>
      <w:r w:rsidRPr="00C0407A">
        <w:rPr>
          <w:bCs/>
          <w:i/>
          <w:iCs/>
        </w:rPr>
        <w:t xml:space="preserve">Cyber </w:t>
      </w:r>
      <w:proofErr w:type="spellStart"/>
      <w:r w:rsidRPr="00C0407A">
        <w:rPr>
          <w:bCs/>
          <w:i/>
          <w:iCs/>
        </w:rPr>
        <w:t>schoolbus</w:t>
      </w:r>
      <w:proofErr w:type="spellEnd"/>
      <w:r w:rsidRPr="0074674C">
        <w:rPr>
          <w:bCs/>
          <w:iCs/>
        </w:rPr>
        <w:t xml:space="preserve"> is not particularly enlightening: </w:t>
      </w:r>
      <w:r w:rsidR="003B4E18">
        <w:rPr>
          <w:bCs/>
          <w:iCs/>
        </w:rPr>
        <w:t>“</w:t>
      </w:r>
      <w:r w:rsidRPr="0074674C">
        <w:rPr>
          <w:b/>
          <w:bCs/>
          <w:i/>
          <w:iCs/>
        </w:rPr>
        <w:t>Equal</w:t>
      </w:r>
      <w:r w:rsidRPr="0074674C">
        <w:t xml:space="preserve"> does not mean that we are all the same. Each of us is different in our own special way. But we also have the common qualities that make us all humans. So each of us should be treated with respect and dignity and treat others in the same way.</w:t>
      </w:r>
      <w:r w:rsidR="003B4E18">
        <w:t>”</w:t>
      </w:r>
      <w:r w:rsidRPr="0074674C">
        <w:rPr>
          <w:rStyle w:val="Voetnootmarkering"/>
        </w:rPr>
        <w:footnoteReference w:id="33"/>
      </w:r>
      <w:r w:rsidRPr="0074674C">
        <w:t xml:space="preserve"> The point is, of course, that Article 1 does not declare all human beings to be generally equal but </w:t>
      </w:r>
      <w:r>
        <w:t xml:space="preserve">rather </w:t>
      </w:r>
      <w:r w:rsidRPr="0074674C">
        <w:t>specificall</w:t>
      </w:r>
      <w:r w:rsidR="003B4E18">
        <w:t>y equal</w:t>
      </w:r>
      <w:r w:rsidRPr="0074674C">
        <w:t xml:space="preserve"> </w:t>
      </w:r>
      <w:r w:rsidRPr="00F26664">
        <w:rPr>
          <w:i/>
        </w:rPr>
        <w:t>in dignity and rights</w:t>
      </w:r>
      <w:r w:rsidRPr="0074674C">
        <w:t xml:space="preserve">. The educational statement then proceeds to a positive interpretation of </w:t>
      </w:r>
      <w:r w:rsidR="003B4E18">
        <w:t>“</w:t>
      </w:r>
      <w:r w:rsidRPr="0074674C">
        <w:t>equal in dignity</w:t>
      </w:r>
      <w:r w:rsidR="003B4E18">
        <w:t>,”</w:t>
      </w:r>
      <w:r>
        <w:t xml:space="preserve"> leaving </w:t>
      </w:r>
      <w:r w:rsidR="003B4E18">
        <w:t>“</w:t>
      </w:r>
      <w:r>
        <w:t>equal in rights</w:t>
      </w:r>
      <w:r w:rsidR="003B4E18">
        <w:t>”</w:t>
      </w:r>
      <w:r>
        <w:t xml:space="preserve"> aside</w:t>
      </w:r>
      <w:r w:rsidRPr="0074674C">
        <w:t>.</w:t>
      </w:r>
      <w:r>
        <w:t xml:space="preserve"> </w:t>
      </w:r>
    </w:p>
    <w:p w14:paraId="25F12899" w14:textId="77777777" w:rsidR="004E1E58" w:rsidRDefault="004E1E58" w:rsidP="004E1E58">
      <w:pPr>
        <w:jc w:val="both"/>
      </w:pPr>
    </w:p>
    <w:p w14:paraId="2FAF3246" w14:textId="14DD1717" w:rsidR="004E1E58" w:rsidRDefault="004E1E58" w:rsidP="004E1E58">
      <w:pPr>
        <w:jc w:val="both"/>
      </w:pPr>
      <w:r>
        <w:t xml:space="preserve">Equal in dignity does, </w:t>
      </w:r>
      <w:r w:rsidRPr="00650EAD">
        <w:t xml:space="preserve">indeed, refer to the inherent worth </w:t>
      </w:r>
      <w:r w:rsidR="00650EAD" w:rsidRPr="0084338E">
        <w:rPr>
          <w:rFonts w:eastAsiaTheme="minorHAnsi"/>
        </w:rPr>
        <w:t>of each and every human being</w:t>
      </w:r>
      <w:r w:rsidRPr="00650EAD">
        <w:t>, simply as an innate</w:t>
      </w:r>
      <w:r w:rsidRPr="00802CBC">
        <w:t xml:space="preserve"> consequence of human existence whether or not an individual person is convinced of </w:t>
      </w:r>
      <w:r w:rsidR="004440C1">
        <w:t>it.</w:t>
      </w:r>
      <w:r>
        <w:rPr>
          <w:rStyle w:val="Voetnootmarkering"/>
        </w:rPr>
        <w:footnoteReference w:id="34"/>
      </w:r>
      <w:r w:rsidRPr="00802CBC">
        <w:t xml:space="preserve"> </w:t>
      </w:r>
      <w:r w:rsidRPr="00802CBC">
        <w:rPr>
          <w:iCs/>
        </w:rPr>
        <w:t>Inherent</w:t>
      </w:r>
      <w:r w:rsidRPr="00802CBC">
        <w:t xml:space="preserve"> is, indeed, the adjective used in the Preamble </w:t>
      </w:r>
      <w:r w:rsidR="004B6A73">
        <w:t>to</w:t>
      </w:r>
      <w:r w:rsidRPr="00802CBC">
        <w:t xml:space="preserve"> the Universal Declaration of Human Rights, meaning that human dignity is a matter of being rather </w:t>
      </w:r>
      <w:r w:rsidRPr="00B40FA6">
        <w:t>than having, and hence implying that it cannot be taken away.</w:t>
      </w:r>
      <w:r w:rsidRPr="00B40FA6">
        <w:rPr>
          <w:rStyle w:val="Voetnootmarkering"/>
        </w:rPr>
        <w:footnoteReference w:id="35"/>
      </w:r>
      <w:r w:rsidRPr="00B40FA6">
        <w:t xml:space="preserve"> But what about </w:t>
      </w:r>
      <w:r w:rsidR="003B4E18" w:rsidRPr="00B40FA6">
        <w:t>“</w:t>
      </w:r>
      <w:r w:rsidRPr="00B40FA6">
        <w:t>equal in rights?</w:t>
      </w:r>
      <w:r w:rsidR="003B4E18" w:rsidRPr="00B40FA6">
        <w:t>”</w:t>
      </w:r>
      <w:r w:rsidRPr="00B40FA6">
        <w:t xml:space="preserve"> Actually, this might be seen as the most difficult normative assertion in the whole Declaration. </w:t>
      </w:r>
      <w:r w:rsidR="00C616F5" w:rsidRPr="002F0231">
        <w:t xml:space="preserve">However, </w:t>
      </w:r>
      <w:r w:rsidRPr="00F35C91">
        <w:t>before tracing its meaning and implications in pract</w:t>
      </w:r>
      <w:r w:rsidRPr="00A77B1C">
        <w:t xml:space="preserve">ice, it should first be noted that Article 1 must be read as one text, connecting </w:t>
      </w:r>
      <w:r w:rsidRPr="0059651E">
        <w:rPr>
          <w:i/>
        </w:rPr>
        <w:t>liberty</w:t>
      </w:r>
      <w:r w:rsidRPr="00834E01">
        <w:t xml:space="preserve"> (all human beings born free), </w:t>
      </w:r>
      <w:r w:rsidRPr="008410E3">
        <w:rPr>
          <w:i/>
        </w:rPr>
        <w:t>equality</w:t>
      </w:r>
      <w:r w:rsidRPr="008410E3">
        <w:t xml:space="preserve"> (born equal</w:t>
      </w:r>
      <w:r>
        <w:t xml:space="preserve"> in dignity and rights) and </w:t>
      </w:r>
      <w:r w:rsidRPr="00C65FD8">
        <w:t>fellowship</w:t>
      </w:r>
      <w:r>
        <w:t xml:space="preserve"> or </w:t>
      </w:r>
      <w:r w:rsidRPr="00C65FD8">
        <w:rPr>
          <w:i/>
        </w:rPr>
        <w:t>solidarity</w:t>
      </w:r>
      <w:r>
        <w:t xml:space="preserve"> (should act towards one another in a spirit of </w:t>
      </w:r>
      <w:r w:rsidR="00B40FA6">
        <w:t>“</w:t>
      </w:r>
      <w:r>
        <w:t>brotherhood</w:t>
      </w:r>
      <w:r w:rsidR="00B40FA6">
        <w:t>”</w:t>
      </w:r>
      <w:r>
        <w:t xml:space="preserve">) in one triangle displaying human dignity in three manifestations: </w:t>
      </w:r>
    </w:p>
    <w:p w14:paraId="6F288636" w14:textId="77777777" w:rsidR="004E1E58" w:rsidRDefault="004E1E58" w:rsidP="004E1E58">
      <w:pPr>
        <w:jc w:val="both"/>
      </w:pPr>
    </w:p>
    <w:p w14:paraId="00B1BD35" w14:textId="77777777" w:rsidR="004E1E58" w:rsidRDefault="004E1E58" w:rsidP="004E1E58">
      <w:pPr>
        <w:pStyle w:val="textnormal"/>
        <w:jc w:val="center"/>
        <w:rPr>
          <w:b/>
          <w:sz w:val="24"/>
          <w:szCs w:val="24"/>
          <w:lang w:val="en-GB"/>
        </w:rPr>
      </w:pPr>
      <w:r w:rsidRPr="00432299">
        <w:rPr>
          <w:b/>
          <w:sz w:val="24"/>
          <w:szCs w:val="24"/>
          <w:lang w:val="en-GB"/>
        </w:rPr>
        <w:t>Figure 1</w:t>
      </w:r>
    </w:p>
    <w:p w14:paraId="3DB449D5" w14:textId="6D7BAE70" w:rsidR="004E1E58" w:rsidRDefault="004E1E58" w:rsidP="004E1E58">
      <w:pPr>
        <w:pStyle w:val="textnormal"/>
        <w:jc w:val="center"/>
        <w:rPr>
          <w:sz w:val="24"/>
          <w:szCs w:val="24"/>
          <w:lang w:val="en-GB"/>
        </w:rPr>
      </w:pPr>
      <w:r w:rsidRPr="00432299">
        <w:rPr>
          <w:b/>
          <w:sz w:val="24"/>
          <w:szCs w:val="24"/>
          <w:lang w:val="en-GB"/>
        </w:rPr>
        <w:lastRenderedPageBreak/>
        <w:t xml:space="preserve">The </w:t>
      </w:r>
      <w:r w:rsidR="00B40FA6">
        <w:rPr>
          <w:b/>
          <w:sz w:val="24"/>
          <w:szCs w:val="24"/>
          <w:lang w:val="en-GB"/>
        </w:rPr>
        <w:t>“G</w:t>
      </w:r>
      <w:r w:rsidRPr="00432299">
        <w:rPr>
          <w:b/>
          <w:sz w:val="24"/>
          <w:szCs w:val="24"/>
          <w:lang w:val="en-GB"/>
        </w:rPr>
        <w:t>olden</w:t>
      </w:r>
      <w:r w:rsidR="00B40FA6">
        <w:rPr>
          <w:b/>
          <w:sz w:val="24"/>
          <w:szCs w:val="24"/>
          <w:lang w:val="en-GB"/>
        </w:rPr>
        <w:t>”</w:t>
      </w:r>
      <w:r w:rsidRPr="00432299">
        <w:rPr>
          <w:b/>
          <w:sz w:val="24"/>
          <w:szCs w:val="24"/>
          <w:lang w:val="en-GB"/>
        </w:rPr>
        <w:t xml:space="preserve"> </w:t>
      </w:r>
      <w:r w:rsidR="00B40FA6">
        <w:rPr>
          <w:b/>
          <w:sz w:val="24"/>
          <w:szCs w:val="24"/>
          <w:lang w:val="en-GB"/>
        </w:rPr>
        <w:t>T</w:t>
      </w:r>
      <w:r w:rsidRPr="00432299">
        <w:rPr>
          <w:b/>
          <w:sz w:val="24"/>
          <w:szCs w:val="24"/>
          <w:lang w:val="en-GB"/>
        </w:rPr>
        <w:t xml:space="preserve">riangle of </w:t>
      </w:r>
      <w:r w:rsidR="00B40FA6">
        <w:rPr>
          <w:b/>
          <w:sz w:val="24"/>
          <w:szCs w:val="24"/>
          <w:lang w:val="en-GB"/>
        </w:rPr>
        <w:t>H</w:t>
      </w:r>
      <w:r w:rsidRPr="00432299">
        <w:rPr>
          <w:b/>
          <w:sz w:val="24"/>
          <w:szCs w:val="24"/>
          <w:lang w:val="en-GB"/>
        </w:rPr>
        <w:t xml:space="preserve">uman </w:t>
      </w:r>
      <w:r w:rsidR="00B40FA6">
        <w:rPr>
          <w:b/>
          <w:sz w:val="24"/>
          <w:szCs w:val="24"/>
          <w:lang w:val="en-GB"/>
        </w:rPr>
        <w:t>D</w:t>
      </w:r>
      <w:r w:rsidRPr="00432299">
        <w:rPr>
          <w:b/>
          <w:sz w:val="24"/>
          <w:szCs w:val="24"/>
          <w:lang w:val="en-GB"/>
        </w:rPr>
        <w:t xml:space="preserve">ignity </w:t>
      </w:r>
      <w:r w:rsidR="00B40FA6">
        <w:rPr>
          <w:b/>
          <w:sz w:val="24"/>
          <w:szCs w:val="24"/>
          <w:lang w:val="en-GB"/>
        </w:rPr>
        <w:t>M</w:t>
      </w:r>
      <w:r w:rsidRPr="00432299">
        <w:rPr>
          <w:b/>
          <w:sz w:val="24"/>
          <w:szCs w:val="24"/>
          <w:lang w:val="en-GB"/>
        </w:rPr>
        <w:t>anifestation</w:t>
      </w:r>
      <w:r>
        <w:rPr>
          <w:noProof/>
          <w:sz w:val="24"/>
          <w:szCs w:val="24"/>
          <w:lang w:val="nl-NL" w:eastAsia="nl-NL"/>
        </w:rPr>
        <w:drawing>
          <wp:inline distT="0" distB="0" distL="0" distR="0" wp14:anchorId="0862C2D7" wp14:editId="4FD95F36">
            <wp:extent cx="5553075" cy="3705225"/>
            <wp:effectExtent l="0" t="0" r="9525" b="9525"/>
            <wp:docPr id="1" name="Afbeelding 1" descr="figur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igure 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3705225"/>
                    </a:xfrm>
                    <a:prstGeom prst="rect">
                      <a:avLst/>
                    </a:prstGeom>
                    <a:noFill/>
                    <a:ln>
                      <a:noFill/>
                    </a:ln>
                  </pic:spPr>
                </pic:pic>
              </a:graphicData>
            </a:graphic>
          </wp:inline>
        </w:drawing>
      </w:r>
    </w:p>
    <w:p w14:paraId="48815755" w14:textId="77777777" w:rsidR="004E1E58" w:rsidRPr="002E33EC" w:rsidRDefault="004E1E58" w:rsidP="004E1E58">
      <w:pPr>
        <w:jc w:val="center"/>
        <w:rPr>
          <w:i/>
        </w:rPr>
      </w:pPr>
      <w:r w:rsidRPr="002E33EC">
        <w:rPr>
          <w:i/>
        </w:rPr>
        <w:t xml:space="preserve">Source: </w:t>
      </w:r>
      <w:r w:rsidRPr="002E33EC">
        <w:t xml:space="preserve">de Gaay Fortman, </w:t>
      </w:r>
      <w:r w:rsidRPr="002E33EC">
        <w:rPr>
          <w:i/>
          <w:spacing w:val="-3"/>
        </w:rPr>
        <w:t>Political Economy of Human Rights: Rights, Realities and Realization</w:t>
      </w:r>
      <w:r w:rsidRPr="002E33EC">
        <w:rPr>
          <w:spacing w:val="-3"/>
        </w:rPr>
        <w:t>, London/NY: Routledge, paperback reprinting 2012</w:t>
      </w:r>
      <w:r>
        <w:rPr>
          <w:spacing w:val="-3"/>
        </w:rPr>
        <w:t>,</w:t>
      </w:r>
      <w:r w:rsidRPr="002E33EC">
        <w:t xml:space="preserve"> note 12, at p. 8.</w:t>
      </w:r>
    </w:p>
    <w:p w14:paraId="25002CD9" w14:textId="77777777" w:rsidR="004E1E58" w:rsidRDefault="004E1E58" w:rsidP="004E1E58">
      <w:pPr>
        <w:pStyle w:val="textnormal"/>
        <w:spacing w:line="240" w:lineRule="auto"/>
        <w:rPr>
          <w:sz w:val="24"/>
          <w:szCs w:val="24"/>
          <w:lang w:val="en-GB"/>
        </w:rPr>
      </w:pPr>
    </w:p>
    <w:p w14:paraId="12C559ED" w14:textId="6101453C" w:rsidR="004E1E58" w:rsidRDefault="004E1E58" w:rsidP="004E1E58">
      <w:pPr>
        <w:pStyle w:val="textnormal"/>
        <w:spacing w:line="240" w:lineRule="auto"/>
        <w:rPr>
          <w:sz w:val="24"/>
          <w:szCs w:val="24"/>
          <w:lang w:val="en-GB"/>
        </w:rPr>
      </w:pPr>
      <w:r w:rsidRPr="00432299">
        <w:rPr>
          <w:sz w:val="24"/>
          <w:szCs w:val="24"/>
          <w:lang w:val="en-GB"/>
        </w:rPr>
        <w:t xml:space="preserve">Markedly, human dignity qualifies the three major human rights principles with the adjective </w:t>
      </w:r>
      <w:r w:rsidRPr="00432299">
        <w:rPr>
          <w:i/>
          <w:sz w:val="24"/>
          <w:szCs w:val="24"/>
          <w:lang w:val="en-GB"/>
        </w:rPr>
        <w:t>all</w:t>
      </w:r>
      <w:r w:rsidRPr="00432299">
        <w:rPr>
          <w:sz w:val="24"/>
          <w:szCs w:val="24"/>
          <w:lang w:val="en-GB"/>
        </w:rPr>
        <w:t xml:space="preserve">, while also connecting them as branches from the same tree. </w:t>
      </w:r>
      <w:r w:rsidR="00B40FA6">
        <w:rPr>
          <w:sz w:val="24"/>
          <w:szCs w:val="24"/>
          <w:lang w:val="en-GB"/>
        </w:rPr>
        <w:t>This</w:t>
      </w:r>
      <w:r w:rsidR="00B40FA6" w:rsidRPr="00432299">
        <w:rPr>
          <w:sz w:val="24"/>
          <w:szCs w:val="24"/>
          <w:lang w:val="en-GB"/>
        </w:rPr>
        <w:t xml:space="preserve"> </w:t>
      </w:r>
      <w:r w:rsidRPr="00432299">
        <w:rPr>
          <w:sz w:val="24"/>
          <w:szCs w:val="24"/>
          <w:lang w:val="en-GB"/>
        </w:rPr>
        <w:t xml:space="preserve">crucial link between liberty, equality and solidarity implies that there cannot be a hierarchy of fundamental rights and their underlying values; a balancing exercise between different interests behind claims in the light of all relevant (competing) rights and core values is, indeed, vital. As was noted in a joint dissenting opinion in a European Court of Human Rights (ECtHR) case, </w:t>
      </w:r>
      <w:r w:rsidR="00B40FA6">
        <w:rPr>
          <w:sz w:val="24"/>
          <w:szCs w:val="24"/>
          <w:lang w:val="en-GB"/>
        </w:rPr>
        <w:t>“</w:t>
      </w:r>
      <w:r w:rsidRPr="00432299">
        <w:rPr>
          <w:sz w:val="24"/>
          <w:szCs w:val="24"/>
          <w:lang w:val="en-GB"/>
        </w:rPr>
        <w:t xml:space="preserve">the Court must decide whether a fair balance has been struck between competing interests. It is not, therefore, a question of deciding which interest must, in a given case take absolute precedence over others […] </w:t>
      </w:r>
      <w:r w:rsidRPr="00432299">
        <w:rPr>
          <w:rStyle w:val="sb8d990e2"/>
          <w:sz w:val="24"/>
          <w:szCs w:val="24"/>
          <w:lang w:val="en-GB"/>
        </w:rPr>
        <w:t>It must perform a “balancing of interests” test and examine whether in the present case the French system [</w:t>
      </w:r>
      <w:r w:rsidRPr="00552939">
        <w:rPr>
          <w:rStyle w:val="sb8d990e2"/>
          <w:sz w:val="24"/>
          <w:szCs w:val="24"/>
          <w:lang w:val="en-GB"/>
        </w:rPr>
        <w:t>the legal system at issue</w:t>
      </w:r>
      <w:r w:rsidRPr="00432299">
        <w:rPr>
          <w:rStyle w:val="sb8d990e2"/>
          <w:sz w:val="24"/>
          <w:szCs w:val="24"/>
          <w:lang w:val="en-GB"/>
        </w:rPr>
        <w:t>], struck a reasonable balance between the competing rights and interests.</w:t>
      </w:r>
      <w:r w:rsidR="00B40FA6">
        <w:rPr>
          <w:sz w:val="24"/>
          <w:szCs w:val="24"/>
          <w:lang w:val="en-GB"/>
        </w:rPr>
        <w:t>”</w:t>
      </w:r>
      <w:r w:rsidRPr="00432299">
        <w:rPr>
          <w:rStyle w:val="Voetnootmarkering"/>
          <w:sz w:val="24"/>
          <w:szCs w:val="24"/>
          <w:lang w:val="en-GB"/>
        </w:rPr>
        <w:footnoteReference w:id="36"/>
      </w:r>
    </w:p>
    <w:p w14:paraId="3CED97B3" w14:textId="77777777" w:rsidR="00B40FA6" w:rsidRDefault="00B40FA6" w:rsidP="004E1E58">
      <w:pPr>
        <w:pStyle w:val="textnormal"/>
        <w:spacing w:line="240" w:lineRule="auto"/>
        <w:rPr>
          <w:sz w:val="24"/>
          <w:szCs w:val="24"/>
          <w:lang w:val="en-GB"/>
        </w:rPr>
      </w:pPr>
    </w:p>
    <w:p w14:paraId="38178B73" w14:textId="1DBE34C8" w:rsidR="004E1E58" w:rsidRDefault="004E1E58" w:rsidP="004E1E58">
      <w:pPr>
        <w:pStyle w:val="textnormal"/>
        <w:spacing w:line="240" w:lineRule="auto"/>
        <w:ind w:firstLine="720"/>
        <w:rPr>
          <w:sz w:val="24"/>
          <w:szCs w:val="24"/>
          <w:lang w:val="en-GB"/>
        </w:rPr>
      </w:pPr>
      <w:r w:rsidRPr="00432299">
        <w:rPr>
          <w:sz w:val="24"/>
          <w:szCs w:val="24"/>
          <w:lang w:val="en-GB"/>
        </w:rPr>
        <w:t xml:space="preserve">Thus, in actual practice the three basic values also qualify one another, each with its own core perspective. </w:t>
      </w:r>
      <w:r>
        <w:rPr>
          <w:sz w:val="24"/>
          <w:szCs w:val="24"/>
          <w:lang w:val="en-GB"/>
        </w:rPr>
        <w:t>Indeed</w:t>
      </w:r>
      <w:r w:rsidRPr="00432299">
        <w:rPr>
          <w:sz w:val="24"/>
          <w:szCs w:val="24"/>
          <w:lang w:val="en-GB"/>
        </w:rPr>
        <w:t xml:space="preserve">, </w:t>
      </w:r>
      <w:r w:rsidR="00E706C0">
        <w:rPr>
          <w:sz w:val="24"/>
          <w:szCs w:val="24"/>
          <w:lang w:val="en-GB"/>
        </w:rPr>
        <w:t xml:space="preserve">Ronald </w:t>
      </w:r>
      <w:r w:rsidRPr="00432299">
        <w:rPr>
          <w:sz w:val="24"/>
          <w:szCs w:val="24"/>
          <w:lang w:val="en-GB"/>
        </w:rPr>
        <w:t xml:space="preserve">Dworkin </w:t>
      </w:r>
      <w:r>
        <w:rPr>
          <w:sz w:val="24"/>
          <w:szCs w:val="24"/>
          <w:lang w:val="en-GB"/>
        </w:rPr>
        <w:t>calls</w:t>
      </w:r>
      <w:r w:rsidRPr="00432299">
        <w:rPr>
          <w:sz w:val="24"/>
          <w:szCs w:val="24"/>
          <w:lang w:val="en-GB"/>
        </w:rPr>
        <w:t xml:space="preserve"> here for </w:t>
      </w:r>
      <w:r w:rsidR="00B40FA6">
        <w:rPr>
          <w:sz w:val="24"/>
          <w:szCs w:val="24"/>
          <w:lang w:val="en-GB"/>
        </w:rPr>
        <w:t>“</w:t>
      </w:r>
      <w:r w:rsidRPr="00432299">
        <w:rPr>
          <w:sz w:val="24"/>
          <w:szCs w:val="24"/>
          <w:lang w:val="en-GB"/>
        </w:rPr>
        <w:t xml:space="preserve">solutions to </w:t>
      </w:r>
      <w:r w:rsidRPr="00432299">
        <w:rPr>
          <w:i/>
          <w:sz w:val="24"/>
          <w:szCs w:val="24"/>
          <w:lang w:val="en-GB"/>
        </w:rPr>
        <w:t>simultaneous equations</w:t>
      </w:r>
      <w:r w:rsidR="00B40FA6">
        <w:rPr>
          <w:sz w:val="24"/>
          <w:szCs w:val="24"/>
          <w:lang w:val="en-GB"/>
        </w:rPr>
        <w:t>.”</w:t>
      </w:r>
      <w:r w:rsidRPr="00432299">
        <w:rPr>
          <w:rStyle w:val="Voetnootmarkering"/>
          <w:sz w:val="24"/>
          <w:szCs w:val="24"/>
          <w:lang w:val="en-GB"/>
        </w:rPr>
        <w:footnoteReference w:id="37"/>
      </w:r>
      <w:r>
        <w:rPr>
          <w:sz w:val="24"/>
          <w:szCs w:val="24"/>
          <w:lang w:val="en-GB"/>
        </w:rPr>
        <w:t xml:space="preserve"> It is important, in other words, not to play one value out against another (liberty versus equality, for example) but to aim at simultaneous realisation.</w:t>
      </w:r>
    </w:p>
    <w:p w14:paraId="7A4D9703" w14:textId="77777777" w:rsidR="004E1E58" w:rsidRDefault="004E1E58" w:rsidP="004E1E58">
      <w:pPr>
        <w:pStyle w:val="textnormal"/>
        <w:spacing w:line="240" w:lineRule="auto"/>
        <w:rPr>
          <w:sz w:val="24"/>
          <w:szCs w:val="24"/>
          <w:lang w:val="en-GB"/>
        </w:rPr>
      </w:pPr>
    </w:p>
    <w:p w14:paraId="0DA73EEF" w14:textId="7FCA1C89" w:rsidR="007A30B1" w:rsidRPr="00F26664" w:rsidRDefault="007A30B1" w:rsidP="007A30B1">
      <w:pPr>
        <w:pStyle w:val="textnormal"/>
        <w:spacing w:line="240" w:lineRule="auto"/>
        <w:rPr>
          <w:b/>
          <w:sz w:val="24"/>
          <w:szCs w:val="24"/>
          <w:lang w:val="en-GB"/>
        </w:rPr>
      </w:pPr>
      <w:r>
        <w:rPr>
          <w:b/>
          <w:sz w:val="24"/>
          <w:szCs w:val="24"/>
          <w:lang w:val="en-GB"/>
        </w:rPr>
        <w:t xml:space="preserve">The </w:t>
      </w:r>
      <w:r w:rsidR="00B40FA6">
        <w:rPr>
          <w:b/>
          <w:sz w:val="24"/>
          <w:szCs w:val="24"/>
          <w:lang w:val="en-GB"/>
        </w:rPr>
        <w:t>E</w:t>
      </w:r>
      <w:r>
        <w:rPr>
          <w:b/>
          <w:sz w:val="24"/>
          <w:szCs w:val="24"/>
          <w:lang w:val="en-GB"/>
        </w:rPr>
        <w:t xml:space="preserve">qual </w:t>
      </w:r>
      <w:r w:rsidR="00B40FA6">
        <w:rPr>
          <w:b/>
          <w:sz w:val="24"/>
          <w:szCs w:val="24"/>
          <w:lang w:val="en-GB"/>
        </w:rPr>
        <w:t>R</w:t>
      </w:r>
      <w:r>
        <w:rPr>
          <w:b/>
          <w:sz w:val="24"/>
          <w:szCs w:val="24"/>
          <w:lang w:val="en-GB"/>
        </w:rPr>
        <w:t xml:space="preserve">ights of </w:t>
      </w:r>
      <w:r w:rsidR="00B40FA6">
        <w:rPr>
          <w:b/>
          <w:sz w:val="24"/>
          <w:szCs w:val="24"/>
          <w:lang w:val="en-GB"/>
        </w:rPr>
        <w:t>A</w:t>
      </w:r>
      <w:r>
        <w:rPr>
          <w:b/>
          <w:sz w:val="24"/>
          <w:szCs w:val="24"/>
          <w:lang w:val="en-GB"/>
        </w:rPr>
        <w:t xml:space="preserve">ll: (1) </w:t>
      </w:r>
      <w:r w:rsidRPr="004E1E58">
        <w:rPr>
          <w:b/>
          <w:sz w:val="24"/>
          <w:szCs w:val="24"/>
          <w:lang w:val="en-GB"/>
        </w:rPr>
        <w:t xml:space="preserve">Formal </w:t>
      </w:r>
      <w:r w:rsidR="00B40FA6">
        <w:rPr>
          <w:b/>
          <w:sz w:val="24"/>
          <w:szCs w:val="24"/>
          <w:lang w:val="en-GB"/>
        </w:rPr>
        <w:t>E</w:t>
      </w:r>
      <w:r w:rsidRPr="004E1E58">
        <w:rPr>
          <w:b/>
          <w:sz w:val="24"/>
          <w:szCs w:val="24"/>
          <w:lang w:val="en-GB"/>
        </w:rPr>
        <w:t>quality</w:t>
      </w:r>
      <w:r w:rsidRPr="000C7D36">
        <w:rPr>
          <w:b/>
          <w:i/>
          <w:sz w:val="24"/>
          <w:szCs w:val="24"/>
          <w:lang w:val="en-GB"/>
        </w:rPr>
        <w:t xml:space="preserve"> </w:t>
      </w:r>
    </w:p>
    <w:p w14:paraId="64261F94" w14:textId="00CB8FF9" w:rsidR="007A30B1" w:rsidRPr="00AF76AC" w:rsidRDefault="007A30B1" w:rsidP="007A30B1">
      <w:pPr>
        <w:jc w:val="both"/>
        <w:rPr>
          <w:color w:val="000000"/>
        </w:rPr>
      </w:pPr>
      <w:r>
        <w:rPr>
          <w:rFonts w:eastAsia="Times New Roman" w:cs="Calibri"/>
          <w:lang w:val="en-GB" w:eastAsia="ar-SA"/>
        </w:rPr>
        <w:t xml:space="preserve">Perusing international human rights law and the comments and observations of its distinct supervisory bodies, one is struck by a primary interpretation that relates the equality principle to the subjects of human rights, in particular </w:t>
      </w:r>
      <w:r w:rsidR="00B40FA6">
        <w:rPr>
          <w:rFonts w:eastAsia="Times New Roman" w:cs="Calibri"/>
          <w:lang w:val="en-GB" w:eastAsia="ar-SA"/>
        </w:rPr>
        <w:t>“</w:t>
      </w:r>
      <w:r>
        <w:rPr>
          <w:rFonts w:eastAsia="Times New Roman" w:cs="Calibri"/>
          <w:lang w:val="en-GB" w:eastAsia="ar-SA"/>
        </w:rPr>
        <w:t>the equal rights of men and women</w:t>
      </w:r>
      <w:r w:rsidR="00B40FA6">
        <w:rPr>
          <w:rFonts w:eastAsia="Times New Roman" w:cs="Calibri"/>
          <w:lang w:val="en-GB" w:eastAsia="ar-SA"/>
        </w:rPr>
        <w:t>.”</w:t>
      </w:r>
      <w:r>
        <w:rPr>
          <w:rFonts w:eastAsia="Times New Roman" w:cs="Calibri"/>
          <w:lang w:val="en-GB" w:eastAsia="ar-SA"/>
        </w:rPr>
        <w:t xml:space="preserve"> Actually, it is already in the </w:t>
      </w:r>
      <w:r w:rsidRPr="00AF76AC">
        <w:rPr>
          <w:rFonts w:eastAsia="Times New Roman"/>
          <w:lang w:val="en-GB" w:eastAsia="ar-SA"/>
        </w:rPr>
        <w:t xml:space="preserve">preamble to the UN Charter that the </w:t>
      </w:r>
      <w:r w:rsidR="00B40FA6">
        <w:rPr>
          <w:rFonts w:eastAsia="Times New Roman"/>
          <w:lang w:val="en-GB" w:eastAsia="ar-SA"/>
        </w:rPr>
        <w:t>“</w:t>
      </w:r>
      <w:r w:rsidRPr="00AF76AC">
        <w:rPr>
          <w:rFonts w:eastAsia="Times New Roman"/>
          <w:lang w:val="en-GB" w:eastAsia="ar-SA"/>
        </w:rPr>
        <w:t>Peoples of the United Nations</w:t>
      </w:r>
      <w:r w:rsidR="00B40FA6">
        <w:rPr>
          <w:rFonts w:eastAsia="Times New Roman"/>
          <w:lang w:val="en-GB" w:eastAsia="ar-SA"/>
        </w:rPr>
        <w:t>”</w:t>
      </w:r>
      <w:r w:rsidRPr="00AF76AC">
        <w:rPr>
          <w:rFonts w:eastAsia="Times New Roman"/>
          <w:lang w:val="en-GB" w:eastAsia="ar-SA"/>
        </w:rPr>
        <w:t xml:space="preserve"> reaffirm their faith in… </w:t>
      </w:r>
      <w:r w:rsidR="00B40FA6">
        <w:rPr>
          <w:rFonts w:eastAsia="Times New Roman"/>
          <w:lang w:val="en-GB" w:eastAsia="ar-SA"/>
        </w:rPr>
        <w:t>“</w:t>
      </w:r>
      <w:r w:rsidRPr="00AF76AC">
        <w:rPr>
          <w:rFonts w:eastAsia="Times New Roman"/>
          <w:lang w:val="en-GB" w:eastAsia="ar-SA"/>
        </w:rPr>
        <w:t>the equal rights of men and women</w:t>
      </w:r>
      <w:r w:rsidR="00B40FA6">
        <w:rPr>
          <w:rFonts w:eastAsia="Times New Roman"/>
          <w:lang w:val="en-GB" w:eastAsia="ar-SA"/>
        </w:rPr>
        <w:t>.”</w:t>
      </w:r>
      <w:r w:rsidRPr="00AF76AC">
        <w:rPr>
          <w:rFonts w:eastAsia="Times New Roman"/>
          <w:lang w:val="en-GB" w:eastAsia="ar-SA"/>
        </w:rPr>
        <w:t xml:space="preserve"> Th</w:t>
      </w:r>
      <w:r>
        <w:rPr>
          <w:rFonts w:eastAsia="Times New Roman"/>
          <w:lang w:val="en-GB" w:eastAsia="ar-SA"/>
        </w:rPr>
        <w:t>is</w:t>
      </w:r>
      <w:r w:rsidRPr="00AF76AC">
        <w:rPr>
          <w:rFonts w:eastAsia="Times New Roman"/>
          <w:lang w:val="en-GB" w:eastAsia="ar-SA"/>
        </w:rPr>
        <w:t xml:space="preserve"> expression is repeated in the preamble </w:t>
      </w:r>
      <w:r w:rsidR="00E70BF6">
        <w:rPr>
          <w:rFonts w:eastAsia="Times New Roman"/>
          <w:lang w:val="en-GB" w:eastAsia="ar-SA"/>
        </w:rPr>
        <w:t>to</w:t>
      </w:r>
      <w:r w:rsidRPr="00AF76AC">
        <w:rPr>
          <w:rFonts w:eastAsia="Times New Roman"/>
          <w:lang w:val="en-GB" w:eastAsia="ar-SA"/>
        </w:rPr>
        <w:t xml:space="preserve"> the UDHR whilst human rights treaties themselves use phrases like </w:t>
      </w:r>
      <w:r w:rsidR="002F0231">
        <w:rPr>
          <w:rFonts w:eastAsia="Times New Roman"/>
          <w:lang w:val="en-GB" w:eastAsia="ar-SA"/>
        </w:rPr>
        <w:t>“</w:t>
      </w:r>
      <w:r w:rsidRPr="00AF76AC">
        <w:rPr>
          <w:color w:val="000000"/>
        </w:rPr>
        <w:t>the equal right of men and women to the enjoyment of all rights set forth in the present Covenant</w:t>
      </w:r>
      <w:r w:rsidR="002F0231">
        <w:rPr>
          <w:color w:val="000000"/>
        </w:rPr>
        <w:t>.”</w:t>
      </w:r>
      <w:r>
        <w:rPr>
          <w:rStyle w:val="Voetnootmarkering"/>
          <w:color w:val="000000"/>
        </w:rPr>
        <w:footnoteReference w:id="38"/>
      </w:r>
      <w:r w:rsidRPr="00AF76AC">
        <w:rPr>
          <w:color w:val="000000"/>
        </w:rPr>
        <w:t xml:space="preserve"> </w:t>
      </w:r>
    </w:p>
    <w:p w14:paraId="259658EB" w14:textId="77777777" w:rsidR="0091366C" w:rsidRDefault="0091366C" w:rsidP="0091366C">
      <w:pPr>
        <w:jc w:val="both"/>
        <w:rPr>
          <w:color w:val="000000"/>
        </w:rPr>
      </w:pPr>
    </w:p>
    <w:p w14:paraId="13DDF548" w14:textId="1C937C39" w:rsidR="007A30B1" w:rsidRDefault="007A30B1" w:rsidP="0091366C">
      <w:pPr>
        <w:jc w:val="both"/>
      </w:pPr>
      <w:r w:rsidRPr="00AF76AC">
        <w:rPr>
          <w:color w:val="000000"/>
        </w:rPr>
        <w:t xml:space="preserve">A first issue in this respect is the meaning of equal enjoyment. In its General Comment No. 16 (2005) the Committee </w:t>
      </w:r>
      <w:r>
        <w:rPr>
          <w:color w:val="000000"/>
        </w:rPr>
        <w:t xml:space="preserve">on the </w:t>
      </w:r>
      <w:r w:rsidRPr="00AF76AC">
        <w:t>International Covenant on Economic, Social and Cultural Rights</w:t>
      </w:r>
      <w:r>
        <w:rPr>
          <w:color w:val="000000"/>
        </w:rPr>
        <w:t xml:space="preserve"> (</w:t>
      </w:r>
      <w:r w:rsidRPr="00AF76AC">
        <w:rPr>
          <w:color w:val="000000"/>
        </w:rPr>
        <w:t xml:space="preserve">CESCR) has provided a conceptual framework </w:t>
      </w:r>
      <w:r>
        <w:rPr>
          <w:color w:val="000000"/>
        </w:rPr>
        <w:t>for this purpose</w:t>
      </w:r>
      <w:r w:rsidRPr="00AF76AC">
        <w:rPr>
          <w:color w:val="000000"/>
        </w:rPr>
        <w:t xml:space="preserve">. Its primary distinction is between formal (de jure) and substantive (de facto) equality. The former requires equal status before the law in the sense of equal treatment of equal cases. </w:t>
      </w:r>
      <w:r>
        <w:rPr>
          <w:color w:val="000000"/>
        </w:rPr>
        <w:t xml:space="preserve">Often quoted in this connection is </w:t>
      </w:r>
      <w:r w:rsidRPr="00AF76AC">
        <w:t>Aristotle’s characterization</w:t>
      </w:r>
      <w:r>
        <w:t xml:space="preserve"> of </w:t>
      </w:r>
      <w:r w:rsidRPr="00AF76AC">
        <w:t xml:space="preserve">formal justice </w:t>
      </w:r>
      <w:r>
        <w:t>whe</w:t>
      </w:r>
      <w:r w:rsidR="002F0231">
        <w:t>re</w:t>
      </w:r>
      <w:r>
        <w:t xml:space="preserve"> </w:t>
      </w:r>
      <w:r w:rsidR="002F0231">
        <w:t>“</w:t>
      </w:r>
      <w:r w:rsidRPr="00AF76AC">
        <w:t xml:space="preserve">…equals are to be treated equally and </w:t>
      </w:r>
      <w:proofErr w:type="spellStart"/>
      <w:r w:rsidRPr="00AF76AC">
        <w:t>unequals</w:t>
      </w:r>
      <w:proofErr w:type="spellEnd"/>
      <w:r w:rsidRPr="00AF76AC">
        <w:t xml:space="preserve"> unequally.</w:t>
      </w:r>
      <w:r w:rsidR="002F0231">
        <w:t>”</w:t>
      </w:r>
      <w:r>
        <w:rPr>
          <w:rStyle w:val="Voetnootmarkering"/>
        </w:rPr>
        <w:footnoteReference w:id="39"/>
      </w:r>
      <w:r w:rsidRPr="00AF76AC">
        <w:t xml:space="preserve"> </w:t>
      </w:r>
      <w:r w:rsidR="00E706C0">
        <w:t>In other words,</w:t>
      </w:r>
      <w:r w:rsidR="00E706C0" w:rsidRPr="00D037DD">
        <w:t xml:space="preserve"> </w:t>
      </w:r>
      <w:r w:rsidR="00E706C0">
        <w:t>a</w:t>
      </w:r>
      <w:r w:rsidRPr="00D037DD">
        <w:t xml:space="preserve"> principle of consistency</w:t>
      </w:r>
      <w:r>
        <w:t>.</w:t>
      </w:r>
      <w:r>
        <w:rPr>
          <w:rStyle w:val="Voetnootmarkering"/>
        </w:rPr>
        <w:footnoteReference w:id="40"/>
      </w:r>
      <w:r>
        <w:t xml:space="preserve"> </w:t>
      </w:r>
      <w:r w:rsidR="007A3E39">
        <w:t xml:space="preserve">However, </w:t>
      </w:r>
      <w:r w:rsidR="002F0231">
        <w:t xml:space="preserve">since </w:t>
      </w:r>
      <w:r>
        <w:t>antiquity accepted slavery</w:t>
      </w:r>
      <w:r w:rsidR="00E70BF6">
        <w:t>,</w:t>
      </w:r>
      <w:r>
        <w:t xml:space="preserve"> one</w:t>
      </w:r>
      <w:r w:rsidR="00DC794B">
        <w:t xml:space="preserve"> thus</w:t>
      </w:r>
      <w:r>
        <w:t xml:space="preserve"> has to be carefu</w:t>
      </w:r>
      <w:r w:rsidR="00DC794B">
        <w:t>l</w:t>
      </w:r>
      <w:r>
        <w:t xml:space="preserve">. To regard a fellow human being as an </w:t>
      </w:r>
      <w:r w:rsidR="002F0231">
        <w:t>“</w:t>
      </w:r>
      <w:r>
        <w:t>unequal</w:t>
      </w:r>
      <w:r w:rsidR="002F0231">
        <w:t>”</w:t>
      </w:r>
      <w:r>
        <w:t xml:space="preserve"> </w:t>
      </w:r>
      <w:r w:rsidRPr="00193E10">
        <w:t>due to certain circumstances</w:t>
      </w:r>
      <w:r>
        <w:t xml:space="preserve"> requires legitima</w:t>
      </w:r>
      <w:r w:rsidR="0091366C">
        <w:t>tion</w:t>
      </w:r>
      <w:r>
        <w:t xml:space="preserve"> in the light of that fundamental principle based upon </w:t>
      </w:r>
      <w:r w:rsidR="00E70BF6">
        <w:t xml:space="preserve">the </w:t>
      </w:r>
      <w:r>
        <w:t xml:space="preserve">birth of </w:t>
      </w:r>
      <w:r w:rsidRPr="00A6738E">
        <w:rPr>
          <w:i/>
        </w:rPr>
        <w:t>all</w:t>
      </w:r>
      <w:r>
        <w:t xml:space="preserve"> as human beings </w:t>
      </w:r>
      <w:r w:rsidR="002F0231">
        <w:t>“</w:t>
      </w:r>
      <w:r>
        <w:t>equal in rights</w:t>
      </w:r>
      <w:r w:rsidR="002F0231">
        <w:t>.”</w:t>
      </w:r>
      <w:r>
        <w:t xml:space="preserve"> </w:t>
      </w:r>
    </w:p>
    <w:p w14:paraId="451790B1" w14:textId="77777777" w:rsidR="0091366C" w:rsidRDefault="0091366C" w:rsidP="0091366C">
      <w:pPr>
        <w:jc w:val="both"/>
      </w:pPr>
    </w:p>
    <w:p w14:paraId="34169F5B" w14:textId="3A102328" w:rsidR="007A30B1" w:rsidRDefault="007A30B1" w:rsidP="0091366C">
      <w:pPr>
        <w:jc w:val="both"/>
        <w:rPr>
          <w:rFonts w:eastAsia="Times New Roman"/>
          <w:lang w:eastAsia="nl-NL"/>
        </w:rPr>
      </w:pPr>
      <w:r>
        <w:t>Naturally, then, in adjudication and law enforcement</w:t>
      </w:r>
      <w:r w:rsidR="0059799C">
        <w:t>,</w:t>
      </w:r>
      <w:r>
        <w:t xml:space="preserve"> women ought to be treated as equals in the sense that they should not be </w:t>
      </w:r>
      <w:r w:rsidR="00DC794B">
        <w:t>the objects of discrimination</w:t>
      </w:r>
      <w:r>
        <w:t xml:space="preserve">. </w:t>
      </w:r>
      <w:r w:rsidRPr="007D08B6">
        <w:t xml:space="preserve">But there is more. </w:t>
      </w:r>
      <w:r>
        <w:t xml:space="preserve">The </w:t>
      </w:r>
      <w:r w:rsidRPr="007D08B6">
        <w:rPr>
          <w:rFonts w:eastAsia="Times New Roman"/>
          <w:lang w:eastAsia="nl-NL"/>
        </w:rPr>
        <w:t>Canadian Charter of Rights and Freedoms of 1982</w:t>
      </w:r>
      <w:r>
        <w:rPr>
          <w:rFonts w:eastAsia="Times New Roman"/>
          <w:lang w:eastAsia="nl-NL"/>
        </w:rPr>
        <w:t xml:space="preserve">, </w:t>
      </w:r>
      <w:r w:rsidRPr="007D08B6">
        <w:rPr>
          <w:rFonts w:eastAsia="Times New Roman"/>
          <w:lang w:eastAsia="nl-NL"/>
        </w:rPr>
        <w:t xml:space="preserve">Article 15(1) reads: </w:t>
      </w:r>
      <w:r w:rsidR="002F0231">
        <w:rPr>
          <w:rFonts w:eastAsia="Times New Roman"/>
          <w:lang w:eastAsia="nl-NL"/>
        </w:rPr>
        <w:t>“</w:t>
      </w:r>
      <w:r w:rsidRPr="007D08B6">
        <w:rPr>
          <w:rFonts w:eastAsia="Times New Roman"/>
          <w:lang w:eastAsia="nl-NL"/>
        </w:rPr>
        <w:t xml:space="preserve">Every individual is equal </w:t>
      </w:r>
      <w:r w:rsidRPr="007D08B6">
        <w:rPr>
          <w:rFonts w:eastAsia="Times New Roman"/>
          <w:i/>
          <w:lang w:eastAsia="nl-NL"/>
        </w:rPr>
        <w:t>before and under the law</w:t>
      </w:r>
      <w:r w:rsidRPr="007D08B6">
        <w:rPr>
          <w:rFonts w:eastAsia="Times New Roman"/>
          <w:lang w:eastAsia="nl-NL"/>
        </w:rPr>
        <w:t xml:space="preserve"> and has the </w:t>
      </w:r>
      <w:r w:rsidRPr="007D08B6">
        <w:rPr>
          <w:rFonts w:eastAsia="Times New Roman"/>
          <w:i/>
          <w:lang w:eastAsia="nl-NL"/>
        </w:rPr>
        <w:t>right to the equal protection</w:t>
      </w:r>
      <w:r w:rsidRPr="007D08B6">
        <w:rPr>
          <w:rFonts w:eastAsia="Times New Roman"/>
          <w:lang w:eastAsia="nl-NL"/>
        </w:rPr>
        <w:t xml:space="preserve"> and equal benefit of the law </w:t>
      </w:r>
      <w:r w:rsidRPr="007D08B6">
        <w:rPr>
          <w:rFonts w:eastAsia="Times New Roman"/>
          <w:i/>
          <w:lang w:eastAsia="nl-NL"/>
        </w:rPr>
        <w:t>without discrimination</w:t>
      </w:r>
      <w:r w:rsidRPr="007D08B6">
        <w:rPr>
          <w:rFonts w:eastAsia="Times New Roman"/>
          <w:lang w:eastAsia="nl-NL"/>
        </w:rPr>
        <w:t>…</w:t>
      </w:r>
      <w:r w:rsidR="002F0231">
        <w:rPr>
          <w:rFonts w:eastAsia="Times New Roman"/>
          <w:lang w:eastAsia="nl-NL"/>
        </w:rPr>
        <w:t>”</w:t>
      </w:r>
      <w:r>
        <w:rPr>
          <w:rStyle w:val="Voetnootmarkering"/>
          <w:rFonts w:eastAsia="Times New Roman"/>
          <w:lang w:eastAsia="nl-NL"/>
        </w:rPr>
        <w:footnoteReference w:id="41"/>
      </w:r>
      <w:r>
        <w:rPr>
          <w:rFonts w:eastAsia="Times New Roman"/>
          <w:lang w:eastAsia="nl-NL"/>
        </w:rPr>
        <w:t xml:space="preserve"> Thus, apart from </w:t>
      </w:r>
      <w:r w:rsidRPr="007D08B6">
        <w:rPr>
          <w:rFonts w:eastAsia="Times New Roman"/>
          <w:lang w:eastAsia="nl-NL"/>
        </w:rPr>
        <w:t xml:space="preserve">the </w:t>
      </w:r>
      <w:r>
        <w:rPr>
          <w:rFonts w:eastAsia="Times New Roman"/>
          <w:lang w:eastAsia="nl-NL"/>
        </w:rPr>
        <w:t xml:space="preserve">prohibition of </w:t>
      </w:r>
      <w:r w:rsidRPr="007D08B6">
        <w:rPr>
          <w:rFonts w:eastAsia="Times New Roman"/>
          <w:lang w:eastAsia="nl-NL"/>
        </w:rPr>
        <w:t>discrimination</w:t>
      </w:r>
      <w:r>
        <w:rPr>
          <w:rFonts w:eastAsia="Times New Roman"/>
          <w:lang w:eastAsia="nl-NL"/>
        </w:rPr>
        <w:t xml:space="preserve"> there is also </w:t>
      </w:r>
      <w:r w:rsidRPr="007D08B6">
        <w:rPr>
          <w:rFonts w:eastAsia="Times New Roman"/>
          <w:lang w:eastAsia="nl-NL"/>
        </w:rPr>
        <w:t>the r</w:t>
      </w:r>
      <w:r>
        <w:rPr>
          <w:rFonts w:eastAsia="Times New Roman"/>
          <w:lang w:eastAsia="nl-NL"/>
        </w:rPr>
        <w:t xml:space="preserve">equisite </w:t>
      </w:r>
      <w:r w:rsidRPr="007D08B6">
        <w:rPr>
          <w:rFonts w:eastAsia="Times New Roman"/>
          <w:lang w:eastAsia="nl-NL"/>
        </w:rPr>
        <w:t xml:space="preserve">of </w:t>
      </w:r>
      <w:r w:rsidR="002F0231">
        <w:rPr>
          <w:rFonts w:eastAsia="Times New Roman"/>
          <w:lang w:eastAsia="nl-NL"/>
        </w:rPr>
        <w:t>“</w:t>
      </w:r>
      <w:r w:rsidRPr="007D08B6">
        <w:rPr>
          <w:rFonts w:eastAsia="Times New Roman"/>
          <w:lang w:eastAsia="nl-NL"/>
        </w:rPr>
        <w:t>equal protection of the law</w:t>
      </w:r>
      <w:r w:rsidR="002F0231">
        <w:rPr>
          <w:rFonts w:eastAsia="Times New Roman"/>
          <w:lang w:eastAsia="nl-NL"/>
        </w:rPr>
        <w:t>.”</w:t>
      </w:r>
      <w:r>
        <w:rPr>
          <w:rFonts w:eastAsia="Times New Roman"/>
          <w:lang w:eastAsia="nl-NL"/>
        </w:rPr>
        <w:t xml:space="preserve"> The latter may well call for special measures, for example to protect women from violence under cover of privacy. The point is that the law ought to protect men and women alike in all aspects of their human dignity, including bodily integri</w:t>
      </w:r>
      <w:r w:rsidR="00DC794B">
        <w:rPr>
          <w:rFonts w:eastAsia="Times New Roman"/>
          <w:lang w:eastAsia="nl-NL"/>
        </w:rPr>
        <w:t>ty</w:t>
      </w:r>
      <w:r w:rsidR="002F0231">
        <w:rPr>
          <w:rFonts w:eastAsia="Times New Roman"/>
          <w:lang w:eastAsia="nl-NL"/>
        </w:rPr>
        <w:t>.</w:t>
      </w:r>
      <w:r w:rsidR="00DC794B">
        <w:rPr>
          <w:rFonts w:eastAsia="Times New Roman"/>
          <w:lang w:eastAsia="nl-NL"/>
        </w:rPr>
        <w:t xml:space="preserve"> T</w:t>
      </w:r>
      <w:r>
        <w:rPr>
          <w:rFonts w:eastAsia="Times New Roman"/>
          <w:lang w:eastAsia="nl-NL"/>
        </w:rPr>
        <w:t>his responsibility may well entail different (unequal) approaches in unequal cases</w:t>
      </w:r>
      <w:r w:rsidR="00DC794B">
        <w:rPr>
          <w:rFonts w:eastAsia="Times New Roman"/>
          <w:lang w:eastAsia="nl-NL"/>
        </w:rPr>
        <w:t xml:space="preserve"> in order to equally protect both men and women</w:t>
      </w:r>
      <w:r>
        <w:rPr>
          <w:rFonts w:eastAsia="Times New Roman"/>
          <w:lang w:eastAsia="nl-NL"/>
        </w:rPr>
        <w:t xml:space="preserve">. This is precisely </w:t>
      </w:r>
      <w:proofErr w:type="spellStart"/>
      <w:r>
        <w:rPr>
          <w:rFonts w:eastAsia="Times New Roman"/>
          <w:lang w:eastAsia="nl-NL"/>
        </w:rPr>
        <w:t>Loenen’s</w:t>
      </w:r>
      <w:proofErr w:type="spellEnd"/>
      <w:r>
        <w:rPr>
          <w:rFonts w:eastAsia="Times New Roman"/>
          <w:lang w:eastAsia="nl-NL"/>
        </w:rPr>
        <w:t xml:space="preserve"> argument as recalled at the outset of this chapter.</w:t>
      </w:r>
    </w:p>
    <w:p w14:paraId="62EC43B8" w14:textId="77777777" w:rsidR="0091366C" w:rsidRDefault="0091366C" w:rsidP="0091366C">
      <w:pPr>
        <w:jc w:val="both"/>
        <w:rPr>
          <w:rFonts w:eastAsia="Times New Roman"/>
          <w:lang w:eastAsia="nl-NL"/>
        </w:rPr>
      </w:pPr>
    </w:p>
    <w:p w14:paraId="1CEEC5A2" w14:textId="48760EF8" w:rsidR="007A30B1" w:rsidRDefault="007A30B1" w:rsidP="0091366C">
      <w:pPr>
        <w:jc w:val="both"/>
        <w:rPr>
          <w:rFonts w:eastAsia="Times New Roman"/>
          <w:lang w:eastAsia="nl-NL"/>
        </w:rPr>
      </w:pPr>
      <w:r>
        <w:rPr>
          <w:rFonts w:eastAsia="Times New Roman"/>
          <w:lang w:eastAsia="nl-NL"/>
        </w:rPr>
        <w:t>A strategic issue in this regard is whether</w:t>
      </w:r>
      <w:r w:rsidR="00E70BF6">
        <w:rPr>
          <w:rFonts w:eastAsia="Times New Roman"/>
          <w:lang w:eastAsia="nl-NL"/>
        </w:rPr>
        <w:t xml:space="preserve"> the</w:t>
      </w:r>
      <w:r>
        <w:rPr>
          <w:rFonts w:eastAsia="Times New Roman"/>
          <w:lang w:eastAsia="nl-NL"/>
        </w:rPr>
        <w:t xml:space="preserve"> categorization of rights entailing special measures to fight gender discrimination and to provide legal protection in case of gendered vulnerability might be conducive to the struggle as such. My view is that in light of both the systemic nature of human rights violations</w:t>
      </w:r>
      <w:r w:rsidR="0059799C">
        <w:rPr>
          <w:rFonts w:eastAsia="Times New Roman"/>
          <w:lang w:eastAsia="nl-NL"/>
        </w:rPr>
        <w:t xml:space="preserve"> -- </w:t>
      </w:r>
      <w:r>
        <w:rPr>
          <w:rFonts w:eastAsia="Times New Roman"/>
          <w:lang w:eastAsia="nl-NL"/>
        </w:rPr>
        <w:t xml:space="preserve">specifically directed against women and the need for a global moral platform the </w:t>
      </w:r>
      <w:r w:rsidR="0059799C">
        <w:rPr>
          <w:rFonts w:eastAsia="Times New Roman"/>
          <w:lang w:eastAsia="nl-NL"/>
        </w:rPr>
        <w:t xml:space="preserve">slogan </w:t>
      </w:r>
      <w:r w:rsidR="002F0231">
        <w:rPr>
          <w:rFonts w:eastAsia="Times New Roman"/>
          <w:lang w:eastAsia="nl-NL"/>
        </w:rPr>
        <w:t>“</w:t>
      </w:r>
      <w:r>
        <w:rPr>
          <w:rFonts w:eastAsia="Times New Roman"/>
          <w:lang w:eastAsia="nl-NL"/>
        </w:rPr>
        <w:t xml:space="preserve">Women’s Rights </w:t>
      </w:r>
      <w:r>
        <w:rPr>
          <w:rFonts w:eastAsia="Times New Roman"/>
          <w:lang w:eastAsia="nl-NL"/>
        </w:rPr>
        <w:lastRenderedPageBreak/>
        <w:t>are Human Rights</w:t>
      </w:r>
      <w:r w:rsidR="002F0231">
        <w:rPr>
          <w:rFonts w:eastAsia="Times New Roman"/>
          <w:lang w:eastAsia="nl-NL"/>
        </w:rPr>
        <w:t>”</w:t>
      </w:r>
      <w:r>
        <w:rPr>
          <w:rFonts w:eastAsia="Times New Roman"/>
          <w:lang w:eastAsia="nl-NL"/>
        </w:rPr>
        <w:t xml:space="preserve"> </w:t>
      </w:r>
      <w:r w:rsidR="00A85804">
        <w:rPr>
          <w:rFonts w:eastAsia="Times New Roman"/>
          <w:lang w:eastAsia="nl-NL"/>
        </w:rPr>
        <w:t>has been</w:t>
      </w:r>
      <w:r>
        <w:rPr>
          <w:rFonts w:eastAsia="Times New Roman"/>
          <w:lang w:eastAsia="nl-NL"/>
        </w:rPr>
        <w:t xml:space="preserve"> fully understandable.</w:t>
      </w:r>
      <w:r w:rsidR="009C7A15">
        <w:rPr>
          <w:rStyle w:val="Voetnootmarkering"/>
          <w:rFonts w:eastAsia="Times New Roman"/>
          <w:lang w:eastAsia="nl-NL"/>
        </w:rPr>
        <w:footnoteReference w:id="42"/>
      </w:r>
      <w:r>
        <w:rPr>
          <w:rFonts w:eastAsia="Times New Roman"/>
          <w:lang w:eastAsia="nl-NL"/>
        </w:rPr>
        <w:t xml:space="preserve"> Probably, it has worked too. </w:t>
      </w:r>
      <w:r w:rsidR="002138B9">
        <w:rPr>
          <w:rFonts w:eastAsia="Times New Roman"/>
          <w:lang w:eastAsia="nl-NL"/>
        </w:rPr>
        <w:t xml:space="preserve">The </w:t>
      </w:r>
      <w:r>
        <w:rPr>
          <w:rFonts w:eastAsia="Times New Roman"/>
          <w:lang w:eastAsia="nl-NL"/>
        </w:rPr>
        <w:t xml:space="preserve">term </w:t>
      </w:r>
      <w:r w:rsidRPr="00EF39D4">
        <w:rPr>
          <w:rFonts w:eastAsia="Times New Roman"/>
          <w:i/>
          <w:lang w:eastAsia="nl-NL"/>
        </w:rPr>
        <w:t>women’s rights</w:t>
      </w:r>
      <w:r>
        <w:rPr>
          <w:rFonts w:eastAsia="Times New Roman"/>
          <w:lang w:eastAsia="nl-NL"/>
        </w:rPr>
        <w:t xml:space="preserve"> may well have exerted substantial positive </w:t>
      </w:r>
      <w:r w:rsidR="002138B9">
        <w:rPr>
          <w:rFonts w:eastAsia="Times New Roman"/>
          <w:lang w:eastAsia="nl-NL"/>
        </w:rPr>
        <w:t>a</w:t>
      </w:r>
      <w:r>
        <w:rPr>
          <w:rFonts w:eastAsia="Times New Roman"/>
          <w:lang w:eastAsia="nl-NL"/>
        </w:rPr>
        <w:t>ffect on the struggle against such practices as sex discrimination in law, sexual violence, female genital mutilation (FGM), and trafficking.</w:t>
      </w:r>
    </w:p>
    <w:p w14:paraId="0F209EE3" w14:textId="77777777" w:rsidR="0091366C" w:rsidRDefault="0091366C" w:rsidP="0091366C">
      <w:pPr>
        <w:jc w:val="both"/>
        <w:rPr>
          <w:rFonts w:eastAsia="Times New Roman"/>
          <w:lang w:eastAsia="nl-NL"/>
        </w:rPr>
      </w:pPr>
    </w:p>
    <w:p w14:paraId="717C256E" w14:textId="42DEF63E" w:rsidR="007A30B1" w:rsidRDefault="007A30B1" w:rsidP="0091366C">
      <w:pPr>
        <w:jc w:val="both"/>
        <w:rPr>
          <w:rFonts w:eastAsiaTheme="minorHAnsi"/>
        </w:rPr>
      </w:pPr>
      <w:r w:rsidRPr="002933C0">
        <w:rPr>
          <w:rFonts w:eastAsia="Times New Roman"/>
          <w:lang w:eastAsia="nl-NL"/>
        </w:rPr>
        <w:t xml:space="preserve">Currently, however, two downsides </w:t>
      </w:r>
      <w:r>
        <w:rPr>
          <w:rFonts w:eastAsia="Times New Roman"/>
          <w:lang w:eastAsia="nl-NL"/>
        </w:rPr>
        <w:t>manifest themselves</w:t>
      </w:r>
      <w:r w:rsidRPr="002933C0">
        <w:rPr>
          <w:rFonts w:eastAsia="Times New Roman"/>
          <w:lang w:eastAsia="nl-NL"/>
        </w:rPr>
        <w:t>. First, the slogan emphasizes difference</w:t>
      </w:r>
      <w:r w:rsidR="00AC4133">
        <w:rPr>
          <w:rFonts w:eastAsia="Times New Roman"/>
          <w:lang w:eastAsia="nl-NL"/>
        </w:rPr>
        <w:t xml:space="preserve"> -- </w:t>
      </w:r>
      <w:r w:rsidRPr="002933C0">
        <w:rPr>
          <w:rFonts w:eastAsia="Times New Roman"/>
          <w:lang w:eastAsia="nl-NL"/>
        </w:rPr>
        <w:t xml:space="preserve">where the challenge is to convince society of (gender) equality in principle. Consequently, a motto like </w:t>
      </w:r>
      <w:r w:rsidR="002F0231">
        <w:rPr>
          <w:rFonts w:eastAsia="Times New Roman"/>
          <w:lang w:eastAsia="nl-NL"/>
        </w:rPr>
        <w:t>“</w:t>
      </w:r>
      <w:r w:rsidRPr="002933C0">
        <w:rPr>
          <w:rFonts w:eastAsia="Times New Roman"/>
          <w:lang w:eastAsia="nl-NL"/>
        </w:rPr>
        <w:t>Equality Now</w:t>
      </w:r>
      <w:r w:rsidR="002F0231">
        <w:rPr>
          <w:rFonts w:eastAsia="Times New Roman"/>
          <w:lang w:eastAsia="nl-NL"/>
        </w:rPr>
        <w:t>”</w:t>
      </w:r>
      <w:r w:rsidRPr="002933C0">
        <w:rPr>
          <w:rFonts w:eastAsia="Times New Roman"/>
          <w:lang w:eastAsia="nl-NL"/>
        </w:rPr>
        <w:t xml:space="preserve"> is more in conformity with the fight for universality and against exclusion.</w:t>
      </w:r>
      <w:r w:rsidRPr="002933C0">
        <w:rPr>
          <w:rStyle w:val="Voetnootmarkering"/>
          <w:rFonts w:eastAsia="Times New Roman"/>
          <w:lang w:eastAsia="nl-NL"/>
        </w:rPr>
        <w:footnoteReference w:id="43"/>
      </w:r>
      <w:r w:rsidRPr="002933C0">
        <w:rPr>
          <w:rFonts w:eastAsia="Times New Roman"/>
          <w:lang w:eastAsia="nl-NL"/>
        </w:rPr>
        <w:t xml:space="preserve"> Second,</w:t>
      </w:r>
      <w:r w:rsidR="00E70BF6">
        <w:rPr>
          <w:rFonts w:eastAsia="Times New Roman"/>
          <w:lang w:eastAsia="nl-NL"/>
        </w:rPr>
        <w:t xml:space="preserve"> the</w:t>
      </w:r>
      <w:r w:rsidRPr="002933C0">
        <w:rPr>
          <w:rFonts w:eastAsia="Times New Roman"/>
          <w:lang w:eastAsia="nl-NL"/>
        </w:rPr>
        <w:t xml:space="preserve"> categorization of rights according to specific characteristics of legal subjects </w:t>
      </w:r>
      <w:r w:rsidR="00090CCD">
        <w:rPr>
          <w:rFonts w:eastAsia="Times New Roman"/>
          <w:lang w:eastAsia="nl-NL"/>
        </w:rPr>
        <w:t>has become disturbingly</w:t>
      </w:r>
      <w:r w:rsidR="00090CCD" w:rsidRPr="002933C0" w:rsidDel="00090CCD">
        <w:rPr>
          <w:rFonts w:eastAsia="Times New Roman"/>
          <w:lang w:eastAsia="nl-NL"/>
        </w:rPr>
        <w:t xml:space="preserve"> </w:t>
      </w:r>
      <w:r w:rsidR="005301A3">
        <w:rPr>
          <w:rFonts w:eastAsia="Times New Roman"/>
          <w:lang w:eastAsia="nl-NL"/>
        </w:rPr>
        <w:t xml:space="preserve"> widespread</w:t>
      </w:r>
      <w:r w:rsidRPr="002933C0">
        <w:rPr>
          <w:rFonts w:eastAsia="Times New Roman"/>
          <w:lang w:eastAsia="nl-NL"/>
        </w:rPr>
        <w:t xml:space="preserve">. Thus, we </w:t>
      </w:r>
      <w:r w:rsidR="00AC4133">
        <w:rPr>
          <w:rFonts w:eastAsia="Times New Roman"/>
          <w:lang w:eastAsia="nl-NL"/>
        </w:rPr>
        <w:t>formerly had</w:t>
      </w:r>
      <w:r w:rsidR="00AC4133" w:rsidRPr="002933C0">
        <w:rPr>
          <w:rFonts w:eastAsia="Times New Roman"/>
          <w:lang w:eastAsia="nl-NL"/>
        </w:rPr>
        <w:t xml:space="preserve"> </w:t>
      </w:r>
      <w:r w:rsidRPr="002933C0">
        <w:rPr>
          <w:rFonts w:eastAsia="Times New Roman"/>
          <w:lang w:eastAsia="nl-NL"/>
        </w:rPr>
        <w:t xml:space="preserve">LGBT rights: Lesbian, Gay, Bisexual and Transsexual, </w:t>
      </w:r>
      <w:r w:rsidR="00AC4133">
        <w:rPr>
          <w:rFonts w:eastAsia="Times New Roman"/>
          <w:lang w:eastAsia="nl-NL"/>
        </w:rPr>
        <w:t xml:space="preserve">which </w:t>
      </w:r>
      <w:r w:rsidR="00152999">
        <w:rPr>
          <w:rFonts w:eastAsia="Times New Roman"/>
          <w:lang w:eastAsia="nl-NL"/>
        </w:rPr>
        <w:t xml:space="preserve">meanwhile </w:t>
      </w:r>
      <w:r w:rsidR="00AC4133">
        <w:rPr>
          <w:rFonts w:eastAsia="Times New Roman"/>
          <w:lang w:eastAsia="nl-NL"/>
        </w:rPr>
        <w:t>has been</w:t>
      </w:r>
      <w:r w:rsidR="00AC4133" w:rsidRPr="002933C0">
        <w:rPr>
          <w:rFonts w:eastAsia="Times New Roman"/>
          <w:lang w:eastAsia="nl-NL"/>
        </w:rPr>
        <w:t xml:space="preserve"> </w:t>
      </w:r>
      <w:r w:rsidRPr="002933C0">
        <w:rPr>
          <w:rFonts w:eastAsia="Times New Roman"/>
          <w:lang w:eastAsia="nl-NL"/>
        </w:rPr>
        <w:t xml:space="preserve">extended to </w:t>
      </w:r>
      <w:r w:rsidR="00152999">
        <w:rPr>
          <w:rFonts w:eastAsia="Times New Roman"/>
          <w:lang w:eastAsia="nl-NL"/>
        </w:rPr>
        <w:t xml:space="preserve">abbreviations as odd as </w:t>
      </w:r>
      <w:r w:rsidRPr="002933C0">
        <w:rPr>
          <w:rFonts w:eastAsia="Times New Roman"/>
          <w:lang w:eastAsia="nl-NL"/>
        </w:rPr>
        <w:t xml:space="preserve">LGBTQIA </w:t>
      </w:r>
      <w:r w:rsidR="00152999">
        <w:rPr>
          <w:rFonts w:eastAsia="Times New Roman"/>
          <w:lang w:eastAsia="nl-NL"/>
        </w:rPr>
        <w:t>(</w:t>
      </w:r>
      <w:r w:rsidRPr="002933C0">
        <w:rPr>
          <w:rFonts w:eastAsia="Times New Roman"/>
          <w:lang w:eastAsia="nl-NL"/>
        </w:rPr>
        <w:t>adding Questioning</w:t>
      </w:r>
      <w:r w:rsidR="00152999">
        <w:rPr>
          <w:rFonts w:eastAsia="Times New Roman"/>
          <w:lang w:eastAsia="nl-NL"/>
        </w:rPr>
        <w:t xml:space="preserve">, </w:t>
      </w:r>
      <w:r w:rsidRPr="002933C0">
        <w:rPr>
          <w:rFonts w:eastAsia="Times New Roman"/>
          <w:lang w:eastAsia="nl-NL"/>
        </w:rPr>
        <w:t>or Queer, Intersex and Asexual</w:t>
      </w:r>
      <w:r w:rsidR="00152999">
        <w:rPr>
          <w:rFonts w:eastAsia="Times New Roman"/>
          <w:lang w:eastAsia="nl-NL"/>
        </w:rPr>
        <w:t>)</w:t>
      </w:r>
      <w:r w:rsidRPr="002933C0">
        <w:rPr>
          <w:rFonts w:eastAsia="Times New Roman"/>
          <w:lang w:eastAsia="nl-NL"/>
        </w:rPr>
        <w:t xml:space="preserve">. This </w:t>
      </w:r>
      <w:r w:rsidR="00AC4133">
        <w:rPr>
          <w:rFonts w:eastAsia="Times New Roman"/>
          <w:lang w:eastAsia="nl-NL"/>
        </w:rPr>
        <w:t xml:space="preserve">specification and categorization </w:t>
      </w:r>
      <w:r w:rsidRPr="002933C0">
        <w:rPr>
          <w:rFonts w:eastAsia="Times New Roman"/>
          <w:lang w:eastAsia="nl-NL"/>
        </w:rPr>
        <w:t xml:space="preserve">has become not only bizarre but also counterproductive. </w:t>
      </w:r>
      <w:r w:rsidR="005301A3">
        <w:rPr>
          <w:rFonts w:eastAsia="Times New Roman"/>
          <w:lang w:eastAsia="nl-NL"/>
        </w:rPr>
        <w:t xml:space="preserve">Human rights are all </w:t>
      </w:r>
      <w:r w:rsidR="00D273DF">
        <w:rPr>
          <w:rFonts w:eastAsia="Times New Roman"/>
          <w:lang w:eastAsia="nl-NL"/>
        </w:rPr>
        <w:t xml:space="preserve">encompassing. </w:t>
      </w:r>
      <w:r w:rsidR="005301A3">
        <w:rPr>
          <w:rFonts w:eastAsia="Times New Roman"/>
          <w:lang w:eastAsia="nl-NL"/>
        </w:rPr>
        <w:t xml:space="preserve">Thus, it is unnecessary </w:t>
      </w:r>
      <w:r w:rsidRPr="002933C0">
        <w:rPr>
          <w:rFonts w:eastAsia="Times New Roman"/>
          <w:lang w:eastAsia="nl-NL"/>
        </w:rPr>
        <w:t xml:space="preserve">to speak of </w:t>
      </w:r>
      <w:r w:rsidR="002F0231">
        <w:rPr>
          <w:rFonts w:eastAsia="Times New Roman"/>
          <w:lang w:eastAsia="nl-NL"/>
        </w:rPr>
        <w:t>“</w:t>
      </w:r>
      <w:r w:rsidRPr="002933C0">
        <w:rPr>
          <w:rFonts w:eastAsia="Times New Roman"/>
          <w:lang w:eastAsia="nl-NL"/>
        </w:rPr>
        <w:t>a right to be human</w:t>
      </w:r>
      <w:r w:rsidR="002F0231">
        <w:rPr>
          <w:rFonts w:eastAsia="Times New Roman"/>
          <w:lang w:eastAsia="nl-NL"/>
        </w:rPr>
        <w:t>,”</w:t>
      </w:r>
      <w:r>
        <w:rPr>
          <w:rFonts w:eastAsia="Times New Roman"/>
          <w:lang w:eastAsia="nl-NL"/>
        </w:rPr>
        <w:t xml:space="preserve"> </w:t>
      </w:r>
      <w:r w:rsidRPr="002933C0">
        <w:rPr>
          <w:rFonts w:eastAsia="Times New Roman"/>
          <w:lang w:eastAsia="nl-NL"/>
        </w:rPr>
        <w:t xml:space="preserve">a </w:t>
      </w:r>
      <w:r w:rsidR="002F0231">
        <w:rPr>
          <w:rFonts w:eastAsia="Times New Roman"/>
          <w:lang w:eastAsia="nl-NL"/>
        </w:rPr>
        <w:t>“</w:t>
      </w:r>
      <w:r w:rsidRPr="002933C0">
        <w:rPr>
          <w:rFonts w:eastAsia="Times New Roman"/>
          <w:lang w:eastAsia="nl-NL"/>
        </w:rPr>
        <w:t>right to be a woman</w:t>
      </w:r>
      <w:r w:rsidR="002F0231">
        <w:rPr>
          <w:rFonts w:eastAsia="Times New Roman"/>
          <w:lang w:eastAsia="nl-NL"/>
        </w:rPr>
        <w:t>,”</w:t>
      </w:r>
      <w:r w:rsidRPr="002933C0">
        <w:rPr>
          <w:rFonts w:eastAsia="Times New Roman"/>
          <w:lang w:eastAsia="nl-NL"/>
        </w:rPr>
        <w:t xml:space="preserve"> </w:t>
      </w:r>
      <w:r w:rsidR="005301A3">
        <w:rPr>
          <w:rFonts w:eastAsia="Times New Roman"/>
          <w:lang w:eastAsia="nl-NL"/>
        </w:rPr>
        <w:t xml:space="preserve">or </w:t>
      </w:r>
      <w:r w:rsidR="002F0231">
        <w:rPr>
          <w:rFonts w:eastAsia="Times New Roman"/>
          <w:lang w:eastAsia="nl-NL"/>
        </w:rPr>
        <w:t>“</w:t>
      </w:r>
      <w:r w:rsidRPr="002933C0">
        <w:rPr>
          <w:rFonts w:eastAsia="Times New Roman"/>
          <w:lang w:eastAsia="nl-NL"/>
        </w:rPr>
        <w:t>a right to be gay</w:t>
      </w:r>
      <w:r w:rsidR="002F0231">
        <w:rPr>
          <w:rFonts w:eastAsia="Times New Roman"/>
          <w:lang w:eastAsia="nl-NL"/>
        </w:rPr>
        <w:t>”</w:t>
      </w:r>
      <w:r w:rsidR="00AC4133">
        <w:rPr>
          <w:rFonts w:eastAsia="Times New Roman"/>
          <w:lang w:eastAsia="nl-NL"/>
        </w:rPr>
        <w:t xml:space="preserve"> </w:t>
      </w:r>
      <w:r w:rsidR="005301A3">
        <w:rPr>
          <w:rFonts w:eastAsia="Times New Roman"/>
          <w:lang w:eastAsia="nl-NL"/>
        </w:rPr>
        <w:t xml:space="preserve">– all of which </w:t>
      </w:r>
      <w:r w:rsidRPr="002933C0">
        <w:rPr>
          <w:rFonts w:eastAsia="Times New Roman"/>
          <w:lang w:eastAsia="nl-NL"/>
        </w:rPr>
        <w:t>sounds absurd</w:t>
      </w:r>
      <w:r w:rsidR="005301A3">
        <w:rPr>
          <w:rFonts w:eastAsia="Times New Roman"/>
          <w:lang w:eastAsia="nl-NL"/>
        </w:rPr>
        <w:t>, since the term human rights is intended to be comprehensive</w:t>
      </w:r>
      <w:r w:rsidR="00AC4133">
        <w:rPr>
          <w:rFonts w:eastAsia="Times New Roman"/>
          <w:lang w:eastAsia="nl-NL"/>
        </w:rPr>
        <w:t>.</w:t>
      </w:r>
      <w:r w:rsidRPr="002933C0">
        <w:rPr>
          <w:rFonts w:eastAsia="Times New Roman"/>
          <w:lang w:eastAsia="nl-NL"/>
        </w:rPr>
        <w:t xml:space="preserve"> </w:t>
      </w:r>
      <w:r w:rsidR="00AC4133">
        <w:rPr>
          <w:rFonts w:eastAsia="Times New Roman"/>
          <w:lang w:eastAsia="nl-NL"/>
        </w:rPr>
        <w:t xml:space="preserve">Moreover, it </w:t>
      </w:r>
      <w:r>
        <w:rPr>
          <w:rFonts w:eastAsia="Times New Roman"/>
          <w:lang w:eastAsia="nl-NL"/>
        </w:rPr>
        <w:t>confus</w:t>
      </w:r>
      <w:r w:rsidR="005301A3">
        <w:rPr>
          <w:rFonts w:eastAsia="Times New Roman"/>
          <w:lang w:eastAsia="nl-NL"/>
        </w:rPr>
        <w:t>es</w:t>
      </w:r>
      <w:r>
        <w:rPr>
          <w:rFonts w:eastAsia="Times New Roman"/>
          <w:lang w:eastAsia="nl-NL"/>
        </w:rPr>
        <w:t xml:space="preserve"> the argument and </w:t>
      </w:r>
      <w:r w:rsidRPr="002933C0">
        <w:rPr>
          <w:rFonts w:eastAsia="Times New Roman"/>
          <w:lang w:eastAsia="nl-NL"/>
        </w:rPr>
        <w:t>mobiliz</w:t>
      </w:r>
      <w:r w:rsidR="005301A3">
        <w:rPr>
          <w:rFonts w:eastAsia="Times New Roman"/>
          <w:lang w:eastAsia="nl-NL"/>
        </w:rPr>
        <w:t>es</w:t>
      </w:r>
      <w:r w:rsidRPr="002933C0">
        <w:rPr>
          <w:rFonts w:eastAsia="Times New Roman"/>
          <w:lang w:eastAsia="nl-NL"/>
        </w:rPr>
        <w:t xml:space="preserve"> counterforces against people with non-mainstream sexual orientations. The point is that </w:t>
      </w:r>
      <w:r w:rsidRPr="002933C0">
        <w:rPr>
          <w:rFonts w:eastAsia="Times New Roman"/>
          <w:i/>
          <w:lang w:eastAsia="nl-NL"/>
        </w:rPr>
        <w:t>all</w:t>
      </w:r>
      <w:r w:rsidRPr="002933C0">
        <w:rPr>
          <w:rFonts w:eastAsia="Times New Roman"/>
          <w:lang w:eastAsia="nl-NL"/>
        </w:rPr>
        <w:t xml:space="preserve"> people are </w:t>
      </w:r>
      <w:r w:rsidRPr="00400DA9">
        <w:rPr>
          <w:rFonts w:eastAsia="Times New Roman"/>
          <w:i/>
          <w:lang w:eastAsia="nl-NL"/>
        </w:rPr>
        <w:t>equal in rights</w:t>
      </w:r>
      <w:r w:rsidRPr="002933C0">
        <w:rPr>
          <w:rFonts w:eastAsia="Times New Roman"/>
          <w:lang w:eastAsia="nl-NL"/>
        </w:rPr>
        <w:t xml:space="preserve"> and hence </w:t>
      </w:r>
      <w:r w:rsidRPr="002933C0">
        <w:rPr>
          <w:rFonts w:eastAsiaTheme="minorHAnsi"/>
        </w:rPr>
        <w:t>shall be treated equally in equal circumstances. Discrimination on the grounds of religion, belief, political opinion, race</w:t>
      </w:r>
      <w:r w:rsidR="002F0231">
        <w:rPr>
          <w:rFonts w:eastAsiaTheme="minorHAnsi"/>
        </w:rPr>
        <w:t>,</w:t>
      </w:r>
      <w:r w:rsidRPr="002933C0">
        <w:rPr>
          <w:rFonts w:eastAsiaTheme="minorHAnsi"/>
        </w:rPr>
        <w:t xml:space="preserve"> sex</w:t>
      </w:r>
      <w:r w:rsidR="002F0231">
        <w:rPr>
          <w:rFonts w:eastAsiaTheme="minorHAnsi"/>
        </w:rPr>
        <w:t>, sexual orientation,</w:t>
      </w:r>
      <w:r w:rsidRPr="002933C0">
        <w:rPr>
          <w:rFonts w:eastAsiaTheme="minorHAnsi"/>
        </w:rPr>
        <w:t xml:space="preserve"> or on any other grounds whatsoever shall not be permitted.</w:t>
      </w:r>
      <w:r w:rsidR="00AC4133">
        <w:rPr>
          <w:rStyle w:val="Voetnootmarkering"/>
          <w:rFonts w:eastAsiaTheme="minorHAnsi"/>
        </w:rPr>
        <w:footnoteReference w:id="44"/>
      </w:r>
      <w:r>
        <w:rPr>
          <w:rFonts w:eastAsiaTheme="minorHAnsi"/>
        </w:rPr>
        <w:t xml:space="preserve"> </w:t>
      </w:r>
    </w:p>
    <w:p w14:paraId="6AC8135F" w14:textId="77777777" w:rsidR="004E1E58" w:rsidRDefault="004E1E58" w:rsidP="004E1E58">
      <w:pPr>
        <w:jc w:val="both"/>
      </w:pPr>
    </w:p>
    <w:p w14:paraId="189C14F5" w14:textId="63DBCA41" w:rsidR="00400DA9" w:rsidRDefault="00400DA9" w:rsidP="00400DA9">
      <w:pPr>
        <w:pStyle w:val="textnormal"/>
        <w:spacing w:line="240" w:lineRule="auto"/>
        <w:rPr>
          <w:i/>
          <w:sz w:val="24"/>
          <w:szCs w:val="24"/>
          <w:lang w:val="en-GB"/>
        </w:rPr>
      </w:pPr>
      <w:r>
        <w:rPr>
          <w:b/>
          <w:sz w:val="24"/>
          <w:szCs w:val="24"/>
          <w:lang w:val="en-GB"/>
        </w:rPr>
        <w:t xml:space="preserve">The </w:t>
      </w:r>
      <w:r w:rsidR="00F35C91">
        <w:rPr>
          <w:b/>
          <w:sz w:val="24"/>
          <w:szCs w:val="24"/>
          <w:lang w:val="en-GB"/>
        </w:rPr>
        <w:t>E</w:t>
      </w:r>
      <w:r>
        <w:rPr>
          <w:b/>
          <w:sz w:val="24"/>
          <w:szCs w:val="24"/>
          <w:lang w:val="en-GB"/>
        </w:rPr>
        <w:t xml:space="preserve">qual </w:t>
      </w:r>
      <w:r w:rsidR="00F35C91">
        <w:rPr>
          <w:b/>
          <w:sz w:val="24"/>
          <w:szCs w:val="24"/>
          <w:lang w:val="en-GB"/>
        </w:rPr>
        <w:t>R</w:t>
      </w:r>
      <w:r>
        <w:rPr>
          <w:b/>
          <w:sz w:val="24"/>
          <w:szCs w:val="24"/>
          <w:lang w:val="en-GB"/>
        </w:rPr>
        <w:t xml:space="preserve">ights of </w:t>
      </w:r>
      <w:r w:rsidR="00F35C91">
        <w:rPr>
          <w:b/>
          <w:sz w:val="24"/>
          <w:szCs w:val="24"/>
          <w:lang w:val="en-GB"/>
        </w:rPr>
        <w:t>A</w:t>
      </w:r>
      <w:r w:rsidR="00DF575F">
        <w:rPr>
          <w:b/>
          <w:sz w:val="24"/>
          <w:szCs w:val="24"/>
          <w:lang w:val="en-GB"/>
        </w:rPr>
        <w:t>ll</w:t>
      </w:r>
      <w:r>
        <w:rPr>
          <w:b/>
          <w:sz w:val="24"/>
          <w:szCs w:val="24"/>
          <w:lang w:val="en-GB"/>
        </w:rPr>
        <w:t xml:space="preserve">: </w:t>
      </w:r>
      <w:r w:rsidR="00AE6385">
        <w:rPr>
          <w:b/>
          <w:sz w:val="24"/>
          <w:szCs w:val="24"/>
          <w:lang w:val="en-GB"/>
        </w:rPr>
        <w:t xml:space="preserve">(2) </w:t>
      </w:r>
      <w:r w:rsidR="002C2F07" w:rsidRPr="004E1E58">
        <w:rPr>
          <w:b/>
          <w:sz w:val="24"/>
          <w:szCs w:val="24"/>
          <w:lang w:val="en-GB"/>
        </w:rPr>
        <w:t>S</w:t>
      </w:r>
      <w:r w:rsidRPr="004E1E58">
        <w:rPr>
          <w:b/>
          <w:sz w:val="24"/>
          <w:szCs w:val="24"/>
          <w:lang w:val="en-GB"/>
        </w:rPr>
        <w:t xml:space="preserve">ubstantive </w:t>
      </w:r>
      <w:r w:rsidR="00F35C91">
        <w:rPr>
          <w:b/>
          <w:sz w:val="24"/>
          <w:szCs w:val="24"/>
          <w:lang w:val="en-GB"/>
        </w:rPr>
        <w:t>E</w:t>
      </w:r>
      <w:r w:rsidRPr="004E1E58">
        <w:rPr>
          <w:b/>
          <w:sz w:val="24"/>
          <w:szCs w:val="24"/>
          <w:lang w:val="en-GB"/>
        </w:rPr>
        <w:t>quality</w:t>
      </w:r>
      <w:r w:rsidRPr="000C7D36">
        <w:rPr>
          <w:b/>
          <w:i/>
          <w:sz w:val="24"/>
          <w:szCs w:val="24"/>
          <w:lang w:val="en-GB"/>
        </w:rPr>
        <w:t xml:space="preserve"> </w:t>
      </w:r>
    </w:p>
    <w:p w14:paraId="36DCAEC8" w14:textId="319517D1" w:rsidR="00DF575F" w:rsidRDefault="004E1610" w:rsidP="00400DA9">
      <w:pPr>
        <w:pStyle w:val="textnormal"/>
        <w:spacing w:line="240" w:lineRule="auto"/>
        <w:rPr>
          <w:rFonts w:cs="Times New Roman"/>
          <w:sz w:val="24"/>
          <w:szCs w:val="24"/>
        </w:rPr>
      </w:pPr>
      <w:r>
        <w:rPr>
          <w:sz w:val="24"/>
          <w:szCs w:val="24"/>
          <w:lang w:val="en-GB"/>
        </w:rPr>
        <w:t>Nationally</w:t>
      </w:r>
      <w:r w:rsidR="00AE6385">
        <w:rPr>
          <w:sz w:val="24"/>
          <w:szCs w:val="24"/>
          <w:lang w:val="en-GB"/>
        </w:rPr>
        <w:t xml:space="preserve">, </w:t>
      </w:r>
      <w:r w:rsidR="00FE6B1D">
        <w:rPr>
          <w:sz w:val="24"/>
          <w:szCs w:val="24"/>
          <w:lang w:val="en-GB"/>
        </w:rPr>
        <w:t xml:space="preserve">equal protection </w:t>
      </w:r>
      <w:r>
        <w:rPr>
          <w:sz w:val="24"/>
          <w:szCs w:val="24"/>
          <w:lang w:val="en-GB"/>
        </w:rPr>
        <w:t xml:space="preserve">tends to be </w:t>
      </w:r>
      <w:r w:rsidR="00AE6385">
        <w:rPr>
          <w:sz w:val="24"/>
          <w:szCs w:val="24"/>
          <w:lang w:val="en-GB"/>
        </w:rPr>
        <w:t xml:space="preserve">constitutionally embedded </w:t>
      </w:r>
      <w:r w:rsidR="00FE6B1D">
        <w:rPr>
          <w:sz w:val="24"/>
          <w:szCs w:val="24"/>
          <w:lang w:val="en-GB"/>
        </w:rPr>
        <w:t>as</w:t>
      </w:r>
      <w:r w:rsidR="00AE6385">
        <w:rPr>
          <w:sz w:val="24"/>
          <w:szCs w:val="24"/>
          <w:lang w:val="en-GB"/>
        </w:rPr>
        <w:t>, for example,</w:t>
      </w:r>
      <w:r w:rsidR="00FE6B1D">
        <w:rPr>
          <w:sz w:val="24"/>
          <w:szCs w:val="24"/>
          <w:lang w:val="en-GB"/>
        </w:rPr>
        <w:t xml:space="preserve"> in the </w:t>
      </w:r>
      <w:r w:rsidR="00300BFB">
        <w:rPr>
          <w:sz w:val="24"/>
          <w:szCs w:val="24"/>
          <w:lang w:val="en-GB"/>
        </w:rPr>
        <w:t>Fourteenth A</w:t>
      </w:r>
      <w:r w:rsidR="00FE6B1D">
        <w:rPr>
          <w:sz w:val="24"/>
          <w:szCs w:val="24"/>
          <w:lang w:val="en-GB"/>
        </w:rPr>
        <w:t>mendment to the US constitution</w:t>
      </w:r>
      <w:r w:rsidR="00AE6385">
        <w:rPr>
          <w:sz w:val="24"/>
          <w:szCs w:val="24"/>
          <w:lang w:val="en-GB"/>
        </w:rPr>
        <w:t xml:space="preserve">. </w:t>
      </w:r>
      <w:r>
        <w:rPr>
          <w:sz w:val="24"/>
          <w:szCs w:val="24"/>
          <w:lang w:val="en-GB"/>
        </w:rPr>
        <w:t>Of course</w:t>
      </w:r>
      <w:r w:rsidR="00AE6385">
        <w:rPr>
          <w:sz w:val="24"/>
          <w:szCs w:val="24"/>
          <w:lang w:val="en-GB"/>
        </w:rPr>
        <w:t xml:space="preserve">, this </w:t>
      </w:r>
      <w:r w:rsidR="00A86F9D" w:rsidRPr="00DF575F">
        <w:rPr>
          <w:sz w:val="24"/>
          <w:szCs w:val="24"/>
          <w:lang w:val="en-GB"/>
        </w:rPr>
        <w:t xml:space="preserve">is not enough to realise genuine equality in rights. </w:t>
      </w:r>
      <w:r w:rsidR="002C2F07">
        <w:rPr>
          <w:sz w:val="24"/>
          <w:szCs w:val="24"/>
          <w:lang w:val="en-GB"/>
        </w:rPr>
        <w:t>On the contrary</w:t>
      </w:r>
      <w:r w:rsidR="00A86F9D" w:rsidRPr="00DF575F">
        <w:rPr>
          <w:sz w:val="24"/>
          <w:szCs w:val="24"/>
          <w:lang w:val="en-GB"/>
        </w:rPr>
        <w:t>,</w:t>
      </w:r>
      <w:r w:rsidR="00E92085">
        <w:rPr>
          <w:sz w:val="24"/>
          <w:szCs w:val="24"/>
          <w:lang w:val="en-GB"/>
        </w:rPr>
        <w:t xml:space="preserve"> </w:t>
      </w:r>
      <w:r w:rsidR="00A86F9D" w:rsidRPr="00DF575F">
        <w:rPr>
          <w:rFonts w:cs="Times New Roman"/>
          <w:sz w:val="24"/>
          <w:szCs w:val="24"/>
        </w:rPr>
        <w:t>David Cole</w:t>
      </w:r>
      <w:r w:rsidR="00E92085">
        <w:rPr>
          <w:rFonts w:cs="Times New Roman"/>
          <w:sz w:val="24"/>
          <w:szCs w:val="24"/>
        </w:rPr>
        <w:t>, a US constitutional law schol</w:t>
      </w:r>
      <w:r w:rsidR="00F35C91">
        <w:rPr>
          <w:rFonts w:cs="Times New Roman"/>
          <w:sz w:val="24"/>
          <w:szCs w:val="24"/>
        </w:rPr>
        <w:t>ar</w:t>
      </w:r>
      <w:r w:rsidR="00E92085">
        <w:rPr>
          <w:rFonts w:cs="Times New Roman"/>
          <w:sz w:val="24"/>
          <w:szCs w:val="24"/>
        </w:rPr>
        <w:t>,</w:t>
      </w:r>
      <w:r w:rsidR="00A86F9D" w:rsidRPr="00DF575F">
        <w:rPr>
          <w:rFonts w:cs="Times New Roman"/>
          <w:sz w:val="24"/>
          <w:szCs w:val="24"/>
        </w:rPr>
        <w:t xml:space="preserve"> argues that </w:t>
      </w:r>
      <w:r w:rsidR="00E92085">
        <w:rPr>
          <w:rFonts w:cs="Times New Roman"/>
          <w:sz w:val="24"/>
          <w:szCs w:val="24"/>
        </w:rPr>
        <w:t>although the</w:t>
      </w:r>
      <w:r w:rsidR="00A86F9D" w:rsidRPr="00DF575F">
        <w:rPr>
          <w:rFonts w:cs="Times New Roman"/>
          <w:sz w:val="24"/>
          <w:szCs w:val="24"/>
        </w:rPr>
        <w:t xml:space="preserve"> US “…criminal justice</w:t>
      </w:r>
      <w:r w:rsidR="00F35C91">
        <w:rPr>
          <w:rFonts w:cs="Times New Roman"/>
          <w:sz w:val="24"/>
          <w:szCs w:val="24"/>
        </w:rPr>
        <w:t xml:space="preserve"> [system]</w:t>
      </w:r>
      <w:r w:rsidR="00A86F9D" w:rsidRPr="00DF575F">
        <w:rPr>
          <w:rFonts w:cs="Times New Roman"/>
          <w:sz w:val="24"/>
          <w:szCs w:val="24"/>
        </w:rPr>
        <w:t xml:space="preserve"> is explicitly based on the premise and promise of equality before the law, the administration of criminal law…is in fact predicated on the exploitation of inequality</w:t>
      </w:r>
      <w:r w:rsidR="00F35C91">
        <w:rPr>
          <w:rFonts w:cs="Times New Roman"/>
          <w:sz w:val="24"/>
          <w:szCs w:val="24"/>
        </w:rPr>
        <w:t>.</w:t>
      </w:r>
      <w:r w:rsidR="00A86F9D" w:rsidRPr="00DF575F">
        <w:rPr>
          <w:rFonts w:cs="Times New Roman"/>
          <w:sz w:val="24"/>
          <w:szCs w:val="24"/>
        </w:rPr>
        <w:t>”</w:t>
      </w:r>
      <w:r w:rsidR="00A86F9D" w:rsidRPr="00DF575F">
        <w:rPr>
          <w:rStyle w:val="Voetnootmarkering"/>
          <w:rFonts w:cs="Times New Roman"/>
          <w:sz w:val="24"/>
          <w:szCs w:val="24"/>
        </w:rPr>
        <w:footnoteReference w:id="45"/>
      </w:r>
      <w:r w:rsidR="00F35C91">
        <w:rPr>
          <w:rFonts w:cs="Times New Roman"/>
          <w:sz w:val="24"/>
          <w:szCs w:val="24"/>
        </w:rPr>
        <w:t xml:space="preserve"> </w:t>
      </w:r>
      <w:r w:rsidR="00DF575F" w:rsidRPr="00DF575F">
        <w:rPr>
          <w:rFonts w:cs="Times New Roman"/>
          <w:sz w:val="24"/>
          <w:szCs w:val="24"/>
        </w:rPr>
        <w:t xml:space="preserve">Based on </w:t>
      </w:r>
      <w:r w:rsidR="00FE6B1D">
        <w:rPr>
          <w:rFonts w:cs="Times New Roman"/>
          <w:sz w:val="24"/>
          <w:szCs w:val="24"/>
        </w:rPr>
        <w:t xml:space="preserve">an </w:t>
      </w:r>
      <w:r w:rsidR="00DF575F">
        <w:rPr>
          <w:rFonts w:cs="Times New Roman"/>
          <w:sz w:val="24"/>
          <w:szCs w:val="24"/>
        </w:rPr>
        <w:t xml:space="preserve">empirical </w:t>
      </w:r>
      <w:r w:rsidR="00DF575F" w:rsidRPr="00DF575F">
        <w:rPr>
          <w:rFonts w:cs="Times New Roman"/>
          <w:sz w:val="24"/>
          <w:szCs w:val="24"/>
        </w:rPr>
        <w:t xml:space="preserve">analysis of </w:t>
      </w:r>
      <w:r w:rsidR="00DF575F" w:rsidRPr="00DF575F">
        <w:rPr>
          <w:rFonts w:cs="Times New Roman"/>
          <w:i/>
          <w:sz w:val="24"/>
          <w:szCs w:val="24"/>
        </w:rPr>
        <w:t>Race and Class in the American Criminal Justice System</w:t>
      </w:r>
      <w:r w:rsidR="00DF575F">
        <w:rPr>
          <w:rFonts w:cs="Times New Roman"/>
          <w:sz w:val="24"/>
          <w:szCs w:val="24"/>
        </w:rPr>
        <w:t>, h</w:t>
      </w:r>
      <w:r w:rsidR="00A86F9D" w:rsidRPr="00D037DD">
        <w:rPr>
          <w:rFonts w:cs="Times New Roman"/>
          <w:sz w:val="24"/>
          <w:szCs w:val="24"/>
        </w:rPr>
        <w:t xml:space="preserve">e </w:t>
      </w:r>
      <w:r w:rsidR="00DF575F">
        <w:rPr>
          <w:rFonts w:cs="Times New Roman"/>
          <w:sz w:val="24"/>
          <w:szCs w:val="24"/>
        </w:rPr>
        <w:t>concludes</w:t>
      </w:r>
    </w:p>
    <w:p w14:paraId="4B29F5D6" w14:textId="77777777" w:rsidR="00DF575F" w:rsidRDefault="00DF575F" w:rsidP="00400DA9">
      <w:pPr>
        <w:pStyle w:val="textnormal"/>
        <w:spacing w:line="240" w:lineRule="auto"/>
        <w:rPr>
          <w:rFonts w:cs="Times New Roman"/>
          <w:sz w:val="24"/>
          <w:szCs w:val="24"/>
        </w:rPr>
      </w:pPr>
    </w:p>
    <w:p w14:paraId="23C90203" w14:textId="77777777" w:rsidR="00400DA9" w:rsidRDefault="00A86F9D" w:rsidP="00954B19">
      <w:pPr>
        <w:pStyle w:val="textnormal"/>
        <w:spacing w:line="240" w:lineRule="auto"/>
        <w:ind w:left="720" w:right="720"/>
        <w:rPr>
          <w:rFonts w:cs="Times New Roman"/>
          <w:sz w:val="24"/>
          <w:szCs w:val="24"/>
        </w:rPr>
      </w:pPr>
      <w:r w:rsidRPr="00D037DD">
        <w:rPr>
          <w:rFonts w:cs="Times New Roman"/>
          <w:sz w:val="24"/>
          <w:szCs w:val="24"/>
        </w:rPr>
        <w:t xml:space="preserve">…our criminal justice system affirmatively depends on inequality. Absent race and class disparities, the privileged among us could not enjoy as much constitutional protection of our liberties as we do; and without those disparities, we could not afford the policy of mass </w:t>
      </w:r>
      <w:r w:rsidRPr="00D037DD">
        <w:rPr>
          <w:rFonts w:cs="Times New Roman"/>
          <w:sz w:val="24"/>
          <w:szCs w:val="24"/>
        </w:rPr>
        <w:lastRenderedPageBreak/>
        <w:t>incarceration that we have pur</w:t>
      </w:r>
      <w:r w:rsidR="00DF575F">
        <w:rPr>
          <w:rFonts w:cs="Times New Roman"/>
          <w:sz w:val="24"/>
          <w:szCs w:val="24"/>
        </w:rPr>
        <w:t>sued over the past two decades.</w:t>
      </w:r>
      <w:r w:rsidR="00DF575F">
        <w:rPr>
          <w:rStyle w:val="Voetnootmarkering"/>
          <w:rFonts w:cs="Times New Roman"/>
          <w:sz w:val="24"/>
          <w:szCs w:val="24"/>
        </w:rPr>
        <w:footnoteReference w:id="46"/>
      </w:r>
    </w:p>
    <w:p w14:paraId="715EFCD0" w14:textId="77777777" w:rsidR="00DF575F" w:rsidRDefault="00DF575F" w:rsidP="00400DA9">
      <w:pPr>
        <w:pStyle w:val="textnormal"/>
        <w:spacing w:line="240" w:lineRule="auto"/>
        <w:rPr>
          <w:rFonts w:cs="Times New Roman"/>
          <w:sz w:val="24"/>
          <w:szCs w:val="24"/>
        </w:rPr>
      </w:pPr>
    </w:p>
    <w:p w14:paraId="64159B97" w14:textId="43F83FCD" w:rsidR="002B3F72" w:rsidRPr="002B3F72" w:rsidRDefault="004E1610" w:rsidP="002B3F72">
      <w:pPr>
        <w:pStyle w:val="textnormal"/>
        <w:spacing w:line="240" w:lineRule="auto"/>
        <w:rPr>
          <w:rFonts w:cs="Times New Roman"/>
          <w:sz w:val="24"/>
          <w:szCs w:val="24"/>
          <w:lang w:val="en-GB"/>
        </w:rPr>
      </w:pPr>
      <w:r>
        <w:rPr>
          <w:rFonts w:cs="Times New Roman"/>
          <w:sz w:val="24"/>
          <w:szCs w:val="24"/>
          <w:lang w:val="en-GB"/>
        </w:rPr>
        <w:t>R</w:t>
      </w:r>
      <w:r w:rsidR="00FE6B1D" w:rsidRPr="002B3F72">
        <w:rPr>
          <w:rFonts w:cs="Times New Roman"/>
          <w:sz w:val="24"/>
          <w:szCs w:val="24"/>
          <w:lang w:val="en-GB"/>
        </w:rPr>
        <w:t xml:space="preserve">ace and class disparities manifest themselves in collective prejudice </w:t>
      </w:r>
      <w:r w:rsidR="002B3F72">
        <w:rPr>
          <w:rFonts w:cs="Times New Roman"/>
          <w:sz w:val="24"/>
          <w:szCs w:val="24"/>
          <w:lang w:val="en-GB"/>
        </w:rPr>
        <w:t xml:space="preserve">and consequential discrimination </w:t>
      </w:r>
      <w:r w:rsidR="00FE6B1D" w:rsidRPr="002B3F72">
        <w:rPr>
          <w:rFonts w:cs="Times New Roman"/>
          <w:sz w:val="24"/>
          <w:szCs w:val="24"/>
          <w:lang w:val="en-GB"/>
        </w:rPr>
        <w:t>on the part of law enforcement officers</w:t>
      </w:r>
      <w:r w:rsidR="002B3F72">
        <w:rPr>
          <w:rFonts w:cs="Times New Roman"/>
          <w:sz w:val="24"/>
          <w:szCs w:val="24"/>
          <w:lang w:val="en-GB"/>
        </w:rPr>
        <w:t xml:space="preserve"> as well as juries and judges. Exemplary in the struggle for </w:t>
      </w:r>
      <w:r w:rsidR="002B3F72" w:rsidRPr="002B3F72">
        <w:rPr>
          <w:rFonts w:cs="Times New Roman"/>
          <w:i/>
          <w:sz w:val="24"/>
          <w:szCs w:val="24"/>
          <w:lang w:val="en-GB"/>
        </w:rPr>
        <w:t>equal in rights</w:t>
      </w:r>
      <w:r w:rsidR="002B3F72">
        <w:rPr>
          <w:rFonts w:cs="Times New Roman"/>
          <w:sz w:val="24"/>
          <w:szCs w:val="24"/>
          <w:lang w:val="en-GB"/>
        </w:rPr>
        <w:t xml:space="preserve"> </w:t>
      </w:r>
      <w:r w:rsidR="00E520F9">
        <w:rPr>
          <w:rFonts w:cs="Times New Roman"/>
          <w:sz w:val="24"/>
          <w:szCs w:val="24"/>
          <w:lang w:val="en-GB"/>
        </w:rPr>
        <w:t>in this respect</w:t>
      </w:r>
      <w:r w:rsidR="002B3F72">
        <w:rPr>
          <w:rFonts w:cs="Times New Roman"/>
          <w:sz w:val="24"/>
          <w:szCs w:val="24"/>
          <w:lang w:val="en-GB"/>
        </w:rPr>
        <w:t xml:space="preserve"> is t</w:t>
      </w:r>
      <w:r w:rsidR="002B3F72" w:rsidRPr="002B3F72">
        <w:rPr>
          <w:rFonts w:cs="Times New Roman"/>
          <w:sz w:val="24"/>
          <w:szCs w:val="24"/>
        </w:rPr>
        <w:t>he Innocence Project</w:t>
      </w:r>
      <w:r w:rsidR="00717394">
        <w:rPr>
          <w:rFonts w:cs="Times New Roman"/>
          <w:sz w:val="24"/>
          <w:szCs w:val="24"/>
        </w:rPr>
        <w:t xml:space="preserve"> in the US</w:t>
      </w:r>
      <w:r w:rsidR="002B3F72">
        <w:rPr>
          <w:rFonts w:cs="Times New Roman"/>
          <w:sz w:val="24"/>
          <w:szCs w:val="24"/>
        </w:rPr>
        <w:t xml:space="preserve">, </w:t>
      </w:r>
      <w:r w:rsidR="002B3F72" w:rsidRPr="002B3F72">
        <w:rPr>
          <w:rFonts w:cs="Times New Roman"/>
          <w:sz w:val="24"/>
          <w:szCs w:val="24"/>
        </w:rPr>
        <w:t xml:space="preserve">a non-profit national litigation and public policy organization dedicated to exonerating wrongfully convicted people through DNA testing and reforming the criminal justice system to prevent future injustice. </w:t>
      </w:r>
      <w:r w:rsidR="002B3F72">
        <w:rPr>
          <w:rFonts w:cs="Times New Roman"/>
          <w:sz w:val="24"/>
          <w:szCs w:val="24"/>
        </w:rPr>
        <w:t xml:space="preserve">Not surprisingly, all their </w:t>
      </w:r>
      <w:r w:rsidR="00462703">
        <w:rPr>
          <w:rFonts w:cs="Times New Roman"/>
          <w:sz w:val="24"/>
          <w:szCs w:val="24"/>
        </w:rPr>
        <w:t xml:space="preserve">clients </w:t>
      </w:r>
      <w:r w:rsidR="002B3F72" w:rsidRPr="002B3F72">
        <w:rPr>
          <w:rFonts w:cs="Times New Roman"/>
          <w:sz w:val="24"/>
          <w:szCs w:val="24"/>
        </w:rPr>
        <w:t xml:space="preserve">are </w:t>
      </w:r>
      <w:r w:rsidR="00F35C91">
        <w:rPr>
          <w:rFonts w:cs="Times New Roman"/>
          <w:sz w:val="24"/>
          <w:szCs w:val="24"/>
        </w:rPr>
        <w:t>“</w:t>
      </w:r>
      <w:r w:rsidR="002B3F72" w:rsidRPr="002B3F72">
        <w:rPr>
          <w:rFonts w:cs="Times New Roman"/>
          <w:sz w:val="24"/>
          <w:szCs w:val="24"/>
        </w:rPr>
        <w:t>poor, forgotten, and have used up all legal avenues for relief.</w:t>
      </w:r>
      <w:r w:rsidR="00F35C91">
        <w:rPr>
          <w:rFonts w:cs="Times New Roman"/>
          <w:sz w:val="24"/>
          <w:szCs w:val="24"/>
        </w:rPr>
        <w:t>”</w:t>
      </w:r>
      <w:r w:rsidR="008D468E">
        <w:rPr>
          <w:rStyle w:val="Voetnootmarkering"/>
          <w:rFonts w:cs="Times New Roman"/>
          <w:sz w:val="24"/>
          <w:szCs w:val="24"/>
        </w:rPr>
        <w:footnoteReference w:id="47"/>
      </w:r>
    </w:p>
    <w:p w14:paraId="2BFEDC94" w14:textId="77777777" w:rsidR="00CE4B37" w:rsidRDefault="00CE4B37" w:rsidP="00CE4B37">
      <w:pPr>
        <w:pStyle w:val="textnormal"/>
        <w:spacing w:line="240" w:lineRule="auto"/>
        <w:rPr>
          <w:sz w:val="24"/>
          <w:szCs w:val="24"/>
          <w:lang w:val="en-GB"/>
        </w:rPr>
      </w:pPr>
    </w:p>
    <w:p w14:paraId="6B60E2BE" w14:textId="61115C50" w:rsidR="00DF575F" w:rsidRDefault="00966D62" w:rsidP="00CE4B37">
      <w:pPr>
        <w:pStyle w:val="textnormal"/>
        <w:spacing w:line="240" w:lineRule="auto"/>
        <w:rPr>
          <w:sz w:val="24"/>
          <w:szCs w:val="24"/>
          <w:lang w:val="en-GB"/>
        </w:rPr>
      </w:pPr>
      <w:r>
        <w:rPr>
          <w:sz w:val="24"/>
          <w:szCs w:val="24"/>
          <w:lang w:val="en-GB"/>
        </w:rPr>
        <w:t xml:space="preserve">With regard to </w:t>
      </w:r>
      <w:r w:rsidR="00FE6B1D">
        <w:rPr>
          <w:sz w:val="24"/>
          <w:szCs w:val="24"/>
          <w:lang w:val="en-GB"/>
        </w:rPr>
        <w:t>civil litigation</w:t>
      </w:r>
      <w:r w:rsidR="00AB5468">
        <w:rPr>
          <w:sz w:val="24"/>
          <w:szCs w:val="24"/>
          <w:lang w:val="en-GB"/>
        </w:rPr>
        <w:t>,</w:t>
      </w:r>
      <w:r w:rsidR="00FE6B1D">
        <w:rPr>
          <w:sz w:val="24"/>
          <w:szCs w:val="24"/>
          <w:lang w:val="en-GB"/>
        </w:rPr>
        <w:t xml:space="preserve"> Marc </w:t>
      </w:r>
      <w:proofErr w:type="spellStart"/>
      <w:r w:rsidR="00FE6B1D">
        <w:rPr>
          <w:sz w:val="24"/>
          <w:szCs w:val="24"/>
          <w:lang w:val="en-GB"/>
        </w:rPr>
        <w:t>Galanter</w:t>
      </w:r>
      <w:proofErr w:type="spellEnd"/>
      <w:r w:rsidR="00FE6B1D">
        <w:rPr>
          <w:sz w:val="24"/>
          <w:szCs w:val="24"/>
          <w:lang w:val="en-GB"/>
        </w:rPr>
        <w:t xml:space="preserve"> </w:t>
      </w:r>
      <w:r w:rsidR="002C2F07">
        <w:rPr>
          <w:sz w:val="24"/>
          <w:szCs w:val="24"/>
          <w:lang w:val="en-GB"/>
        </w:rPr>
        <w:t>completed</w:t>
      </w:r>
      <w:r w:rsidR="00FE6B1D">
        <w:rPr>
          <w:sz w:val="24"/>
          <w:szCs w:val="24"/>
          <w:lang w:val="en-GB"/>
        </w:rPr>
        <w:t xml:space="preserve"> a</w:t>
      </w:r>
      <w:r w:rsidR="002C2F07">
        <w:rPr>
          <w:sz w:val="24"/>
          <w:szCs w:val="24"/>
          <w:lang w:val="en-GB"/>
        </w:rPr>
        <w:t>n extensive</w:t>
      </w:r>
      <w:r w:rsidR="00FE6B1D">
        <w:rPr>
          <w:sz w:val="24"/>
          <w:szCs w:val="24"/>
          <w:lang w:val="en-GB"/>
        </w:rPr>
        <w:t xml:space="preserve"> </w:t>
      </w:r>
      <w:r w:rsidR="008D468E">
        <w:rPr>
          <w:sz w:val="24"/>
          <w:szCs w:val="24"/>
          <w:lang w:val="en-GB"/>
        </w:rPr>
        <w:t xml:space="preserve">legal-anthropological </w:t>
      </w:r>
      <w:r w:rsidR="00AB5468">
        <w:rPr>
          <w:sz w:val="24"/>
          <w:szCs w:val="24"/>
          <w:lang w:val="en-GB"/>
        </w:rPr>
        <w:t>i</w:t>
      </w:r>
      <w:r w:rsidR="008D468E">
        <w:rPr>
          <w:sz w:val="24"/>
          <w:szCs w:val="24"/>
          <w:lang w:val="en-GB"/>
        </w:rPr>
        <w:t xml:space="preserve">nquiry into structural disparities among parties in cases involving claims presented to insurance companies. The article </w:t>
      </w:r>
      <w:r w:rsidR="002C2F07">
        <w:rPr>
          <w:sz w:val="24"/>
          <w:szCs w:val="24"/>
          <w:lang w:val="en-GB"/>
        </w:rPr>
        <w:t xml:space="preserve">carries the </w:t>
      </w:r>
      <w:r w:rsidR="00BF56C4">
        <w:rPr>
          <w:sz w:val="24"/>
          <w:szCs w:val="24"/>
          <w:lang w:val="en-GB"/>
        </w:rPr>
        <w:t xml:space="preserve">striking </w:t>
      </w:r>
      <w:r w:rsidR="002C2F07">
        <w:rPr>
          <w:sz w:val="24"/>
          <w:szCs w:val="24"/>
          <w:lang w:val="en-GB"/>
        </w:rPr>
        <w:t>title</w:t>
      </w:r>
      <w:r w:rsidR="008D468E">
        <w:rPr>
          <w:sz w:val="24"/>
          <w:szCs w:val="24"/>
          <w:lang w:val="en-GB"/>
        </w:rPr>
        <w:t xml:space="preserve"> </w:t>
      </w:r>
      <w:r w:rsidR="008D468E" w:rsidRPr="008D468E">
        <w:rPr>
          <w:i/>
          <w:sz w:val="24"/>
          <w:szCs w:val="24"/>
          <w:lang w:val="en-GB"/>
        </w:rPr>
        <w:t xml:space="preserve">Why the </w:t>
      </w:r>
      <w:r w:rsidR="00F35C91">
        <w:rPr>
          <w:i/>
          <w:sz w:val="24"/>
          <w:szCs w:val="24"/>
          <w:lang w:val="en-GB"/>
        </w:rPr>
        <w:t>H</w:t>
      </w:r>
      <w:r w:rsidR="008D468E" w:rsidRPr="008D468E">
        <w:rPr>
          <w:i/>
          <w:sz w:val="24"/>
          <w:szCs w:val="24"/>
          <w:lang w:val="en-GB"/>
        </w:rPr>
        <w:t xml:space="preserve">aves </w:t>
      </w:r>
      <w:r w:rsidR="00F35C91">
        <w:rPr>
          <w:i/>
          <w:sz w:val="24"/>
          <w:szCs w:val="24"/>
          <w:lang w:val="en-GB"/>
        </w:rPr>
        <w:t>C</w:t>
      </w:r>
      <w:r w:rsidR="008D468E" w:rsidRPr="008D468E">
        <w:rPr>
          <w:i/>
          <w:sz w:val="24"/>
          <w:szCs w:val="24"/>
          <w:lang w:val="en-GB"/>
        </w:rPr>
        <w:t xml:space="preserve">ome </w:t>
      </w:r>
      <w:r w:rsidR="00F35C91">
        <w:rPr>
          <w:i/>
          <w:sz w:val="24"/>
          <w:szCs w:val="24"/>
          <w:lang w:val="en-GB"/>
        </w:rPr>
        <w:t>O</w:t>
      </w:r>
      <w:r w:rsidR="008D468E" w:rsidRPr="008D468E">
        <w:rPr>
          <w:i/>
          <w:sz w:val="24"/>
          <w:szCs w:val="24"/>
          <w:lang w:val="en-GB"/>
        </w:rPr>
        <w:t xml:space="preserve">ut </w:t>
      </w:r>
      <w:r w:rsidR="00F35C91">
        <w:rPr>
          <w:i/>
          <w:sz w:val="24"/>
          <w:szCs w:val="24"/>
          <w:lang w:val="en-GB"/>
        </w:rPr>
        <w:t>A</w:t>
      </w:r>
      <w:r w:rsidR="008D468E" w:rsidRPr="008D468E">
        <w:rPr>
          <w:i/>
          <w:sz w:val="24"/>
          <w:szCs w:val="24"/>
          <w:lang w:val="en-GB"/>
        </w:rPr>
        <w:t>head</w:t>
      </w:r>
      <w:r w:rsidR="008D468E">
        <w:rPr>
          <w:sz w:val="24"/>
          <w:szCs w:val="24"/>
          <w:lang w:val="en-GB"/>
        </w:rPr>
        <w:t>.</w:t>
      </w:r>
      <w:r w:rsidR="008D468E">
        <w:rPr>
          <w:rStyle w:val="Voetnootmarkering"/>
          <w:sz w:val="24"/>
          <w:szCs w:val="24"/>
          <w:lang w:val="en-GB"/>
        </w:rPr>
        <w:footnoteReference w:id="48"/>
      </w:r>
      <w:r w:rsidR="001D6F08">
        <w:rPr>
          <w:sz w:val="24"/>
          <w:szCs w:val="24"/>
          <w:lang w:val="en-GB"/>
        </w:rPr>
        <w:t xml:space="preserve"> The companies happen to be </w:t>
      </w:r>
      <w:r w:rsidR="00F35C91">
        <w:rPr>
          <w:sz w:val="24"/>
          <w:szCs w:val="24"/>
          <w:lang w:val="en-GB"/>
        </w:rPr>
        <w:t>“</w:t>
      </w:r>
      <w:r w:rsidR="001D6F08">
        <w:rPr>
          <w:sz w:val="24"/>
          <w:szCs w:val="24"/>
          <w:lang w:val="en-GB"/>
        </w:rPr>
        <w:t>repeat players</w:t>
      </w:r>
      <w:r w:rsidR="00F35C91">
        <w:rPr>
          <w:sz w:val="24"/>
          <w:szCs w:val="24"/>
          <w:lang w:val="en-GB"/>
        </w:rPr>
        <w:t>”</w:t>
      </w:r>
      <w:r w:rsidR="001D6F08">
        <w:rPr>
          <w:sz w:val="24"/>
          <w:szCs w:val="24"/>
          <w:lang w:val="en-GB"/>
        </w:rPr>
        <w:t xml:space="preserve"> while individual claimants </w:t>
      </w:r>
      <w:r w:rsidR="00FA1A88">
        <w:rPr>
          <w:sz w:val="24"/>
          <w:szCs w:val="24"/>
          <w:lang w:val="en-GB"/>
        </w:rPr>
        <w:t>are</w:t>
      </w:r>
      <w:r>
        <w:rPr>
          <w:sz w:val="24"/>
          <w:szCs w:val="24"/>
          <w:lang w:val="en-GB"/>
        </w:rPr>
        <w:t xml:space="preserve"> </w:t>
      </w:r>
      <w:r w:rsidR="00F35C91">
        <w:rPr>
          <w:sz w:val="24"/>
          <w:szCs w:val="24"/>
          <w:lang w:val="en-GB"/>
        </w:rPr>
        <w:t>“</w:t>
      </w:r>
      <w:r w:rsidR="001D6F08">
        <w:rPr>
          <w:sz w:val="24"/>
          <w:szCs w:val="24"/>
          <w:lang w:val="en-GB"/>
        </w:rPr>
        <w:t>one-</w:t>
      </w:r>
      <w:proofErr w:type="spellStart"/>
      <w:r w:rsidR="001D6F08">
        <w:rPr>
          <w:sz w:val="24"/>
          <w:szCs w:val="24"/>
          <w:lang w:val="en-GB"/>
        </w:rPr>
        <w:t>shotters</w:t>
      </w:r>
      <w:proofErr w:type="spellEnd"/>
      <w:r w:rsidR="00F35C91">
        <w:rPr>
          <w:sz w:val="24"/>
          <w:szCs w:val="24"/>
          <w:lang w:val="en-GB"/>
        </w:rPr>
        <w:t>.”</w:t>
      </w:r>
      <w:r w:rsidR="001D6F08">
        <w:rPr>
          <w:sz w:val="24"/>
          <w:szCs w:val="24"/>
          <w:lang w:val="en-GB"/>
        </w:rPr>
        <w:t xml:space="preserve"> As parties in litigation</w:t>
      </w:r>
      <w:r w:rsidR="00F35C91">
        <w:rPr>
          <w:sz w:val="24"/>
          <w:szCs w:val="24"/>
          <w:lang w:val="en-GB"/>
        </w:rPr>
        <w:t>,</w:t>
      </w:r>
      <w:r w:rsidR="001D6F08">
        <w:rPr>
          <w:sz w:val="24"/>
          <w:szCs w:val="24"/>
          <w:lang w:val="en-GB"/>
        </w:rPr>
        <w:t xml:space="preserve"> the large and professionally organised repeat players specialise in legal services,</w:t>
      </w:r>
      <w:r w:rsidR="00E70BF6">
        <w:rPr>
          <w:sz w:val="24"/>
          <w:szCs w:val="24"/>
          <w:lang w:val="en-GB"/>
        </w:rPr>
        <w:t xml:space="preserve"> and</w:t>
      </w:r>
      <w:r w:rsidR="001D6F08">
        <w:rPr>
          <w:sz w:val="24"/>
          <w:szCs w:val="24"/>
          <w:lang w:val="en-GB"/>
        </w:rPr>
        <w:t xml:space="preserve"> </w:t>
      </w:r>
      <w:r w:rsidR="00855343">
        <w:rPr>
          <w:sz w:val="24"/>
          <w:szCs w:val="24"/>
          <w:lang w:val="en-GB"/>
        </w:rPr>
        <w:t xml:space="preserve">appear to </w:t>
      </w:r>
      <w:r w:rsidR="001D6F08">
        <w:rPr>
          <w:sz w:val="24"/>
          <w:szCs w:val="24"/>
          <w:lang w:val="en-GB"/>
        </w:rPr>
        <w:t>enjoy substantial advantages, extending even to</w:t>
      </w:r>
      <w:r w:rsidR="00537628">
        <w:rPr>
          <w:sz w:val="24"/>
          <w:szCs w:val="24"/>
          <w:lang w:val="en-GB"/>
        </w:rPr>
        <w:t xml:space="preserve"> favourable rules and due process barriers.</w:t>
      </w:r>
      <w:r w:rsidR="00537628">
        <w:rPr>
          <w:rStyle w:val="Voetnootmarkering"/>
          <w:sz w:val="24"/>
          <w:szCs w:val="24"/>
          <w:lang w:val="en-GB"/>
        </w:rPr>
        <w:footnoteReference w:id="49"/>
      </w:r>
      <w:r w:rsidR="00537628">
        <w:rPr>
          <w:sz w:val="24"/>
          <w:szCs w:val="24"/>
          <w:lang w:val="en-GB"/>
        </w:rPr>
        <w:t xml:space="preserve"> </w:t>
      </w:r>
      <w:r w:rsidR="001D6F08">
        <w:rPr>
          <w:sz w:val="24"/>
          <w:szCs w:val="24"/>
          <w:lang w:val="en-GB"/>
        </w:rPr>
        <w:t xml:space="preserve"> </w:t>
      </w:r>
    </w:p>
    <w:p w14:paraId="7EE79013" w14:textId="77777777" w:rsidR="00CE4B37" w:rsidRDefault="00CE4B37" w:rsidP="00CE4B37">
      <w:pPr>
        <w:jc w:val="both"/>
      </w:pPr>
    </w:p>
    <w:p w14:paraId="148F2F40" w14:textId="5C5B1D7C" w:rsidR="00251193" w:rsidRDefault="00FD3217" w:rsidP="00CE4B37">
      <w:pPr>
        <w:jc w:val="both"/>
        <w:rPr>
          <w:rFonts w:eastAsia="Times New Roman"/>
          <w:lang w:eastAsia="nl-NL"/>
        </w:rPr>
      </w:pPr>
      <w:r>
        <w:t xml:space="preserve">Notably then, procedural equality </w:t>
      </w:r>
      <w:r w:rsidR="00966D62">
        <w:t xml:space="preserve">is not enough. </w:t>
      </w:r>
      <w:r w:rsidR="004D6087">
        <w:t xml:space="preserve">Merely </w:t>
      </w:r>
      <w:r w:rsidR="00262F6C">
        <w:t>s</w:t>
      </w:r>
      <w:r w:rsidR="00A86F9D" w:rsidRPr="00D037DD">
        <w:rPr>
          <w:rFonts w:eastAsia="Times New Roman"/>
          <w:lang w:eastAsia="nl-NL"/>
        </w:rPr>
        <w:t>ettl</w:t>
      </w:r>
      <w:r w:rsidR="00FA1A88">
        <w:rPr>
          <w:rFonts w:eastAsia="Times New Roman"/>
          <w:lang w:eastAsia="nl-NL"/>
        </w:rPr>
        <w:t>ing</w:t>
      </w:r>
      <w:r w:rsidR="00A86F9D" w:rsidRPr="00D037DD">
        <w:rPr>
          <w:rFonts w:eastAsia="Times New Roman"/>
          <w:lang w:eastAsia="nl-NL"/>
        </w:rPr>
        <w:t xml:space="preserve"> for formal rights, </w:t>
      </w:r>
      <w:r w:rsidR="00966D62">
        <w:rPr>
          <w:rFonts w:eastAsia="Times New Roman"/>
          <w:lang w:eastAsia="nl-NL"/>
        </w:rPr>
        <w:t xml:space="preserve">Freeman has argued, </w:t>
      </w:r>
    </w:p>
    <w:p w14:paraId="541477F3" w14:textId="77777777" w:rsidR="003541FC" w:rsidRDefault="003541FC" w:rsidP="00251193">
      <w:pPr>
        <w:ind w:left="709" w:hanging="1"/>
        <w:jc w:val="both"/>
        <w:rPr>
          <w:rFonts w:eastAsia="Times New Roman"/>
          <w:lang w:eastAsia="nl-NL"/>
        </w:rPr>
      </w:pPr>
    </w:p>
    <w:p w14:paraId="304A8CFB" w14:textId="3D0A9E67" w:rsidR="00A86F9D" w:rsidRDefault="008272C8" w:rsidP="00954B19">
      <w:pPr>
        <w:ind w:left="720" w:right="720"/>
        <w:jc w:val="both"/>
        <w:rPr>
          <w:rFonts w:eastAsia="Times New Roman"/>
          <w:lang w:eastAsia="nl-NL"/>
        </w:rPr>
      </w:pPr>
      <w:r>
        <w:rPr>
          <w:rFonts w:eastAsia="Times New Roman"/>
          <w:lang w:eastAsia="nl-NL"/>
        </w:rPr>
        <w:t>…</w:t>
      </w:r>
      <w:r w:rsidR="00A86F9D" w:rsidRPr="00D037DD">
        <w:rPr>
          <w:rFonts w:eastAsia="Times New Roman"/>
          <w:lang w:eastAsia="nl-NL"/>
        </w:rPr>
        <w:t>one is locked into the subtle constraints of the equal opportunity game, i</w:t>
      </w:r>
      <w:r w:rsidR="00966D62">
        <w:rPr>
          <w:rFonts w:eastAsia="Times New Roman"/>
          <w:lang w:eastAsia="nl-NL"/>
        </w:rPr>
        <w:t xml:space="preserve">ncluding a pressure to legitimize its results (the </w:t>
      </w:r>
      <w:r w:rsidR="00A77B1C">
        <w:rPr>
          <w:rFonts w:eastAsia="Times New Roman"/>
          <w:lang w:eastAsia="nl-NL"/>
        </w:rPr>
        <w:t>“</w:t>
      </w:r>
      <w:r w:rsidR="00A86F9D" w:rsidRPr="00D037DD">
        <w:rPr>
          <w:rFonts w:eastAsia="Times New Roman"/>
          <w:lang w:eastAsia="nl-NL"/>
        </w:rPr>
        <w:t>qualified</w:t>
      </w:r>
      <w:r w:rsidR="00A77B1C">
        <w:rPr>
          <w:rFonts w:eastAsia="Times New Roman"/>
          <w:lang w:eastAsia="nl-NL"/>
        </w:rPr>
        <w:t>”</w:t>
      </w:r>
      <w:r w:rsidR="00A86F9D" w:rsidRPr="00D037DD">
        <w:rPr>
          <w:rFonts w:eastAsia="Times New Roman"/>
          <w:lang w:eastAsia="nl-NL"/>
        </w:rPr>
        <w:t xml:space="preserve"> get ahead) and a resistance to deviation from its premises </w:t>
      </w:r>
      <w:r w:rsidR="00966D62">
        <w:rPr>
          <w:rFonts w:eastAsia="Times New Roman"/>
          <w:lang w:eastAsia="nl-NL"/>
        </w:rPr>
        <w:t xml:space="preserve">… </w:t>
      </w:r>
      <w:r w:rsidR="00A86F9D" w:rsidRPr="00D037DD">
        <w:rPr>
          <w:rFonts w:eastAsia="Times New Roman"/>
          <w:lang w:eastAsia="nl-NL"/>
        </w:rPr>
        <w:t>If equality of opportunity does not work, then rights acquisition by itself cannot deliver on its substantive promise.</w:t>
      </w:r>
      <w:r w:rsidR="00251193">
        <w:rPr>
          <w:rStyle w:val="Voetnootmarkering"/>
          <w:rFonts w:eastAsia="Times New Roman"/>
          <w:lang w:eastAsia="nl-NL"/>
        </w:rPr>
        <w:footnoteReference w:id="50"/>
      </w:r>
    </w:p>
    <w:p w14:paraId="370F3BA5" w14:textId="77777777" w:rsidR="00251193" w:rsidRDefault="00251193" w:rsidP="00251193">
      <w:pPr>
        <w:jc w:val="both"/>
        <w:rPr>
          <w:rFonts w:eastAsia="Times New Roman"/>
          <w:lang w:eastAsia="nl-NL"/>
        </w:rPr>
      </w:pPr>
    </w:p>
    <w:p w14:paraId="5E700733" w14:textId="328B9DC3" w:rsidR="00797334" w:rsidRDefault="00E520F9" w:rsidP="00200C07">
      <w:pPr>
        <w:jc w:val="both"/>
      </w:pPr>
      <w:r>
        <w:t xml:space="preserve">Indeed, formal rights acquisition may even </w:t>
      </w:r>
      <w:r w:rsidR="00B013CF">
        <w:t xml:space="preserve">result in some negative effect on public opinion when it comes to substantive equality. Thus, </w:t>
      </w:r>
      <w:r w:rsidR="00171792">
        <w:t>once the American civil rights movement had achieved equal citizenship</w:t>
      </w:r>
      <w:r w:rsidR="004D6087">
        <w:t>,</w:t>
      </w:r>
      <w:r w:rsidR="00171792">
        <w:t xml:space="preserve"> </w:t>
      </w:r>
      <w:r w:rsidR="00200C07">
        <w:t xml:space="preserve">its </w:t>
      </w:r>
      <w:r w:rsidR="00171792">
        <w:t xml:space="preserve">claims regarding substantive equality </w:t>
      </w:r>
      <w:r w:rsidR="00200C07">
        <w:t>were</w:t>
      </w:r>
      <w:r w:rsidR="00171792">
        <w:t xml:space="preserve"> seen as less urgent.</w:t>
      </w:r>
      <w:r w:rsidR="00171792">
        <w:rPr>
          <w:rStyle w:val="Voetnootmarkering"/>
        </w:rPr>
        <w:footnoteReference w:id="51"/>
      </w:r>
      <w:r w:rsidR="00171792">
        <w:t xml:space="preserve"> S</w:t>
      </w:r>
      <w:r w:rsidR="00797334">
        <w:t>imilarly, after meaningfully achieving formal equality goals the women’</w:t>
      </w:r>
      <w:r w:rsidR="00171792">
        <w:t xml:space="preserve">s </w:t>
      </w:r>
      <w:r w:rsidR="00797334">
        <w:t>rights movement faced growing opposition against its demands for affirmative remedial measures.</w:t>
      </w:r>
      <w:r w:rsidR="00797334">
        <w:rPr>
          <w:rStyle w:val="Voetnootmarkering"/>
        </w:rPr>
        <w:footnoteReference w:id="52"/>
      </w:r>
    </w:p>
    <w:p w14:paraId="0AD11CB4" w14:textId="77777777" w:rsidR="00CE4B37" w:rsidRDefault="00CE4B37" w:rsidP="00CE4B37">
      <w:pPr>
        <w:jc w:val="both"/>
      </w:pPr>
    </w:p>
    <w:p w14:paraId="1346CB75" w14:textId="369670F5" w:rsidR="00DD4DD2" w:rsidRDefault="00797334" w:rsidP="00CE4B37">
      <w:pPr>
        <w:jc w:val="both"/>
      </w:pPr>
      <w:r w:rsidRPr="00200C07">
        <w:lastRenderedPageBreak/>
        <w:t>What</w:t>
      </w:r>
      <w:r w:rsidR="00E70BF6">
        <w:t>,</w:t>
      </w:r>
      <w:r w:rsidRPr="00200C07">
        <w:t xml:space="preserve"> then</w:t>
      </w:r>
      <w:r w:rsidR="00E70BF6">
        <w:t>,</w:t>
      </w:r>
      <w:r w:rsidRPr="00200C07">
        <w:t xml:space="preserve"> are possible elements of a struggle to achieve substantive equality? </w:t>
      </w:r>
      <w:r w:rsidR="00A539CB">
        <w:t>Notably, t</w:t>
      </w:r>
      <w:r w:rsidR="00041898">
        <w:t xml:space="preserve">here is a crucial distinction </w:t>
      </w:r>
      <w:r w:rsidR="004D6087">
        <w:t xml:space="preserve">between the </w:t>
      </w:r>
      <w:r w:rsidR="00041898">
        <w:t xml:space="preserve">demands for formal </w:t>
      </w:r>
      <w:r w:rsidR="004D6087">
        <w:t xml:space="preserve">and substantive </w:t>
      </w:r>
      <w:r w:rsidR="00041898">
        <w:t>equality</w:t>
      </w:r>
      <w:r w:rsidR="004D6087">
        <w:t>, especially in ter</w:t>
      </w:r>
      <w:r w:rsidR="00A77B1C">
        <w:t>m</w:t>
      </w:r>
      <w:r w:rsidR="004D6087">
        <w:t xml:space="preserve">s of </w:t>
      </w:r>
      <w:r w:rsidR="00E70BF6">
        <w:t xml:space="preserve">the </w:t>
      </w:r>
      <w:r w:rsidR="004D6087">
        <w:t>recognition and protection of equality.</w:t>
      </w:r>
      <w:r w:rsidR="00041898">
        <w:t xml:space="preserve"> </w:t>
      </w:r>
      <w:r w:rsidR="00E44DE4">
        <w:t>Refugees</w:t>
      </w:r>
      <w:r w:rsidR="00041898">
        <w:t xml:space="preserve">, for example, </w:t>
      </w:r>
      <w:r w:rsidR="004E1610">
        <w:t xml:space="preserve">are </w:t>
      </w:r>
      <w:r w:rsidR="00200C07">
        <w:t xml:space="preserve">either </w:t>
      </w:r>
      <w:r w:rsidR="004E1610">
        <w:t xml:space="preserve">granted </w:t>
      </w:r>
      <w:r w:rsidR="00E44DE4">
        <w:t xml:space="preserve">a right to seek asylum </w:t>
      </w:r>
      <w:r w:rsidR="00041898">
        <w:t xml:space="preserve">or </w:t>
      </w:r>
      <w:r w:rsidR="00E44DE4">
        <w:t>not</w:t>
      </w:r>
      <w:r w:rsidR="00041898">
        <w:t xml:space="preserve">. Since rights discourse </w:t>
      </w:r>
      <w:r w:rsidR="00FA1A88">
        <w:t xml:space="preserve">also </w:t>
      </w:r>
      <w:r w:rsidR="00041898">
        <w:t xml:space="preserve">uses absolutes, it </w:t>
      </w:r>
      <w:r w:rsidR="00E44DE4">
        <w:t>support</w:t>
      </w:r>
      <w:r w:rsidR="00FA1A88">
        <w:t>s</w:t>
      </w:r>
      <w:r w:rsidR="00041898">
        <w:t xml:space="preserve"> judicial action. </w:t>
      </w:r>
      <w:r w:rsidR="009D570A">
        <w:t>To achieve</w:t>
      </w:r>
      <w:r w:rsidR="00187975">
        <w:t xml:space="preserve"> s</w:t>
      </w:r>
      <w:r w:rsidR="00041898">
        <w:t>ubstantive equality</w:t>
      </w:r>
      <w:r w:rsidR="00187975">
        <w:t>, however, require</w:t>
      </w:r>
      <w:r w:rsidR="009D570A">
        <w:t>s</w:t>
      </w:r>
      <w:r w:rsidR="00041898">
        <w:t xml:space="preserve"> relative approaches</w:t>
      </w:r>
      <w:r w:rsidR="00200C07">
        <w:t xml:space="preserve"> of a political rather than judicial nature</w:t>
      </w:r>
      <w:r w:rsidR="00041898">
        <w:t xml:space="preserve">. </w:t>
      </w:r>
      <w:r w:rsidR="00200C07">
        <w:t>Thus, l</w:t>
      </w:r>
      <w:r w:rsidR="007F0F66">
        <w:t>eve</w:t>
      </w:r>
      <w:r w:rsidR="00E70BF6">
        <w:t>l</w:t>
      </w:r>
      <w:r w:rsidR="007F0F66">
        <w:t xml:space="preserve">ling </w:t>
      </w:r>
      <w:r w:rsidR="00200C07">
        <w:t xml:space="preserve">down </w:t>
      </w:r>
      <w:r w:rsidR="00FA1A88">
        <w:t xml:space="preserve">socio-economic </w:t>
      </w:r>
      <w:r w:rsidR="007F0F66">
        <w:t xml:space="preserve">inequalities </w:t>
      </w:r>
      <w:r w:rsidR="009D570A">
        <w:t>is a</w:t>
      </w:r>
      <w:r w:rsidR="00BF56C4">
        <w:t xml:space="preserve"> commo</w:t>
      </w:r>
      <w:r w:rsidR="009F3A8E">
        <w:t>n</w:t>
      </w:r>
      <w:r w:rsidR="009D570A">
        <w:t xml:space="preserve"> objective </w:t>
      </w:r>
      <w:r w:rsidR="00BF56C4">
        <w:t xml:space="preserve">in </w:t>
      </w:r>
      <w:r w:rsidR="009F3A8E">
        <w:t xml:space="preserve">political </w:t>
      </w:r>
      <w:r w:rsidR="009D570A">
        <w:t>struggles for social justice. Yet, from a</w:t>
      </w:r>
      <w:r w:rsidR="009F3A8E">
        <w:t xml:space="preserve"> </w:t>
      </w:r>
      <w:r w:rsidR="004D6087">
        <w:t xml:space="preserve">judicial </w:t>
      </w:r>
      <w:r w:rsidR="009D570A">
        <w:t xml:space="preserve">perspective </w:t>
      </w:r>
      <w:r w:rsidR="00DD4DD2">
        <w:t xml:space="preserve">substantive equality entails </w:t>
      </w:r>
      <w:r w:rsidR="00C83467">
        <w:t xml:space="preserve">some </w:t>
      </w:r>
      <w:r w:rsidR="00CE4B37">
        <w:t>conclusive</w:t>
      </w:r>
      <w:r w:rsidR="00C83467">
        <w:t xml:space="preserve"> implications</w:t>
      </w:r>
      <w:r w:rsidR="00DD4DD2">
        <w:t>, too</w:t>
      </w:r>
      <w:r w:rsidR="00C83467">
        <w:t>.</w:t>
      </w:r>
      <w:r w:rsidR="009F3A8E">
        <w:t xml:space="preserve"> </w:t>
      </w:r>
    </w:p>
    <w:p w14:paraId="1DF80579" w14:textId="77777777" w:rsidR="00CE4B37" w:rsidRDefault="00CE4B37" w:rsidP="00CE4B37">
      <w:pPr>
        <w:jc w:val="both"/>
      </w:pPr>
    </w:p>
    <w:p w14:paraId="4EF6AEC0" w14:textId="2493E528" w:rsidR="000B7B8D" w:rsidRDefault="009F3A8E" w:rsidP="00CE4B37">
      <w:pPr>
        <w:jc w:val="both"/>
      </w:pPr>
      <w:r>
        <w:t xml:space="preserve">First, </w:t>
      </w:r>
      <w:r w:rsidR="00CA3049">
        <w:t xml:space="preserve">obviously </w:t>
      </w:r>
      <w:r>
        <w:t xml:space="preserve">the </w:t>
      </w:r>
      <w:r w:rsidR="00A77B1C">
        <w:t>“</w:t>
      </w:r>
      <w:r>
        <w:t>equal in rights</w:t>
      </w:r>
      <w:r w:rsidR="00A77B1C">
        <w:t>”</w:t>
      </w:r>
      <w:r>
        <w:t xml:space="preserve"> principle </w:t>
      </w:r>
      <w:r w:rsidR="00DD4DD2">
        <w:t xml:space="preserve">also </w:t>
      </w:r>
      <w:r>
        <w:t xml:space="preserve">pertains to economic, social and cultural rights. This applies to articles </w:t>
      </w:r>
      <w:r w:rsidR="001E672D">
        <w:t xml:space="preserve">22-26 of the UDHR as well as </w:t>
      </w:r>
      <w:r w:rsidR="00FA1A88">
        <w:t xml:space="preserve">to </w:t>
      </w:r>
      <w:r>
        <w:t xml:space="preserve">the </w:t>
      </w:r>
      <w:r w:rsidR="0034620E">
        <w:t>IC</w:t>
      </w:r>
      <w:r>
        <w:t xml:space="preserve">ESCR </w:t>
      </w:r>
      <w:r w:rsidR="00FA1A88">
        <w:t>treaty</w:t>
      </w:r>
      <w:r w:rsidR="001E672D">
        <w:t xml:space="preserve">. Indeed, it is the ESCR </w:t>
      </w:r>
      <w:r>
        <w:t xml:space="preserve">Committee that </w:t>
      </w:r>
      <w:r w:rsidR="001E672D">
        <w:t>pays consistent attention to issues concerning equal opportunities in respect of entitlements protected by these rights such as education, work and health care.</w:t>
      </w:r>
      <w:r w:rsidR="00DD4DD2">
        <w:t xml:space="preserve"> What is at stake here is </w:t>
      </w:r>
      <w:r w:rsidR="00DD4DD2" w:rsidRPr="00DD4DD2">
        <w:rPr>
          <w:i/>
        </w:rPr>
        <w:t>resource equality</w:t>
      </w:r>
      <w:r w:rsidR="00EC7477">
        <w:t xml:space="preserve">. As </w:t>
      </w:r>
      <w:r w:rsidR="00EC7477" w:rsidRPr="00200C07">
        <w:t xml:space="preserve">Dworkin </w:t>
      </w:r>
      <w:r w:rsidR="00EC7477" w:rsidRPr="00C252AF">
        <w:t>holds</w:t>
      </w:r>
      <w:r w:rsidR="00EC7477" w:rsidRPr="000A457B">
        <w:t xml:space="preserve">, </w:t>
      </w:r>
      <w:r w:rsidR="00A77B1C" w:rsidRPr="000A457B">
        <w:t>“</w:t>
      </w:r>
      <w:r w:rsidR="00EC7477" w:rsidRPr="00C252AF">
        <w:t>we cannot guarantee people well-being, let alone equal well-being, but we can offer them equal resources and make sure that they are compensated for brute bad luck and do not profit from brute bad luck.</w:t>
      </w:r>
      <w:r w:rsidR="00A77B1C" w:rsidRPr="00C252AF">
        <w:t>”</w:t>
      </w:r>
      <w:r w:rsidR="00EC7477" w:rsidRPr="00C252AF">
        <w:rPr>
          <w:rStyle w:val="Voetnootmarkering"/>
        </w:rPr>
        <w:footnoteReference w:id="53"/>
      </w:r>
      <w:r w:rsidR="00EC7477" w:rsidRPr="00C252AF">
        <w:t xml:space="preserve"> </w:t>
      </w:r>
      <w:r w:rsidR="004E1610" w:rsidRPr="000A457B">
        <w:t>S</w:t>
      </w:r>
      <w:r w:rsidR="00EC7477" w:rsidRPr="000A457B">
        <w:t>pecific</w:t>
      </w:r>
      <w:r w:rsidR="00EC7477">
        <w:t xml:space="preserve"> implications of resource equality </w:t>
      </w:r>
      <w:r w:rsidR="000B7B8D">
        <w:t xml:space="preserve">may </w:t>
      </w:r>
      <w:r w:rsidR="00DD4DD2">
        <w:t xml:space="preserve">be identified in equal opportunities of acquirement such as equal availability and equal accessibility. </w:t>
      </w:r>
      <w:r w:rsidR="002360B1">
        <w:t xml:space="preserve">In an article entitled </w:t>
      </w:r>
      <w:r w:rsidR="00A77B1C">
        <w:t>“</w:t>
      </w:r>
      <w:r w:rsidR="002360B1">
        <w:t xml:space="preserve">Taking Equality </w:t>
      </w:r>
      <w:r w:rsidR="00CA3049">
        <w:t>Seriously</w:t>
      </w:r>
      <w:r w:rsidR="002360B1">
        <w:t>: Applying Human Rights Frameworks to Priority Setting in Health</w:t>
      </w:r>
      <w:r w:rsidR="00A77B1C">
        <w:t>,”</w:t>
      </w:r>
      <w:r w:rsidR="002360B1">
        <w:t xml:space="preserve"> </w:t>
      </w:r>
      <w:proofErr w:type="spellStart"/>
      <w:r w:rsidR="002360B1">
        <w:t>Yamin</w:t>
      </w:r>
      <w:proofErr w:type="spellEnd"/>
      <w:r w:rsidR="002360B1">
        <w:t xml:space="preserve"> and </w:t>
      </w:r>
      <w:proofErr w:type="spellStart"/>
      <w:r w:rsidR="002360B1">
        <w:t>Norheim</w:t>
      </w:r>
      <w:proofErr w:type="spellEnd"/>
      <w:r w:rsidR="002360B1">
        <w:t xml:space="preserve"> have analyzed such implications in respect of health care.</w:t>
      </w:r>
      <w:r w:rsidR="002360B1">
        <w:rPr>
          <w:rStyle w:val="Voetnootmarkering"/>
        </w:rPr>
        <w:footnoteReference w:id="54"/>
      </w:r>
      <w:r w:rsidR="002360B1">
        <w:t xml:space="preserve"> In such a </w:t>
      </w:r>
      <w:r w:rsidR="000B7B8D">
        <w:t>methodology</w:t>
      </w:r>
      <w:r w:rsidR="00A77B1C">
        <w:t>,</w:t>
      </w:r>
      <w:r w:rsidR="002360B1">
        <w:t xml:space="preserve"> </w:t>
      </w:r>
      <w:r w:rsidR="00A77B1C">
        <w:t>“</w:t>
      </w:r>
      <w:r w:rsidR="002360B1">
        <w:t>equal in rights</w:t>
      </w:r>
      <w:r w:rsidR="00A77B1C">
        <w:t>”</w:t>
      </w:r>
      <w:r w:rsidR="002360B1">
        <w:t xml:space="preserve"> is translated into </w:t>
      </w:r>
      <w:r w:rsidR="00A77B1C">
        <w:t>“</w:t>
      </w:r>
      <w:r w:rsidR="00EC7477">
        <w:t>human rights criteria</w:t>
      </w:r>
      <w:r w:rsidR="00A77B1C">
        <w:t>,”</w:t>
      </w:r>
      <w:r w:rsidR="00EC7477">
        <w:t xml:space="preserve"> </w:t>
      </w:r>
      <w:r w:rsidR="00C96D32">
        <w:t xml:space="preserve">as they call certain specified principles, </w:t>
      </w:r>
      <w:r w:rsidR="00EC7477">
        <w:t xml:space="preserve">applied to priority setting </w:t>
      </w:r>
      <w:r w:rsidR="000B7B8D">
        <w:t xml:space="preserve">in </w:t>
      </w:r>
      <w:r w:rsidR="00EC7477">
        <w:t>systems of health</w:t>
      </w:r>
      <w:r w:rsidR="0034620E">
        <w:t xml:space="preserve"> </w:t>
      </w:r>
      <w:r w:rsidR="00EC7477">
        <w:t>care.</w:t>
      </w:r>
      <w:r w:rsidR="000B7B8D">
        <w:t xml:space="preserve"> It is an approach based not so much on </w:t>
      </w:r>
      <w:r w:rsidR="007F5E73">
        <w:t xml:space="preserve">human rights </w:t>
      </w:r>
      <w:r w:rsidR="000B7B8D">
        <w:t xml:space="preserve">legality but on </w:t>
      </w:r>
      <w:r w:rsidR="007F5E73">
        <w:t xml:space="preserve">criteria derived from </w:t>
      </w:r>
      <w:r w:rsidR="0011392D">
        <w:t xml:space="preserve">human rights-based </w:t>
      </w:r>
      <w:r w:rsidR="000B7B8D">
        <w:t>principles of legitimacy</w:t>
      </w:r>
      <w:r w:rsidR="00C54B65">
        <w:t>, including formal and substantial equality</w:t>
      </w:r>
      <w:r w:rsidR="000B7B8D">
        <w:t>.</w:t>
      </w:r>
      <w:r w:rsidR="00C54B65">
        <w:rPr>
          <w:rStyle w:val="Voetnootmarkering"/>
        </w:rPr>
        <w:footnoteReference w:id="55"/>
      </w:r>
    </w:p>
    <w:p w14:paraId="689AD3A4" w14:textId="77777777" w:rsidR="00CE4B37" w:rsidRDefault="00CE4B37" w:rsidP="00CE4B37">
      <w:pPr>
        <w:jc w:val="both"/>
      </w:pPr>
    </w:p>
    <w:p w14:paraId="023A7E98" w14:textId="66C2CEA0" w:rsidR="00544135" w:rsidRDefault="000B7B8D" w:rsidP="00855343">
      <w:pPr>
        <w:jc w:val="both"/>
        <w:rPr>
          <w:bCs/>
        </w:rPr>
      </w:pPr>
      <w:r>
        <w:t xml:space="preserve">Second, in the same vein </w:t>
      </w:r>
      <w:r w:rsidRPr="003541FC">
        <w:t xml:space="preserve">“…individuals have a right to </w:t>
      </w:r>
      <w:r w:rsidRPr="00C67BCB">
        <w:rPr>
          <w:i/>
        </w:rPr>
        <w:t>equal concern</w:t>
      </w:r>
      <w:r w:rsidRPr="003541FC">
        <w:t xml:space="preserve"> and respect in the design and administration of the political institutions that govern them.”</w:t>
      </w:r>
      <w:r w:rsidR="00C67BCB">
        <w:rPr>
          <w:rStyle w:val="Voetnootmarkering"/>
        </w:rPr>
        <w:footnoteReference w:id="56"/>
      </w:r>
      <w:r w:rsidRPr="003541FC">
        <w:t xml:space="preserve"> </w:t>
      </w:r>
      <w:r w:rsidR="00C67BCB">
        <w:t>This, again, m</w:t>
      </w:r>
      <w:r w:rsidR="00792F78">
        <w:t>ay</w:t>
      </w:r>
      <w:r w:rsidR="00C67BCB">
        <w:t xml:space="preserve"> be seen as a precept of substantive equality derived from the </w:t>
      </w:r>
      <w:r w:rsidR="00A77B1C">
        <w:t>“</w:t>
      </w:r>
      <w:r w:rsidR="00C67BCB">
        <w:t>equal in rights</w:t>
      </w:r>
      <w:r w:rsidR="00A77B1C">
        <w:t>”</w:t>
      </w:r>
      <w:r w:rsidR="00C67BCB">
        <w:t xml:space="preserve"> principle. </w:t>
      </w:r>
      <w:r w:rsidR="00C96D32">
        <w:t xml:space="preserve">It entails human rights criteria to be applied to </w:t>
      </w:r>
      <w:r w:rsidR="004812CD">
        <w:t xml:space="preserve">administrative budgeting at all levels of government. </w:t>
      </w:r>
      <w:r w:rsidR="00C67BCB">
        <w:t xml:space="preserve">Not surprisingly, then, </w:t>
      </w:r>
      <w:r w:rsidR="00C96D32">
        <w:t>an</w:t>
      </w:r>
      <w:r w:rsidR="00792F78">
        <w:t xml:space="preserve"> international non-governmental </w:t>
      </w:r>
      <w:r w:rsidR="00C96D32">
        <w:t xml:space="preserve">organization called </w:t>
      </w:r>
      <w:proofErr w:type="spellStart"/>
      <w:r w:rsidR="00C96D32" w:rsidRPr="00C96D32">
        <w:rPr>
          <w:i/>
        </w:rPr>
        <w:t>Equalin</w:t>
      </w:r>
      <w:r w:rsidR="00F10AC6">
        <w:rPr>
          <w:i/>
        </w:rPr>
        <w:t>r</w:t>
      </w:r>
      <w:r w:rsidR="00C96D32" w:rsidRPr="00C96D32">
        <w:rPr>
          <w:i/>
        </w:rPr>
        <w:t>ights</w:t>
      </w:r>
      <w:proofErr w:type="spellEnd"/>
      <w:r w:rsidR="00C96D32">
        <w:t xml:space="preserve"> used to focus particularly on </w:t>
      </w:r>
      <w:r w:rsidR="00A77B1C">
        <w:t>“</w:t>
      </w:r>
      <w:r w:rsidR="00C96D32">
        <w:t>budgeting rights</w:t>
      </w:r>
      <w:r w:rsidR="00A77B1C">
        <w:t>.”</w:t>
      </w:r>
      <w:r w:rsidR="00F10AC6">
        <w:rPr>
          <w:rStyle w:val="Voetnootmarkering"/>
        </w:rPr>
        <w:footnoteReference w:id="57"/>
      </w:r>
      <w:r w:rsidR="00F10AC6">
        <w:t xml:space="preserve"> </w:t>
      </w:r>
      <w:r w:rsidR="00544135" w:rsidRPr="000307FD">
        <w:rPr>
          <w:bCs/>
        </w:rPr>
        <w:t xml:space="preserve">Several </w:t>
      </w:r>
      <w:r w:rsidR="00544135">
        <w:rPr>
          <w:bCs/>
        </w:rPr>
        <w:t xml:space="preserve">other INGOs as well as </w:t>
      </w:r>
      <w:r w:rsidR="00544135" w:rsidRPr="000307FD">
        <w:rPr>
          <w:bCs/>
        </w:rPr>
        <w:t xml:space="preserve">UN treaty bodies have paid </w:t>
      </w:r>
      <w:r w:rsidR="00544135" w:rsidRPr="000307FD">
        <w:rPr>
          <w:bCs/>
        </w:rPr>
        <w:lastRenderedPageBreak/>
        <w:t xml:space="preserve">explicit attention </w:t>
      </w:r>
      <w:r w:rsidR="00544135">
        <w:rPr>
          <w:bCs/>
        </w:rPr>
        <w:t xml:space="preserve">to </w:t>
      </w:r>
      <w:r w:rsidR="00544135" w:rsidRPr="00097599">
        <w:rPr>
          <w:bCs/>
        </w:rPr>
        <w:t>human rights budgeting</w:t>
      </w:r>
      <w:r w:rsidR="00544135" w:rsidRPr="00544135">
        <w:rPr>
          <w:bCs/>
        </w:rPr>
        <w:t xml:space="preserve"> </w:t>
      </w:r>
      <w:r w:rsidR="00544135" w:rsidRPr="000307FD">
        <w:rPr>
          <w:bCs/>
        </w:rPr>
        <w:t xml:space="preserve">in relation to many different states parties, e.g. </w:t>
      </w:r>
      <w:r w:rsidR="00544135">
        <w:rPr>
          <w:bCs/>
        </w:rPr>
        <w:t xml:space="preserve">the </w:t>
      </w:r>
      <w:r w:rsidR="00544135" w:rsidRPr="000307FD">
        <w:rPr>
          <w:bCs/>
        </w:rPr>
        <w:t>CRC Committee.</w:t>
      </w:r>
      <w:r w:rsidR="00544135">
        <w:rPr>
          <w:bCs/>
        </w:rPr>
        <w:t xml:space="preserve"> </w:t>
      </w:r>
    </w:p>
    <w:p w14:paraId="73A7C838" w14:textId="77777777" w:rsidR="00544135" w:rsidRDefault="00544135" w:rsidP="00CE4B37">
      <w:pPr>
        <w:jc w:val="both"/>
      </w:pPr>
    </w:p>
    <w:p w14:paraId="16B616E5" w14:textId="603842AF" w:rsidR="00251193" w:rsidRDefault="00484AAF" w:rsidP="00CE4B37">
      <w:pPr>
        <w:jc w:val="both"/>
      </w:pPr>
      <w:r>
        <w:t xml:space="preserve">Exemplary in this respect is a doctoral study by Yanqing Hong on qualitative inequality in basic education between urban and rural areas in China examined in the light of </w:t>
      </w:r>
      <w:r w:rsidR="00537BCC">
        <w:t>the human right to education and the equal in rights principle.</w:t>
      </w:r>
      <w:r w:rsidR="00537BCC">
        <w:rPr>
          <w:rStyle w:val="Voetnootmarkering"/>
        </w:rPr>
        <w:footnoteReference w:id="58"/>
      </w:r>
      <w:r w:rsidR="00537BCC">
        <w:t xml:space="preserve"> </w:t>
      </w:r>
      <w:r w:rsidR="007F5E73">
        <w:t>Political economy analysis show</w:t>
      </w:r>
      <w:r w:rsidR="00BF56C4">
        <w:t>ed</w:t>
      </w:r>
      <w:r w:rsidR="007F5E73">
        <w:t xml:space="preserve"> that the contextual background to this inequality in rights lies in the organization of public finance. </w:t>
      </w:r>
      <w:r w:rsidR="00537BCC">
        <w:t>Strikingly, although this analysis demonstrate</w:t>
      </w:r>
      <w:r w:rsidR="00BF56C4">
        <w:t>d</w:t>
      </w:r>
      <w:r w:rsidR="00537BCC">
        <w:t xml:space="preserve"> evident systemic violation</w:t>
      </w:r>
      <w:r w:rsidR="00A543CB">
        <w:t>s</w:t>
      </w:r>
      <w:r w:rsidR="00537BCC">
        <w:t xml:space="preserve"> of the ICESCR, which China ha</w:t>
      </w:r>
      <w:r w:rsidR="00BF56C4">
        <w:t>d</w:t>
      </w:r>
      <w:r w:rsidR="00537BCC">
        <w:t xml:space="preserve"> ratified, this appears to be an issue on which the country </w:t>
      </w:r>
      <w:r w:rsidR="0011392D">
        <w:t>h</w:t>
      </w:r>
      <w:r w:rsidR="00537BCC">
        <w:t xml:space="preserve">as never </w:t>
      </w:r>
      <w:r w:rsidR="0011392D">
        <w:t xml:space="preserve">been </w:t>
      </w:r>
      <w:r w:rsidR="00537BCC">
        <w:t xml:space="preserve">questioned in any UN human rights setting. </w:t>
      </w:r>
    </w:p>
    <w:p w14:paraId="6298FA46" w14:textId="77777777" w:rsidR="00FA1A88" w:rsidRPr="00D037DD" w:rsidRDefault="00FA1A88" w:rsidP="00C96D32">
      <w:pPr>
        <w:ind w:firstLine="708"/>
        <w:jc w:val="both"/>
      </w:pPr>
    </w:p>
    <w:p w14:paraId="21C63A48" w14:textId="4D596A01" w:rsidR="003541FC" w:rsidRDefault="00FA1A88" w:rsidP="00FA1A88">
      <w:pPr>
        <w:rPr>
          <w:b/>
        </w:rPr>
      </w:pPr>
      <w:r w:rsidRPr="00CA3049">
        <w:rPr>
          <w:b/>
        </w:rPr>
        <w:t xml:space="preserve">Overcoming the </w:t>
      </w:r>
      <w:r w:rsidR="00A77B1C">
        <w:rPr>
          <w:b/>
        </w:rPr>
        <w:t>G</w:t>
      </w:r>
      <w:r w:rsidRPr="00CA3049">
        <w:rPr>
          <w:b/>
        </w:rPr>
        <w:t xml:space="preserve">lobal </w:t>
      </w:r>
      <w:r w:rsidR="00A77B1C">
        <w:rPr>
          <w:b/>
        </w:rPr>
        <w:t>H</w:t>
      </w:r>
      <w:r w:rsidRPr="00CA3049">
        <w:rPr>
          <w:b/>
        </w:rPr>
        <w:t xml:space="preserve">uman </w:t>
      </w:r>
      <w:r w:rsidR="00A77B1C">
        <w:rPr>
          <w:b/>
        </w:rPr>
        <w:t>R</w:t>
      </w:r>
      <w:r w:rsidRPr="00CA3049">
        <w:rPr>
          <w:b/>
        </w:rPr>
        <w:t xml:space="preserve">ights </w:t>
      </w:r>
      <w:r w:rsidR="00A77B1C">
        <w:rPr>
          <w:b/>
        </w:rPr>
        <w:t>D</w:t>
      </w:r>
      <w:r w:rsidRPr="00CA3049">
        <w:rPr>
          <w:b/>
        </w:rPr>
        <w:t>eficit</w:t>
      </w:r>
      <w:r w:rsidR="00CA3049">
        <w:rPr>
          <w:b/>
        </w:rPr>
        <w:t xml:space="preserve">: </w:t>
      </w:r>
      <w:r w:rsidR="00A77B1C">
        <w:rPr>
          <w:b/>
        </w:rPr>
        <w:t>A</w:t>
      </w:r>
      <w:r w:rsidR="00CA3049" w:rsidRPr="00BA192B">
        <w:rPr>
          <w:b/>
        </w:rPr>
        <w:t xml:space="preserve"> </w:t>
      </w:r>
      <w:r w:rsidR="00A77B1C">
        <w:rPr>
          <w:b/>
        </w:rPr>
        <w:t>S</w:t>
      </w:r>
      <w:r w:rsidR="00CA3049" w:rsidRPr="00BA192B">
        <w:rPr>
          <w:b/>
        </w:rPr>
        <w:t xml:space="preserve">truggle for </w:t>
      </w:r>
      <w:r w:rsidR="00A77B1C">
        <w:rPr>
          <w:b/>
        </w:rPr>
        <w:t>T</w:t>
      </w:r>
      <w:r w:rsidR="00CA3049" w:rsidRPr="00BA192B">
        <w:rPr>
          <w:b/>
        </w:rPr>
        <w:t xml:space="preserve">rue </w:t>
      </w:r>
      <w:r w:rsidR="00A77B1C">
        <w:rPr>
          <w:b/>
        </w:rPr>
        <w:t>U</w:t>
      </w:r>
      <w:r w:rsidR="00CA3049" w:rsidRPr="00BA192B">
        <w:rPr>
          <w:b/>
        </w:rPr>
        <w:t>niversality</w:t>
      </w:r>
    </w:p>
    <w:p w14:paraId="4CB69061" w14:textId="1846AF10" w:rsidR="006605D6" w:rsidRDefault="00CA3049" w:rsidP="00CA3049">
      <w:pPr>
        <w:jc w:val="both"/>
      </w:pPr>
      <w:r w:rsidRPr="00CA3049">
        <w:t xml:space="preserve">In </w:t>
      </w:r>
      <w:r>
        <w:t xml:space="preserve">much of her work on human rights, Titia Loenen has pointed to </w:t>
      </w:r>
      <w:r w:rsidR="00F8614B">
        <w:t xml:space="preserve">the gendered nature of </w:t>
      </w:r>
      <w:r>
        <w:t xml:space="preserve">a </w:t>
      </w:r>
      <w:proofErr w:type="spellStart"/>
      <w:r>
        <w:t>problematique</w:t>
      </w:r>
      <w:proofErr w:type="spellEnd"/>
      <w:r>
        <w:t xml:space="preserve"> that </w:t>
      </w:r>
      <w:r w:rsidR="000546DC">
        <w:t xml:space="preserve">is </w:t>
      </w:r>
      <w:r>
        <w:t xml:space="preserve">part of </w:t>
      </w:r>
      <w:r w:rsidR="000546DC">
        <w:t>what I call the</w:t>
      </w:r>
      <w:r>
        <w:t xml:space="preserve"> global human rights deficit</w:t>
      </w:r>
      <w:r w:rsidR="00F8614B">
        <w:rPr>
          <w:rStyle w:val="Voetnootmarkering"/>
        </w:rPr>
        <w:footnoteReference w:id="59"/>
      </w:r>
      <w:r>
        <w:t xml:space="preserve">, </w:t>
      </w:r>
      <w:r w:rsidRPr="00CA3049">
        <w:rPr>
          <w:i/>
        </w:rPr>
        <w:t>viz.</w:t>
      </w:r>
      <w:r>
        <w:t xml:space="preserve"> the public/private divide. I</w:t>
      </w:r>
      <w:r w:rsidR="000775BC">
        <w:t xml:space="preserve">ndeed she advocates a reconceptualization of international human rights law so as to include specific violations that affect women in particular such as domestic violence, </w:t>
      </w:r>
      <w:r w:rsidR="000546DC">
        <w:t xml:space="preserve">forced prostitution, </w:t>
      </w:r>
      <w:r w:rsidR="000775BC">
        <w:t>trafficking</w:t>
      </w:r>
      <w:r w:rsidR="000546DC">
        <w:t xml:space="preserve">, female genital mutilation </w:t>
      </w:r>
      <w:r w:rsidR="000775BC">
        <w:t xml:space="preserve">and sexual crimes. What is </w:t>
      </w:r>
      <w:r w:rsidR="00CE4B37">
        <w:t xml:space="preserve">necessary </w:t>
      </w:r>
      <w:r w:rsidR="000775BC">
        <w:t xml:space="preserve">here </w:t>
      </w:r>
      <w:r w:rsidR="000546DC">
        <w:t xml:space="preserve">is interpretations of the </w:t>
      </w:r>
      <w:r w:rsidR="0059651E">
        <w:t>“</w:t>
      </w:r>
      <w:r w:rsidR="000546DC">
        <w:t>equal in rights</w:t>
      </w:r>
      <w:r w:rsidR="0059651E">
        <w:t>”</w:t>
      </w:r>
      <w:r w:rsidR="000546DC">
        <w:t xml:space="preserve"> principle that acknowledge difference and effectuate special measures to protect such essential elements of human dignity as bodily integrity beyond the four walls of privacy, too.</w:t>
      </w:r>
      <w:r w:rsidR="00C04E15">
        <w:t xml:space="preserve"> Indeed, </w:t>
      </w:r>
      <w:r w:rsidR="00E20EA0">
        <w:t xml:space="preserve">in our world today women are </w:t>
      </w:r>
      <w:r w:rsidR="00E20EA0" w:rsidRPr="00E20EA0">
        <w:rPr>
          <w:i/>
        </w:rPr>
        <w:t>not</w:t>
      </w:r>
      <w:r w:rsidR="00E20EA0">
        <w:t xml:space="preserve"> equal in rights. I</w:t>
      </w:r>
      <w:r w:rsidR="006605D6">
        <w:t xml:space="preserve">ntolerable impunity of those responsible for </w:t>
      </w:r>
      <w:r w:rsidR="00C04E15">
        <w:t>gross and systematic violation</w:t>
      </w:r>
      <w:r w:rsidR="006605D6">
        <w:t>s</w:t>
      </w:r>
      <w:r w:rsidR="00C04E15">
        <w:t xml:space="preserve"> of human rights</w:t>
      </w:r>
      <w:r w:rsidR="005E3613">
        <w:t>,</w:t>
      </w:r>
      <w:r w:rsidR="00C04E15">
        <w:t xml:space="preserve"> affecting women in particular</w:t>
      </w:r>
      <w:r w:rsidR="005E3613">
        <w:t>,</w:t>
      </w:r>
      <w:r w:rsidR="00C04E15">
        <w:t xml:space="preserve"> reflect</w:t>
      </w:r>
      <w:r w:rsidR="00BF56C4">
        <w:t>s</w:t>
      </w:r>
      <w:r w:rsidR="00C04E15">
        <w:t xml:space="preserve"> </w:t>
      </w:r>
      <w:r w:rsidR="00CE4B37">
        <w:t>a prevailing</w:t>
      </w:r>
      <w:r w:rsidR="00E20EA0">
        <w:t xml:space="preserve"> </w:t>
      </w:r>
      <w:r w:rsidR="00C04E15">
        <w:t>acquiescence to</w:t>
      </w:r>
      <w:r w:rsidR="00E20EA0">
        <w:t xml:space="preserve"> major constraints on true universality</w:t>
      </w:r>
      <w:r w:rsidR="00C04E15">
        <w:t>.</w:t>
      </w:r>
      <w:r w:rsidR="006605D6">
        <w:t xml:space="preserve"> </w:t>
      </w:r>
      <w:r w:rsidR="00E20EA0">
        <w:t xml:space="preserve">Here </w:t>
      </w:r>
      <w:r w:rsidR="0059651E">
        <w:t>“</w:t>
      </w:r>
      <w:r w:rsidR="006605D6">
        <w:t>equal in rights</w:t>
      </w:r>
      <w:r w:rsidR="0059651E">
        <w:t>”</w:t>
      </w:r>
      <w:r w:rsidR="006605D6">
        <w:t xml:space="preserve"> m</w:t>
      </w:r>
      <w:r w:rsidR="00762383">
        <w:t>ay well</w:t>
      </w:r>
      <w:r w:rsidR="006605D6">
        <w:t xml:space="preserve"> </w:t>
      </w:r>
      <w:r w:rsidR="005E3613">
        <w:t xml:space="preserve">serve </w:t>
      </w:r>
      <w:r w:rsidR="006605D6">
        <w:t>as a wake-up call</w:t>
      </w:r>
      <w:r w:rsidR="00E20EA0" w:rsidRPr="00E20EA0">
        <w:t xml:space="preserve"> </w:t>
      </w:r>
      <w:r w:rsidR="00E20EA0">
        <w:t>to break through double standards</w:t>
      </w:r>
      <w:r w:rsidR="006605D6">
        <w:t>.</w:t>
      </w:r>
    </w:p>
    <w:p w14:paraId="12CDCA3C" w14:textId="77777777" w:rsidR="00CE4B37" w:rsidRDefault="00CE4B37" w:rsidP="00CA3049">
      <w:pPr>
        <w:jc w:val="both"/>
      </w:pPr>
    </w:p>
    <w:p w14:paraId="167058AB" w14:textId="720F5F72" w:rsidR="0034620E" w:rsidRDefault="006605D6" w:rsidP="00CA3049">
      <w:pPr>
        <w:jc w:val="both"/>
      </w:pPr>
      <w:r>
        <w:t xml:space="preserve">A second </w:t>
      </w:r>
      <w:r w:rsidR="00762383">
        <w:t>component</w:t>
      </w:r>
      <w:r>
        <w:t xml:space="preserve"> of that global deficit concerns the impunity of state-related perpetrators of human rights violations, </w:t>
      </w:r>
      <w:r w:rsidRPr="006605D6">
        <w:rPr>
          <w:i/>
        </w:rPr>
        <w:t>viz.</w:t>
      </w:r>
      <w:r>
        <w:t xml:space="preserve"> those </w:t>
      </w:r>
      <w:r w:rsidR="00E20EA0">
        <w:t xml:space="preserve">holding powers of </w:t>
      </w:r>
      <w:r>
        <w:t xml:space="preserve">government and their subordinates. </w:t>
      </w:r>
      <w:r w:rsidR="00230564">
        <w:t xml:space="preserve">Although </w:t>
      </w:r>
      <w:r>
        <w:t>international law has crossed the frontiers of national sovereignty</w:t>
      </w:r>
      <w:r w:rsidR="00230564">
        <w:t xml:space="preserve">, </w:t>
      </w:r>
      <w:r w:rsidR="00762383">
        <w:t xml:space="preserve">its range </w:t>
      </w:r>
      <w:r>
        <w:t xml:space="preserve">does not </w:t>
      </w:r>
      <w:r w:rsidR="00BF56C4">
        <w:t>exten</w:t>
      </w:r>
      <w:r w:rsidR="00230564">
        <w:t>d</w:t>
      </w:r>
      <w:r>
        <w:t xml:space="preserve"> </w:t>
      </w:r>
      <w:r w:rsidR="00BF56C4">
        <w:t xml:space="preserve">to </w:t>
      </w:r>
      <w:r w:rsidR="00D37C49">
        <w:t xml:space="preserve">the </w:t>
      </w:r>
      <w:r w:rsidR="0059651E">
        <w:t>“</w:t>
      </w:r>
      <w:r w:rsidR="00D37C49">
        <w:t>owners</w:t>
      </w:r>
      <w:r w:rsidR="0059651E">
        <w:t>”</w:t>
      </w:r>
      <w:r w:rsidR="00D37C49">
        <w:t xml:space="preserve"> of </w:t>
      </w:r>
      <w:r>
        <w:t>major</w:t>
      </w:r>
      <w:r w:rsidR="00E20EA0">
        <w:t xml:space="preserve"> </w:t>
      </w:r>
      <w:r w:rsidR="00D37C49">
        <w:t xml:space="preserve">state </w:t>
      </w:r>
      <w:r w:rsidR="00E20EA0">
        <w:t xml:space="preserve">power. </w:t>
      </w:r>
      <w:r w:rsidR="00230564">
        <w:t>For example, v</w:t>
      </w:r>
      <w:r w:rsidR="00D37C49">
        <w:t>ictims of gross and systematic human rights violations in Chechnya, Tibet, Afghanistan, Israel and Palestine</w:t>
      </w:r>
      <w:r w:rsidR="00230564">
        <w:t xml:space="preserve"> -- </w:t>
      </w:r>
      <w:r w:rsidR="00D37C49">
        <w:t xml:space="preserve">to mention just a few </w:t>
      </w:r>
      <w:r w:rsidR="00230564">
        <w:t xml:space="preserve">-- </w:t>
      </w:r>
      <w:r w:rsidR="00D37C49">
        <w:t xml:space="preserve">are not equal in </w:t>
      </w:r>
      <w:r w:rsidR="00700A14">
        <w:t xml:space="preserve">international human </w:t>
      </w:r>
      <w:r w:rsidR="00D37C49">
        <w:t xml:space="preserve">rights. Indeed, the International Criminal Court (ICC) has itself become a major </w:t>
      </w:r>
      <w:r w:rsidR="00762383">
        <w:t xml:space="preserve">accomplice </w:t>
      </w:r>
      <w:r w:rsidR="00700A14">
        <w:t>to</w:t>
      </w:r>
      <w:r w:rsidR="00762383">
        <w:t xml:space="preserve"> </w:t>
      </w:r>
      <w:r w:rsidR="00D37C49">
        <w:t xml:space="preserve">current acquiescence </w:t>
      </w:r>
      <w:r w:rsidR="00A543CB">
        <w:t>in</w:t>
      </w:r>
      <w:r w:rsidR="00D37C49">
        <w:t xml:space="preserve"> double standards</w:t>
      </w:r>
      <w:r w:rsidR="0034620E">
        <w:t>, since no charges have been filed in relation to these situations</w:t>
      </w:r>
      <w:r w:rsidR="00D37C49">
        <w:t xml:space="preserve">. </w:t>
      </w:r>
    </w:p>
    <w:p w14:paraId="5FE81A3E" w14:textId="77777777" w:rsidR="0034620E" w:rsidRDefault="0034620E" w:rsidP="00CA3049">
      <w:pPr>
        <w:jc w:val="both"/>
      </w:pPr>
    </w:p>
    <w:p w14:paraId="7BD40FF9" w14:textId="52CD9851" w:rsidR="00C11E0A" w:rsidRDefault="00230564" w:rsidP="00CA3049">
      <w:pPr>
        <w:jc w:val="both"/>
      </w:pPr>
      <w:r>
        <w:t>“</w:t>
      </w:r>
      <w:r w:rsidR="00D37C49">
        <w:t>Double standards are better than no standards at all</w:t>
      </w:r>
      <w:r>
        <w:t>”</w:t>
      </w:r>
      <w:r w:rsidR="00A543CB">
        <w:t>,</w:t>
      </w:r>
      <w:r>
        <w:t xml:space="preserve"> </w:t>
      </w:r>
      <w:r w:rsidR="00A73385">
        <w:t xml:space="preserve">appears to be </w:t>
      </w:r>
      <w:r w:rsidR="00D37C49">
        <w:t xml:space="preserve">the </w:t>
      </w:r>
      <w:r w:rsidR="00700A14">
        <w:t>prevailing</w:t>
      </w:r>
      <w:r w:rsidR="00D37C49">
        <w:t xml:space="preserve"> mood</w:t>
      </w:r>
      <w:r>
        <w:t xml:space="preserve"> -- </w:t>
      </w:r>
      <w:r w:rsidR="00D37C49">
        <w:t>even within the international human</w:t>
      </w:r>
      <w:r w:rsidR="00A73385">
        <w:t xml:space="preserve"> rights</w:t>
      </w:r>
      <w:r w:rsidR="00D37C49">
        <w:t xml:space="preserve"> movement itself </w:t>
      </w:r>
      <w:r w:rsidR="00C11E0A">
        <w:t>(</w:t>
      </w:r>
      <w:r w:rsidR="00D37C49">
        <w:t xml:space="preserve">except for </w:t>
      </w:r>
      <w:r w:rsidR="00C11E0A">
        <w:t xml:space="preserve">the </w:t>
      </w:r>
      <w:r w:rsidR="00D37C49">
        <w:t>laudable advocacy of</w:t>
      </w:r>
      <w:r w:rsidR="00762383">
        <w:t xml:space="preserve"> </w:t>
      </w:r>
      <w:r w:rsidR="00D37C49">
        <w:t>NG</w:t>
      </w:r>
      <w:r w:rsidR="00C11E0A">
        <w:t xml:space="preserve">Os </w:t>
      </w:r>
      <w:r w:rsidR="00762383">
        <w:t xml:space="preserve">with a </w:t>
      </w:r>
      <w:r w:rsidR="00700A14">
        <w:t>genuinely</w:t>
      </w:r>
      <w:r w:rsidR="00762383">
        <w:t xml:space="preserve"> universal mission </w:t>
      </w:r>
      <w:r w:rsidR="00C11E0A">
        <w:t>such as Amnesty</w:t>
      </w:r>
      <w:r w:rsidR="00C11E0A" w:rsidRPr="00C11E0A">
        <w:t xml:space="preserve"> </w:t>
      </w:r>
      <w:r w:rsidR="00C11E0A">
        <w:t xml:space="preserve">International). </w:t>
      </w:r>
      <w:r w:rsidR="00700A14">
        <w:t>With its legitimacy seriously undermined by double standards</w:t>
      </w:r>
      <w:r w:rsidR="00A73385">
        <w:t>,</w:t>
      </w:r>
      <w:r w:rsidR="00700A14">
        <w:t xml:space="preserve"> </w:t>
      </w:r>
      <w:r w:rsidR="00D37C49">
        <w:t>international criminal justice will n</w:t>
      </w:r>
      <w:r w:rsidR="00700A14">
        <w:t xml:space="preserve">ot be </w:t>
      </w:r>
      <w:r w:rsidR="00B135F4">
        <w:t xml:space="preserve">in a position </w:t>
      </w:r>
      <w:r w:rsidR="00D37C49">
        <w:t xml:space="preserve">to reach out to the hearts and minds of all global citizens. </w:t>
      </w:r>
      <w:r w:rsidR="00C11E0A">
        <w:t xml:space="preserve">Here again, </w:t>
      </w:r>
      <w:r w:rsidR="0059651E">
        <w:t>“</w:t>
      </w:r>
      <w:r w:rsidR="00C11E0A">
        <w:t>equal in rights</w:t>
      </w:r>
      <w:r w:rsidR="0059651E">
        <w:t>”</w:t>
      </w:r>
      <w:r w:rsidR="00C11E0A">
        <w:t xml:space="preserve"> may serve as a wake-up call to truly commit </w:t>
      </w:r>
      <w:r w:rsidR="0001783B">
        <w:t>humankind</w:t>
      </w:r>
      <w:r w:rsidR="00C11E0A">
        <w:t xml:space="preserve"> to universality.</w:t>
      </w:r>
      <w:r w:rsidR="00A73385">
        <w:t xml:space="preserve"> It is imperative that international criminal </w:t>
      </w:r>
      <w:r w:rsidR="00A73385">
        <w:lastRenderedPageBreak/>
        <w:t>justice standards apply equally to all states, regardless of their fungible power or positions within the international system.</w:t>
      </w:r>
    </w:p>
    <w:p w14:paraId="1175BBCC" w14:textId="77777777" w:rsidR="00700A14" w:rsidRDefault="00C11E0A" w:rsidP="00FB0382">
      <w:pPr>
        <w:jc w:val="both"/>
      </w:pPr>
      <w:r>
        <w:tab/>
      </w:r>
    </w:p>
    <w:p w14:paraId="6CB229CB" w14:textId="5DB93F3C" w:rsidR="00FA1A88" w:rsidRDefault="00C11E0A" w:rsidP="00FB0382">
      <w:pPr>
        <w:jc w:val="both"/>
      </w:pPr>
      <w:r>
        <w:t xml:space="preserve">Thirdly, major global deficiencies present themselves in the area of so-called minority rights. </w:t>
      </w:r>
      <w:r w:rsidR="00700A14">
        <w:t>Markedly</w:t>
      </w:r>
      <w:r>
        <w:t xml:space="preserve">, the issue as such is not a problem </w:t>
      </w:r>
      <w:r w:rsidR="0068404E">
        <w:t>of</w:t>
      </w:r>
      <w:r w:rsidR="00FB0382">
        <w:t xml:space="preserve"> minorities </w:t>
      </w:r>
      <w:r>
        <w:t xml:space="preserve">but </w:t>
      </w:r>
      <w:r w:rsidR="0068404E">
        <w:t xml:space="preserve">of </w:t>
      </w:r>
      <w:r>
        <w:t>the ways and means in which dominant (usually majority) power is abused to withhold recognition, protection, resource equality and equal concern from specific categories of people</w:t>
      </w:r>
      <w:r w:rsidR="00FB0382">
        <w:t>.</w:t>
      </w:r>
      <w:r w:rsidR="0068404E">
        <w:t xml:space="preserve"> As </w:t>
      </w:r>
      <w:r w:rsidR="00424DB7">
        <w:t xml:space="preserve">minority </w:t>
      </w:r>
      <w:r w:rsidR="0068404E">
        <w:t xml:space="preserve">security depends on the very government that abuses their rights, </w:t>
      </w:r>
      <w:r w:rsidR="00272E72">
        <w:t xml:space="preserve">oppressed collectivities may </w:t>
      </w:r>
      <w:r w:rsidR="00700A14">
        <w:t>w</w:t>
      </w:r>
      <w:r w:rsidR="00272E72">
        <w:t>e</w:t>
      </w:r>
      <w:r w:rsidR="00700A14">
        <w:t xml:space="preserve">ll be </w:t>
      </w:r>
      <w:r w:rsidR="00272E72">
        <w:t xml:space="preserve">expected </w:t>
      </w:r>
      <w:r w:rsidR="0068404E">
        <w:t xml:space="preserve">to move. In this connection </w:t>
      </w:r>
      <w:r w:rsidR="00FB0382">
        <w:t>an important</w:t>
      </w:r>
      <w:r w:rsidR="006605D6">
        <w:t xml:space="preserve"> </w:t>
      </w:r>
      <w:r w:rsidR="00FB0382">
        <w:t xml:space="preserve">aspect of the </w:t>
      </w:r>
      <w:r w:rsidR="0059651E">
        <w:t>“</w:t>
      </w:r>
      <w:r w:rsidR="00FB0382">
        <w:t>equal in rights</w:t>
      </w:r>
      <w:r w:rsidR="0059651E">
        <w:t>”</w:t>
      </w:r>
      <w:r w:rsidR="00FB0382">
        <w:t xml:space="preserve"> principle </w:t>
      </w:r>
      <w:r w:rsidR="00700A14">
        <w:t>comes to the fore</w:t>
      </w:r>
      <w:r w:rsidR="00FB0382">
        <w:t xml:space="preserve">, </w:t>
      </w:r>
      <w:r w:rsidR="00FB0382" w:rsidRPr="00FB0382">
        <w:rPr>
          <w:i/>
        </w:rPr>
        <w:t>viz.</w:t>
      </w:r>
      <w:r w:rsidR="00FB0382">
        <w:t xml:space="preserve"> geographical </w:t>
      </w:r>
      <w:r w:rsidR="00272E72">
        <w:t>in</w:t>
      </w:r>
      <w:r w:rsidR="00FB0382">
        <w:t xml:space="preserve">equality. </w:t>
      </w:r>
      <w:r w:rsidR="00700A14">
        <w:t>During</w:t>
      </w:r>
      <w:r w:rsidR="00FB0382">
        <w:t xml:space="preserve"> the last two hundred years</w:t>
      </w:r>
      <w:r w:rsidR="00BD29B8">
        <w:t>,</w:t>
      </w:r>
      <w:r w:rsidR="00FB0382">
        <w:t xml:space="preserve"> global geographical income inequality</w:t>
      </w:r>
      <w:r w:rsidR="00B135F4">
        <w:rPr>
          <w:rStyle w:val="Voetnootmarkering"/>
        </w:rPr>
        <w:footnoteReference w:id="60"/>
      </w:r>
      <w:r w:rsidR="00FB0382">
        <w:t xml:space="preserve"> </w:t>
      </w:r>
      <w:r w:rsidR="00272E72">
        <w:t xml:space="preserve">in terms of real purchasing power </w:t>
      </w:r>
      <w:r w:rsidR="00FB0382">
        <w:t xml:space="preserve">has risen from a factor </w:t>
      </w:r>
      <w:r w:rsidR="00BD29B8">
        <w:t xml:space="preserve">of </w:t>
      </w:r>
      <w:r w:rsidR="00FB0382">
        <w:t xml:space="preserve">1:3 to over 1:100, meaning that on average </w:t>
      </w:r>
      <w:r w:rsidR="0068404E">
        <w:t xml:space="preserve">an individual </w:t>
      </w:r>
      <w:r w:rsidR="00FB0382">
        <w:t xml:space="preserve">born in </w:t>
      </w:r>
      <w:r w:rsidR="0068404E">
        <w:t xml:space="preserve">one of </w:t>
      </w:r>
      <w:r w:rsidR="00FB0382">
        <w:t xml:space="preserve">the </w:t>
      </w:r>
      <w:r w:rsidR="00700A14">
        <w:t>most destitute</w:t>
      </w:r>
      <w:r w:rsidR="00FB0382">
        <w:t xml:space="preserve"> </w:t>
      </w:r>
      <w:r w:rsidR="0068404E">
        <w:t>spots in</w:t>
      </w:r>
      <w:r w:rsidR="00FB0382">
        <w:t xml:space="preserve"> our world today </w:t>
      </w:r>
      <w:r w:rsidR="0059651E">
        <w:t>“</w:t>
      </w:r>
      <w:r w:rsidR="00FB0382">
        <w:t>enjoy</w:t>
      </w:r>
      <w:r w:rsidR="0068404E">
        <w:t>s</w:t>
      </w:r>
      <w:r w:rsidR="0059651E">
        <w:t>”</w:t>
      </w:r>
      <w:r w:rsidR="00FB0382">
        <w:t xml:space="preserve"> a purchasing </w:t>
      </w:r>
      <w:r w:rsidR="0068404E">
        <w:t xml:space="preserve">power </w:t>
      </w:r>
      <w:r w:rsidR="00FB0382">
        <w:t>of less than one dollar for every one hundred dollar</w:t>
      </w:r>
      <w:r w:rsidR="00BD29B8">
        <w:t>s</w:t>
      </w:r>
      <w:r w:rsidR="00FB0382">
        <w:t xml:space="preserve"> of average purchasing power </w:t>
      </w:r>
      <w:r w:rsidR="0068404E">
        <w:t xml:space="preserve">per capita </w:t>
      </w:r>
      <w:r w:rsidR="00FB0382">
        <w:t xml:space="preserve">in the </w:t>
      </w:r>
      <w:r w:rsidR="000D5138">
        <w:t>mos</w:t>
      </w:r>
      <w:r w:rsidR="00FB0382">
        <w:t xml:space="preserve">t </w:t>
      </w:r>
      <w:r w:rsidR="000D5138">
        <w:t xml:space="preserve">privileged </w:t>
      </w:r>
      <w:r w:rsidR="00FB0382">
        <w:t>regions. From an</w:t>
      </w:r>
      <w:r w:rsidR="0011392D">
        <w:t xml:space="preserve"> </w:t>
      </w:r>
      <w:r w:rsidR="0059651E">
        <w:t>“</w:t>
      </w:r>
      <w:r w:rsidR="00FB0382">
        <w:t>equal in rights</w:t>
      </w:r>
      <w:r w:rsidR="0059651E">
        <w:t>”</w:t>
      </w:r>
      <w:r w:rsidR="00FB0382">
        <w:t xml:space="preserve"> perspective</w:t>
      </w:r>
      <w:r w:rsidR="00BD29B8">
        <w:t>,</w:t>
      </w:r>
      <w:r w:rsidR="00FB0382">
        <w:t xml:space="preserve"> the least one would expect </w:t>
      </w:r>
      <w:r w:rsidR="0068404E">
        <w:t>here</w:t>
      </w:r>
      <w:r w:rsidR="00FB0382">
        <w:t xml:space="preserve"> is </w:t>
      </w:r>
      <w:r w:rsidR="00807758">
        <w:t>a universal freedom to move. Yet, in their attempts to flee from absolute destitution people</w:t>
      </w:r>
      <w:r w:rsidR="0060073C">
        <w:t xml:space="preserve"> </w:t>
      </w:r>
      <w:r w:rsidR="0059651E">
        <w:t xml:space="preserve">characterized </w:t>
      </w:r>
      <w:r w:rsidR="0060073C">
        <w:t xml:space="preserve">as </w:t>
      </w:r>
      <w:r w:rsidR="0059651E">
        <w:t>“</w:t>
      </w:r>
      <w:r w:rsidR="0060073C">
        <w:t>economic refugees</w:t>
      </w:r>
      <w:r w:rsidR="0059651E">
        <w:t>”</w:t>
      </w:r>
      <w:r w:rsidR="00807758">
        <w:t xml:space="preserve"> drown at sea. Applying human rights criteria to migration policies</w:t>
      </w:r>
      <w:r w:rsidR="00BD29B8">
        <w:t>,</w:t>
      </w:r>
      <w:r w:rsidR="00807758">
        <w:t xml:space="preserve"> one would expect at least some attention </w:t>
      </w:r>
      <w:r w:rsidR="00BD29B8">
        <w:t xml:space="preserve">to be </w:t>
      </w:r>
      <w:r w:rsidR="000D5138">
        <w:t xml:space="preserve">paid </w:t>
      </w:r>
      <w:r w:rsidR="00807758">
        <w:t xml:space="preserve">to the need for flexible rather than rigid </w:t>
      </w:r>
      <w:r w:rsidR="000D5138">
        <w:t>rules regulating migration</w:t>
      </w:r>
      <w:r w:rsidR="00272E72">
        <w:t xml:space="preserve">. International as well as regional and national </w:t>
      </w:r>
      <w:r w:rsidR="0035081E">
        <w:t xml:space="preserve">refugee laws </w:t>
      </w:r>
      <w:r w:rsidR="00272E72">
        <w:t xml:space="preserve">that allow </w:t>
      </w:r>
      <w:r w:rsidR="00BD29B8">
        <w:t>re</w:t>
      </w:r>
      <w:r w:rsidR="00A07BBB">
        <w:t>settle</w:t>
      </w:r>
      <w:r w:rsidR="00272E72">
        <w:t xml:space="preserve">ment only as political </w:t>
      </w:r>
      <w:r w:rsidR="00A07BBB">
        <w:t>asylum seekers</w:t>
      </w:r>
      <w:r w:rsidR="00272E72">
        <w:t xml:space="preserve"> neglect the whole prevailing problem of </w:t>
      </w:r>
      <w:r w:rsidR="00557D96">
        <w:t>spatial horizontal inequality in a globalized perspective</w:t>
      </w:r>
      <w:r w:rsidR="00807758">
        <w:t xml:space="preserve">. Again, </w:t>
      </w:r>
      <w:r w:rsidR="00834E01">
        <w:t>“</w:t>
      </w:r>
      <w:r w:rsidR="00807758">
        <w:t>equal in rights</w:t>
      </w:r>
      <w:r w:rsidR="00834E01">
        <w:t>”</w:t>
      </w:r>
      <w:r w:rsidR="00807758">
        <w:t xml:space="preserve"> might serve as a wake-up call</w:t>
      </w:r>
      <w:r w:rsidR="00424DB7">
        <w:t xml:space="preserve"> to this </w:t>
      </w:r>
      <w:r w:rsidR="0001783B">
        <w:t>predicament</w:t>
      </w:r>
      <w:r w:rsidR="00807758">
        <w:t>.</w:t>
      </w:r>
    </w:p>
    <w:p w14:paraId="09FA42CA" w14:textId="77777777" w:rsidR="000D5138" w:rsidRDefault="000D5138" w:rsidP="00FB0382">
      <w:pPr>
        <w:jc w:val="both"/>
      </w:pPr>
    </w:p>
    <w:p w14:paraId="60E1048A" w14:textId="26BBCFC4" w:rsidR="00310D90" w:rsidRDefault="00807758" w:rsidP="00FB0382">
      <w:pPr>
        <w:jc w:val="both"/>
      </w:pPr>
      <w:r>
        <w:t xml:space="preserve">Finally, and obviously related to the preceding paragraph, </w:t>
      </w:r>
      <w:r w:rsidR="0060073C">
        <w:t xml:space="preserve">another manifestation of </w:t>
      </w:r>
      <w:r>
        <w:t xml:space="preserve">the global human rights deficit </w:t>
      </w:r>
      <w:r w:rsidR="0060073C">
        <w:t>lies in structural non-implementation of</w:t>
      </w:r>
      <w:r>
        <w:t xml:space="preserve"> the rights of the poor. Already </w:t>
      </w:r>
      <w:r w:rsidR="00BF35EA">
        <w:t xml:space="preserve">in the previous century United Nations development agencies called poverty </w:t>
      </w:r>
      <w:r w:rsidR="00834E01">
        <w:t>“</w:t>
      </w:r>
      <w:r w:rsidR="00BF35EA">
        <w:t>a brutal denial of human rights</w:t>
      </w:r>
      <w:r w:rsidR="00834E01">
        <w:t>.”</w:t>
      </w:r>
      <w:r w:rsidR="0060073C">
        <w:rPr>
          <w:rStyle w:val="Voetnootmarkering"/>
        </w:rPr>
        <w:footnoteReference w:id="61"/>
      </w:r>
      <w:r w:rsidR="00BF35EA">
        <w:t xml:space="preserve"> A</w:t>
      </w:r>
      <w:r>
        <w:t xml:space="preserve">t the turn of the </w:t>
      </w:r>
      <w:r w:rsidR="00BF35EA">
        <w:t>millennium</w:t>
      </w:r>
      <w:r w:rsidR="00BD29B8">
        <w:t>,</w:t>
      </w:r>
      <w:r w:rsidR="00BF35EA">
        <w:t xml:space="preserve"> </w:t>
      </w:r>
      <w:r>
        <w:t xml:space="preserve">the World Bank’s </w:t>
      </w:r>
      <w:r w:rsidRPr="00807758">
        <w:rPr>
          <w:i/>
        </w:rPr>
        <w:t>Voices of the Poor</w:t>
      </w:r>
      <w:r>
        <w:t xml:space="preserve"> studies revealed daily hardship in </w:t>
      </w:r>
      <w:r w:rsidR="009A45BB">
        <w:t>efforts</w:t>
      </w:r>
      <w:r>
        <w:t xml:space="preserve"> to sustain livelihoods </w:t>
      </w:r>
      <w:r w:rsidR="00BF35EA">
        <w:t xml:space="preserve">to be </w:t>
      </w:r>
      <w:r>
        <w:t>a problem of contextual constraints such as failing political, economic and judicial institutions.</w:t>
      </w:r>
      <w:r w:rsidR="0035081E">
        <w:rPr>
          <w:rStyle w:val="Voetnootmarkering"/>
        </w:rPr>
        <w:footnoteReference w:id="62"/>
      </w:r>
      <w:r>
        <w:t xml:space="preserve"> </w:t>
      </w:r>
      <w:r w:rsidR="00BF35EA">
        <w:t>Hence, it is not primarily</w:t>
      </w:r>
      <w:r w:rsidR="00EA74A3">
        <w:t xml:space="preserve"> the</w:t>
      </w:r>
      <w:r w:rsidR="00BF35EA">
        <w:t xml:space="preserve"> dissemination of human rights texts that </w:t>
      </w:r>
      <w:r w:rsidR="00834E01">
        <w:t>“</w:t>
      </w:r>
      <w:r w:rsidR="00BF35EA">
        <w:t>the poor</w:t>
      </w:r>
      <w:r w:rsidR="00834E01">
        <w:t>”</w:t>
      </w:r>
      <w:r w:rsidR="00BF35EA">
        <w:t xml:space="preserve"> </w:t>
      </w:r>
      <w:r w:rsidR="000D5138">
        <w:t>require</w:t>
      </w:r>
      <w:r w:rsidR="00BD29B8">
        <w:t>,</w:t>
      </w:r>
      <w:r w:rsidR="00BF35EA">
        <w:t xml:space="preserve"> but</w:t>
      </w:r>
      <w:r w:rsidR="00BD29B8">
        <w:t xml:space="preserve"> also</w:t>
      </w:r>
      <w:r w:rsidR="00BF35EA">
        <w:t xml:space="preserve"> </w:t>
      </w:r>
      <w:r w:rsidR="00310D90">
        <w:t xml:space="preserve">support in </w:t>
      </w:r>
      <w:r w:rsidR="00BF35EA">
        <w:t xml:space="preserve">actual struggles to secure the basic entitlements that human beings </w:t>
      </w:r>
      <w:r w:rsidR="00BD29B8">
        <w:t xml:space="preserve">universally require to survive. </w:t>
      </w:r>
    </w:p>
    <w:p w14:paraId="33781513" w14:textId="77777777" w:rsidR="000D5138" w:rsidRDefault="000D5138" w:rsidP="000D5138">
      <w:pPr>
        <w:jc w:val="both"/>
      </w:pPr>
    </w:p>
    <w:p w14:paraId="7DFBC9BF" w14:textId="54FE1611" w:rsidR="00A86F9D" w:rsidRPr="00FA1A88" w:rsidRDefault="00BF35EA" w:rsidP="005028A4">
      <w:pPr>
        <w:jc w:val="both"/>
        <w:rPr>
          <w:u w:val="single"/>
        </w:rPr>
      </w:pPr>
      <w:r>
        <w:t>In</w:t>
      </w:r>
      <w:r w:rsidR="0060073C">
        <w:t xml:space="preserve"> conclusion, </w:t>
      </w:r>
      <w:r w:rsidR="0035081E" w:rsidRPr="0041145E">
        <w:rPr>
          <w:i/>
        </w:rPr>
        <w:t>equal in rights</w:t>
      </w:r>
      <w:r w:rsidR="0035081E">
        <w:t xml:space="preserve"> is a strong normative statement directly derived from basic human dignity. It </w:t>
      </w:r>
      <w:r w:rsidR="00BA5DEF">
        <w:t>legitimates and supports</w:t>
      </w:r>
      <w:r w:rsidR="0035081E">
        <w:t xml:space="preserve"> struggles against exclusion. In respect of formal equality</w:t>
      </w:r>
      <w:r w:rsidR="00BD29B8">
        <w:t>,</w:t>
      </w:r>
      <w:r w:rsidR="0035081E">
        <w:t xml:space="preserve"> </w:t>
      </w:r>
      <w:r w:rsidR="00834E01">
        <w:t>“</w:t>
      </w:r>
      <w:r w:rsidR="00BA5DEF">
        <w:t>equal in rights</w:t>
      </w:r>
      <w:r w:rsidR="00834E01">
        <w:t>”</w:t>
      </w:r>
      <w:r w:rsidR="0035081E">
        <w:t xml:space="preserve"> </w:t>
      </w:r>
      <w:r w:rsidR="00BA5DEF">
        <w:t>constitutes</w:t>
      </w:r>
      <w:r w:rsidR="0035081E">
        <w:t xml:space="preserve"> a </w:t>
      </w:r>
      <w:r w:rsidR="00BA5DEF">
        <w:t xml:space="preserve">legal </w:t>
      </w:r>
      <w:r w:rsidR="0035081E">
        <w:t xml:space="preserve">precept of equal protection </w:t>
      </w:r>
      <w:r w:rsidR="00BD29B8">
        <w:t>as well as an</w:t>
      </w:r>
      <w:r w:rsidR="0035081E">
        <w:t xml:space="preserve"> injunction </w:t>
      </w:r>
      <w:r w:rsidR="00BA5DEF">
        <w:t>against discrimination. In efforts towards substantive equality</w:t>
      </w:r>
      <w:r w:rsidR="00BD29B8">
        <w:t>,</w:t>
      </w:r>
      <w:r w:rsidR="00BA5DEF">
        <w:t xml:space="preserve"> it </w:t>
      </w:r>
      <w:r w:rsidR="00A07BBB">
        <w:lastRenderedPageBreak/>
        <w:t xml:space="preserve">entails norms and values that may </w:t>
      </w:r>
      <w:r w:rsidR="00BA5DEF">
        <w:t>serve as both legal principle</w:t>
      </w:r>
      <w:r w:rsidR="00A07BBB">
        <w:t>s</w:t>
      </w:r>
      <w:r w:rsidR="00BA5DEF">
        <w:t xml:space="preserve"> in interpretation and principle</w:t>
      </w:r>
      <w:r w:rsidR="00A07BBB">
        <w:t>s</w:t>
      </w:r>
      <w:r w:rsidR="00BA5DEF">
        <w:t xml:space="preserve"> of legitimacy in making and executing policies. In</w:t>
      </w:r>
      <w:r>
        <w:t xml:space="preserve">deed, </w:t>
      </w:r>
      <w:r w:rsidR="00834E01">
        <w:t>“</w:t>
      </w:r>
      <w:r>
        <w:t>equal in rights</w:t>
      </w:r>
      <w:r w:rsidR="00834E01">
        <w:t>”</w:t>
      </w:r>
      <w:r>
        <w:t xml:space="preserve"> </w:t>
      </w:r>
      <w:r w:rsidR="000D5138">
        <w:t xml:space="preserve">may well function as </w:t>
      </w:r>
      <w:r w:rsidR="00310D90">
        <w:t>a crowbar to true universalit</w:t>
      </w:r>
      <w:r w:rsidR="00EA74A3">
        <w:t>y.</w:t>
      </w:r>
    </w:p>
    <w:p w14:paraId="3F77A364" w14:textId="77777777" w:rsidR="00A86F9D" w:rsidRPr="00A86F9D" w:rsidRDefault="00A86F9D" w:rsidP="00400DA9">
      <w:pPr>
        <w:pStyle w:val="textnormal"/>
        <w:spacing w:line="240" w:lineRule="auto"/>
        <w:rPr>
          <w:sz w:val="24"/>
          <w:szCs w:val="24"/>
        </w:rPr>
      </w:pPr>
    </w:p>
    <w:p w14:paraId="6BC408AB" w14:textId="77777777" w:rsidR="00400DA9" w:rsidRPr="00400DA9" w:rsidRDefault="00400DA9" w:rsidP="00A6738E">
      <w:pPr>
        <w:jc w:val="both"/>
        <w:rPr>
          <w:lang w:val="en-GB"/>
        </w:rPr>
      </w:pPr>
    </w:p>
    <w:p w14:paraId="5A8D840D" w14:textId="77777777" w:rsidR="00AF76AC" w:rsidRPr="00400DA9" w:rsidRDefault="00AF76AC" w:rsidP="007B5E44">
      <w:pPr>
        <w:ind w:firstLine="708"/>
        <w:jc w:val="both"/>
        <w:rPr>
          <w:rFonts w:ascii="Georgia" w:hAnsi="Georgia"/>
          <w:color w:val="000000"/>
          <w:sz w:val="22"/>
          <w:szCs w:val="22"/>
          <w:lang w:val="en-GB"/>
        </w:rPr>
      </w:pPr>
    </w:p>
    <w:p w14:paraId="020FD15A" w14:textId="77777777" w:rsidR="00F92926" w:rsidRDefault="00F92926" w:rsidP="00513C3A">
      <w:pPr>
        <w:jc w:val="both"/>
      </w:pPr>
    </w:p>
    <w:p w14:paraId="33DF0904" w14:textId="77777777" w:rsidR="00F92926" w:rsidRDefault="00F92926" w:rsidP="00513C3A">
      <w:pPr>
        <w:jc w:val="both"/>
      </w:pPr>
    </w:p>
    <w:p w14:paraId="0E69B573" w14:textId="77777777" w:rsidR="00B64D7A" w:rsidRDefault="00B64D7A"/>
    <w:sectPr w:rsidR="00B64D7A" w:rsidSect="000307FD">
      <w:footerReference w:type="default" r:id="rId10"/>
      <w:pgSz w:w="11906" w:h="16838"/>
      <w:pgMar w:top="1417" w:right="212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2A91" w14:textId="77777777" w:rsidR="00917E80" w:rsidRDefault="00917E80" w:rsidP="00513C3A">
      <w:r>
        <w:separator/>
      </w:r>
    </w:p>
  </w:endnote>
  <w:endnote w:type="continuationSeparator" w:id="0">
    <w:p w14:paraId="31F7ED06" w14:textId="77777777" w:rsidR="00917E80" w:rsidRDefault="00917E80" w:rsidP="0051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DE49" w14:textId="1EFA4520" w:rsidR="0034620E" w:rsidRDefault="0034620E" w:rsidP="0041145E">
    <w:pPr>
      <w:pStyle w:val="Voettekst"/>
      <w:jc w:val="right"/>
    </w:pPr>
    <w:r>
      <w:t xml:space="preserve">Page </w:t>
    </w:r>
    <w:r>
      <w:fldChar w:fldCharType="begin"/>
    </w:r>
    <w:r>
      <w:instrText xml:space="preserve"> PAGE </w:instrText>
    </w:r>
    <w:r>
      <w:fldChar w:fldCharType="separate"/>
    </w:r>
    <w:r w:rsidR="00794DA9">
      <w:rPr>
        <w:noProof/>
      </w:rPr>
      <w:t>2</w:t>
    </w:r>
    <w:r>
      <w:fldChar w:fldCharType="end"/>
    </w:r>
    <w:r>
      <w:t xml:space="preserve"> of </w:t>
    </w:r>
    <w:r>
      <w:fldChar w:fldCharType="begin"/>
    </w:r>
    <w:r>
      <w:instrText xml:space="preserve"> NUMPAGES </w:instrText>
    </w:r>
    <w:r>
      <w:fldChar w:fldCharType="separate"/>
    </w:r>
    <w:r w:rsidR="00794DA9">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9A9" w14:textId="77777777" w:rsidR="00917E80" w:rsidRDefault="00917E80" w:rsidP="00513C3A">
      <w:r>
        <w:separator/>
      </w:r>
    </w:p>
  </w:footnote>
  <w:footnote w:type="continuationSeparator" w:id="0">
    <w:p w14:paraId="2289B5AA" w14:textId="77777777" w:rsidR="00917E80" w:rsidRDefault="00917E80" w:rsidP="00513C3A">
      <w:r>
        <w:continuationSeparator/>
      </w:r>
    </w:p>
  </w:footnote>
  <w:footnote w:id="1">
    <w:p w14:paraId="3C91E5E4" w14:textId="5C1091F6"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Honorary </w:t>
      </w:r>
      <w:r w:rsidRPr="00F700B8">
        <w:rPr>
          <w:rFonts w:ascii="Times New Roman" w:hAnsi="Times New Roman"/>
          <w:lang w:val="en-GB"/>
        </w:rPr>
        <w:t xml:space="preserve">Chair in Political Economy of Human Rights at Utrecht University. The author wishes to express his sincere gratitude to Kelsi N. Steele MA, intern </w:t>
      </w:r>
      <w:r w:rsidR="00391398">
        <w:rPr>
          <w:rFonts w:ascii="Times New Roman" w:hAnsi="Times New Roman"/>
          <w:lang w:val="en-GB"/>
        </w:rPr>
        <w:t xml:space="preserve">from the University of Cincinnati </w:t>
      </w:r>
      <w:r w:rsidRPr="00F700B8">
        <w:rPr>
          <w:rFonts w:ascii="Times New Roman" w:hAnsi="Times New Roman"/>
          <w:lang w:val="en-GB"/>
        </w:rPr>
        <w:t>at the Netherlands Institute of Human Rights</w:t>
      </w:r>
      <w:r w:rsidR="003F1D6D">
        <w:rPr>
          <w:rFonts w:ascii="Times New Roman" w:hAnsi="Times New Roman"/>
          <w:lang w:val="en-GB"/>
        </w:rPr>
        <w:t>,</w:t>
      </w:r>
      <w:r w:rsidRPr="00F700B8">
        <w:rPr>
          <w:rFonts w:ascii="Times New Roman" w:hAnsi="Times New Roman"/>
          <w:lang w:val="en-GB"/>
        </w:rPr>
        <w:t xml:space="preserve"> for her excellent editorial assistance and her support in finding sources.  All websites were last accessed</w:t>
      </w:r>
      <w:r w:rsidR="003F1D6D">
        <w:rPr>
          <w:rFonts w:ascii="Times New Roman" w:hAnsi="Times New Roman"/>
          <w:lang w:val="en-GB"/>
        </w:rPr>
        <w:t xml:space="preserve"> on</w:t>
      </w:r>
      <w:r w:rsidRPr="00F700B8">
        <w:rPr>
          <w:rFonts w:ascii="Times New Roman" w:hAnsi="Times New Roman"/>
          <w:lang w:val="en-GB"/>
        </w:rPr>
        <w:t xml:space="preserve"> 31</w:t>
      </w:r>
      <w:r w:rsidRPr="00F700B8">
        <w:rPr>
          <w:rFonts w:ascii="Times New Roman" w:hAnsi="Times New Roman"/>
          <w:vertAlign w:val="superscript"/>
          <w:lang w:val="en-GB"/>
        </w:rPr>
        <w:t>st</w:t>
      </w:r>
      <w:r w:rsidRPr="00F700B8">
        <w:rPr>
          <w:rFonts w:ascii="Times New Roman" w:hAnsi="Times New Roman"/>
          <w:lang w:val="en-GB"/>
        </w:rPr>
        <w:t xml:space="preserve"> July 2014, unless otherwise stated.</w:t>
      </w:r>
    </w:p>
  </w:footnote>
  <w:footnote w:id="2">
    <w:p w14:paraId="442D313F"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M.L.P. (Titia) Loenen, Human Rights, Universality and Gender Bias, in </w:t>
      </w:r>
      <w:r w:rsidRPr="00F700B8">
        <w:rPr>
          <w:rFonts w:ascii="Times New Roman" w:hAnsi="Times New Roman"/>
          <w:i/>
        </w:rPr>
        <w:t>Theoretical Foundations of Human Rights (Collected Papers of the Second International Conference on Human Rights 17-18 May 2003)</w:t>
      </w:r>
      <w:r w:rsidRPr="00F700B8">
        <w:rPr>
          <w:rFonts w:ascii="Times New Roman" w:hAnsi="Times New Roman"/>
        </w:rPr>
        <w:t xml:space="preserve">, Qom: </w:t>
      </w:r>
      <w:proofErr w:type="spellStart"/>
      <w:r w:rsidRPr="00F700B8">
        <w:rPr>
          <w:rFonts w:ascii="Times New Roman" w:hAnsi="Times New Roman"/>
        </w:rPr>
        <w:t>Mofid</w:t>
      </w:r>
      <w:proofErr w:type="spellEnd"/>
      <w:r w:rsidRPr="00F700B8">
        <w:rPr>
          <w:rFonts w:ascii="Times New Roman" w:hAnsi="Times New Roman"/>
        </w:rPr>
        <w:t xml:space="preserve"> University 2005, pp. 587-595.</w:t>
      </w:r>
    </w:p>
  </w:footnote>
  <w:footnote w:id="3">
    <w:p w14:paraId="14C71A6D"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Meanwhile, the CEDAW committee has included this under discrimination. See below fn. 9.</w:t>
      </w:r>
    </w:p>
  </w:footnote>
  <w:footnote w:id="4">
    <w:p w14:paraId="354D8796" w14:textId="77777777" w:rsidR="0034620E" w:rsidRPr="00F700B8" w:rsidRDefault="0034620E" w:rsidP="00557D96">
      <w:pPr>
        <w:pStyle w:val="Voetnoottekst"/>
        <w:spacing w:after="0"/>
        <w:jc w:val="both"/>
        <w:rPr>
          <w:rFonts w:ascii="Times New Roman" w:hAnsi="Times New Roman"/>
          <w:lang w:val="en-GB"/>
        </w:rPr>
      </w:pPr>
      <w:r w:rsidRPr="00F700B8">
        <w:rPr>
          <w:rStyle w:val="Voetnootmarkering"/>
          <w:rFonts w:ascii="Times New Roman" w:hAnsi="Times New Roman"/>
        </w:rPr>
        <w:footnoteRef/>
      </w:r>
      <w:r w:rsidRPr="00F700B8">
        <w:rPr>
          <w:rFonts w:ascii="Times New Roman" w:hAnsi="Times New Roman"/>
        </w:rPr>
        <w:t xml:space="preserve"> </w:t>
      </w:r>
      <w:r w:rsidRPr="00F700B8">
        <w:rPr>
          <w:rFonts w:ascii="Times New Roman" w:hAnsi="Times New Roman"/>
          <w:lang w:val="en-GB"/>
        </w:rPr>
        <w:t xml:space="preserve">De Gaay Fortman, B., </w:t>
      </w:r>
      <w:r w:rsidRPr="00F700B8">
        <w:rPr>
          <w:rFonts w:ascii="Times New Roman" w:hAnsi="Times New Roman"/>
          <w:i/>
          <w:lang w:val="en-GB"/>
        </w:rPr>
        <w:t>Political Economy of Human Rights: Rights, Realities and Realization</w:t>
      </w:r>
      <w:r w:rsidRPr="00F700B8">
        <w:rPr>
          <w:rFonts w:ascii="Times New Roman" w:hAnsi="Times New Roman"/>
          <w:lang w:val="en-GB"/>
        </w:rPr>
        <w:t>, (Routledge, Abingdon, Oxon, 2011).</w:t>
      </w:r>
    </w:p>
    <w:p w14:paraId="7A5763F9" w14:textId="77777777" w:rsidR="0034620E" w:rsidRPr="00F700B8" w:rsidRDefault="0034620E" w:rsidP="00557D96">
      <w:pPr>
        <w:pStyle w:val="Voetnoottekst"/>
        <w:spacing w:after="0"/>
        <w:jc w:val="both"/>
        <w:rPr>
          <w:rFonts w:ascii="Times New Roman" w:hAnsi="Times New Roman"/>
          <w:lang w:val="en-GB"/>
        </w:rPr>
      </w:pPr>
    </w:p>
  </w:footnote>
  <w:footnote w:id="5">
    <w:p w14:paraId="05A34989" w14:textId="41EE2468" w:rsidR="0034620E" w:rsidRPr="00A71B1D" w:rsidRDefault="0034620E" w:rsidP="00557D96">
      <w:pPr>
        <w:pStyle w:val="Voetnoottekst"/>
        <w:spacing w:line="240" w:lineRule="auto"/>
        <w:jc w:val="both"/>
        <w:rPr>
          <w:rFonts w:ascii="Times New Roman" w:hAnsi="Times New Roman"/>
          <w:lang w:val="es-AR"/>
        </w:rPr>
      </w:pPr>
      <w:r w:rsidRPr="00F700B8">
        <w:rPr>
          <w:rStyle w:val="Voetnootmarkering"/>
          <w:rFonts w:ascii="Times New Roman" w:hAnsi="Times New Roman"/>
        </w:rPr>
        <w:footnoteRef/>
      </w:r>
      <w:r w:rsidRPr="00A71B1D">
        <w:rPr>
          <w:rFonts w:ascii="Times New Roman" w:hAnsi="Times New Roman"/>
          <w:lang w:val="es-AR"/>
        </w:rPr>
        <w:t xml:space="preserve"> Supra, fn. </w:t>
      </w:r>
      <w:r w:rsidRPr="00DE6322">
        <w:rPr>
          <w:rFonts w:ascii="Times New Roman" w:hAnsi="Times New Roman"/>
          <w:lang w:val="es-AR"/>
        </w:rPr>
        <w:t>2</w:t>
      </w:r>
      <w:r w:rsidRPr="00A71B1D">
        <w:rPr>
          <w:rFonts w:ascii="Times New Roman" w:hAnsi="Times New Roman"/>
          <w:lang w:val="es-AR"/>
        </w:rPr>
        <w:t>, p. 593.</w:t>
      </w:r>
    </w:p>
  </w:footnote>
  <w:footnote w:id="6">
    <w:p w14:paraId="6448CCD5" w14:textId="67F77083" w:rsidR="0034620E" w:rsidRPr="00A71B1D" w:rsidRDefault="0034620E" w:rsidP="00557D96">
      <w:pPr>
        <w:pStyle w:val="Voetnoottekst"/>
        <w:spacing w:line="240" w:lineRule="auto"/>
        <w:jc w:val="both"/>
        <w:rPr>
          <w:rFonts w:ascii="Times New Roman" w:hAnsi="Times New Roman"/>
          <w:lang w:val="es-AR"/>
        </w:rPr>
      </w:pPr>
      <w:r w:rsidRPr="00F700B8">
        <w:rPr>
          <w:rStyle w:val="Voetnootmarkering"/>
          <w:rFonts w:ascii="Times New Roman" w:hAnsi="Times New Roman"/>
        </w:rPr>
        <w:footnoteRef/>
      </w:r>
      <w:r w:rsidRPr="00A71B1D">
        <w:rPr>
          <w:rFonts w:ascii="Times New Roman" w:hAnsi="Times New Roman"/>
          <w:lang w:val="es-AR"/>
        </w:rPr>
        <w:t xml:space="preserve"> </w:t>
      </w:r>
      <w:r w:rsidRPr="0083447C">
        <w:rPr>
          <w:rFonts w:ascii="Times New Roman" w:hAnsi="Times New Roman"/>
          <w:i/>
          <w:lang w:val="es-AR"/>
        </w:rPr>
        <w:t>I</w:t>
      </w:r>
      <w:r w:rsidRPr="00A71B1D">
        <w:rPr>
          <w:rFonts w:ascii="Times New Roman" w:hAnsi="Times New Roman"/>
          <w:i/>
          <w:lang w:val="es-AR"/>
        </w:rPr>
        <w:t>d</w:t>
      </w:r>
      <w:r w:rsidRPr="00A71B1D">
        <w:rPr>
          <w:rFonts w:ascii="Times New Roman" w:hAnsi="Times New Roman"/>
          <w:lang w:val="es-AR"/>
        </w:rPr>
        <w:t xml:space="preserve">, p. 589. </w:t>
      </w:r>
    </w:p>
  </w:footnote>
  <w:footnote w:id="7">
    <w:p w14:paraId="57E6ECD5"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Ivana </w:t>
      </w:r>
      <w:proofErr w:type="spellStart"/>
      <w:r w:rsidRPr="00F700B8">
        <w:rPr>
          <w:rFonts w:ascii="Times New Roman" w:hAnsi="Times New Roman"/>
        </w:rPr>
        <w:t>Radačić</w:t>
      </w:r>
      <w:proofErr w:type="spellEnd"/>
      <w:r w:rsidRPr="00F700B8">
        <w:rPr>
          <w:rFonts w:ascii="Times New Roman" w:hAnsi="Times New Roman"/>
        </w:rPr>
        <w:t xml:space="preserve">, “Human rights of women and the public/private divide in international human rights law,” </w:t>
      </w:r>
      <w:r w:rsidRPr="00F700B8">
        <w:rPr>
          <w:rFonts w:ascii="Times New Roman" w:hAnsi="Times New Roman"/>
          <w:i/>
        </w:rPr>
        <w:t>Croatian Yearbook of European Law and Policy</w:t>
      </w:r>
      <w:r w:rsidRPr="00F700B8">
        <w:rPr>
          <w:rFonts w:ascii="Times New Roman" w:hAnsi="Times New Roman"/>
        </w:rPr>
        <w:t xml:space="preserve">, 3: 2007, pp. 443-468. </w:t>
      </w:r>
    </w:p>
  </w:footnote>
  <w:footnote w:id="8">
    <w:p w14:paraId="51187EF8" w14:textId="1AA43D6A"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Supra, fn. </w:t>
      </w:r>
      <w:r>
        <w:rPr>
          <w:rFonts w:ascii="Times New Roman" w:hAnsi="Times New Roman"/>
        </w:rPr>
        <w:t>2</w:t>
      </w:r>
      <w:r w:rsidRPr="00F700B8">
        <w:rPr>
          <w:rFonts w:ascii="Times New Roman" w:hAnsi="Times New Roman"/>
        </w:rPr>
        <w:t xml:space="preserve">, p. 591.   </w:t>
      </w:r>
    </w:p>
  </w:footnote>
  <w:footnote w:id="9">
    <w:p w14:paraId="746EC156" w14:textId="29D4CD99" w:rsidR="0034620E" w:rsidRPr="00954B19" w:rsidRDefault="0034620E" w:rsidP="00557D96">
      <w:pPr>
        <w:pStyle w:val="Voetnoottekst"/>
        <w:jc w:val="both"/>
        <w:rPr>
          <w:rFonts w:ascii="Times New Roman" w:hAnsi="Times New Roman"/>
        </w:rPr>
      </w:pPr>
      <w:r w:rsidRPr="00954B19">
        <w:rPr>
          <w:rStyle w:val="Voetnootmarkering"/>
          <w:rFonts w:ascii="Times New Roman" w:hAnsi="Times New Roman"/>
        </w:rPr>
        <w:footnoteRef/>
      </w:r>
      <w:r w:rsidRPr="00954B19">
        <w:rPr>
          <w:rFonts w:ascii="Times New Roman" w:hAnsi="Times New Roman"/>
        </w:rPr>
        <w:t xml:space="preserve"> </w:t>
      </w:r>
      <w:r w:rsidRPr="000307FD">
        <w:rPr>
          <w:rFonts w:ascii="Times New Roman" w:hAnsi="Times New Roman"/>
          <w:i/>
        </w:rPr>
        <w:t>I</w:t>
      </w:r>
      <w:r w:rsidRPr="00A71B1D">
        <w:rPr>
          <w:rFonts w:ascii="Times New Roman" w:hAnsi="Times New Roman"/>
          <w:i/>
        </w:rPr>
        <w:t>d</w:t>
      </w:r>
      <w:r w:rsidRPr="00954B19">
        <w:rPr>
          <w:rFonts w:ascii="Times New Roman" w:hAnsi="Times New Roman"/>
        </w:rPr>
        <w:t>.</w:t>
      </w:r>
    </w:p>
  </w:footnote>
  <w:footnote w:id="10">
    <w:p w14:paraId="33CBD6E5"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UN General Assembly, “Declaration on the Elimination of Violence against Women,” A/RES/48/104, 20 December 1993, available at </w:t>
      </w:r>
      <w:hyperlink r:id="rId1" w:history="1">
        <w:r w:rsidRPr="00F700B8">
          <w:rPr>
            <w:rStyle w:val="Hyperlink"/>
          </w:rPr>
          <w:t>http://www.un.org/documents/ga/res/48/a48r104.htm</w:t>
        </w:r>
      </w:hyperlink>
      <w:r w:rsidRPr="00F700B8">
        <w:rPr>
          <w:rFonts w:ascii="Times New Roman" w:hAnsi="Times New Roman"/>
        </w:rPr>
        <w:t xml:space="preserve">. </w:t>
      </w:r>
    </w:p>
  </w:footnote>
  <w:footnote w:id="11">
    <w:p w14:paraId="2DFFF120"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CEDAW, “Violence against women,” General Recommendation No. 12 (eighth session, 1989) and General Recommendation No. 19 (</w:t>
      </w:r>
      <w:proofErr w:type="spellStart"/>
      <w:r w:rsidRPr="00F700B8">
        <w:rPr>
          <w:rFonts w:ascii="Times New Roman" w:hAnsi="Times New Roman"/>
        </w:rPr>
        <w:t>llth</w:t>
      </w:r>
      <w:proofErr w:type="spellEnd"/>
      <w:r w:rsidRPr="00F700B8">
        <w:rPr>
          <w:rFonts w:ascii="Times New Roman" w:hAnsi="Times New Roman"/>
        </w:rPr>
        <w:t xml:space="preserve"> session, 1992), available at </w:t>
      </w:r>
      <w:hyperlink r:id="rId2" w:history="1">
        <w:r w:rsidRPr="00F700B8">
          <w:rPr>
            <w:rStyle w:val="Hyperlink"/>
          </w:rPr>
          <w:t>http://www.un.org/womenwatch/daw/cedaw/recommendations/recomm.htm</w:t>
        </w:r>
      </w:hyperlink>
      <w:r w:rsidRPr="00F700B8">
        <w:rPr>
          <w:rFonts w:ascii="Times New Roman" w:hAnsi="Times New Roman"/>
        </w:rPr>
        <w:t xml:space="preserve">. </w:t>
      </w:r>
    </w:p>
  </w:footnote>
  <w:footnote w:id="12">
    <w:p w14:paraId="4ED21B9C" w14:textId="63E02200"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Supra, fn. </w:t>
      </w:r>
      <w:r>
        <w:rPr>
          <w:rFonts w:ascii="Times New Roman" w:hAnsi="Times New Roman"/>
        </w:rPr>
        <w:t>2</w:t>
      </w:r>
      <w:r w:rsidRPr="00F700B8">
        <w:rPr>
          <w:rFonts w:ascii="Times New Roman" w:hAnsi="Times New Roman"/>
        </w:rPr>
        <w:t xml:space="preserve">, p. 594. </w:t>
      </w:r>
    </w:p>
  </w:footnote>
  <w:footnote w:id="13">
    <w:p w14:paraId="06A14306" w14:textId="5625256F" w:rsidR="0034620E" w:rsidRPr="00F700B8" w:rsidRDefault="0034620E" w:rsidP="00557D96">
      <w:pPr>
        <w:jc w:val="both"/>
      </w:pPr>
      <w:r w:rsidRPr="0062195C">
        <w:rPr>
          <w:rStyle w:val="Voetnootmarkering"/>
          <w:sz w:val="20"/>
          <w:szCs w:val="20"/>
        </w:rPr>
        <w:footnoteRef/>
      </w:r>
      <w:r w:rsidRPr="0062195C">
        <w:rPr>
          <w:sz w:val="20"/>
          <w:szCs w:val="20"/>
        </w:rPr>
        <w:t xml:space="preserve"> Several treaty-based committees have recognized the necessity of equality, but the result of all these expressions of equality in the Committees’ Comments has been extensive rhetorical </w:t>
      </w:r>
      <w:r w:rsidRPr="009607AB">
        <w:rPr>
          <w:sz w:val="20"/>
          <w:szCs w:val="20"/>
        </w:rPr>
        <w:t xml:space="preserve">output with essentially no implemented outcomes. The ESCR Committee asserts that women have an equal right to </w:t>
      </w:r>
      <w:r w:rsidR="003F1D6D">
        <w:rPr>
          <w:sz w:val="20"/>
          <w:szCs w:val="20"/>
        </w:rPr>
        <w:t xml:space="preserve">the </w:t>
      </w:r>
      <w:r w:rsidRPr="009607AB">
        <w:rPr>
          <w:sz w:val="20"/>
          <w:szCs w:val="20"/>
        </w:rPr>
        <w:t xml:space="preserve">enjoyment of rights stating, “these may include the adoption of temporary special measures to accelerate women’s equal enjoyment of their rights, </w:t>
      </w:r>
      <w:r w:rsidRPr="001559BE">
        <w:rPr>
          <w:sz w:val="20"/>
          <w:szCs w:val="20"/>
        </w:rPr>
        <w:t>gender audits, and gender-specific allocation of resources.” (CESCR, General comment No. 16,  “The equal right of men and women to the enjoyment of all economic, social and cultural rights,” (2005)</w:t>
      </w:r>
      <w:r w:rsidR="003F1D6D">
        <w:rPr>
          <w:sz w:val="20"/>
          <w:szCs w:val="20"/>
        </w:rPr>
        <w:t>)</w:t>
      </w:r>
      <w:r w:rsidRPr="001559BE">
        <w:rPr>
          <w:sz w:val="20"/>
          <w:szCs w:val="20"/>
        </w:rPr>
        <w:t>.</w:t>
      </w:r>
      <w:r w:rsidRPr="000307FD">
        <w:rPr>
          <w:sz w:val="20"/>
          <w:szCs w:val="20"/>
        </w:rPr>
        <w:t xml:space="preserve"> </w:t>
      </w:r>
      <w:r w:rsidR="0062195C" w:rsidRPr="00A71B1D">
        <w:rPr>
          <w:sz w:val="20"/>
          <w:szCs w:val="20"/>
        </w:rPr>
        <w:t xml:space="preserve">Apparently, it </w:t>
      </w:r>
      <w:r w:rsidRPr="00954B19">
        <w:rPr>
          <w:sz w:val="20"/>
          <w:szCs w:val="20"/>
        </w:rPr>
        <w:t xml:space="preserve"> is </w:t>
      </w:r>
      <w:r w:rsidR="0062195C">
        <w:rPr>
          <w:sz w:val="20"/>
          <w:szCs w:val="20"/>
        </w:rPr>
        <w:t xml:space="preserve">considered </w:t>
      </w:r>
      <w:r w:rsidRPr="00954B19">
        <w:rPr>
          <w:sz w:val="20"/>
          <w:szCs w:val="20"/>
        </w:rPr>
        <w:t xml:space="preserve">not enough that women are equal in rights, </w:t>
      </w:r>
      <w:r w:rsidR="0062195C">
        <w:rPr>
          <w:sz w:val="20"/>
          <w:szCs w:val="20"/>
        </w:rPr>
        <w:t>so</w:t>
      </w:r>
      <w:r w:rsidRPr="00954B19">
        <w:rPr>
          <w:sz w:val="20"/>
          <w:szCs w:val="20"/>
        </w:rPr>
        <w:t xml:space="preserve"> the Committee renders this principle hollow by claiming that women are also entitled to “equal enjoyment of rights.” If women are already equal in rights, then why must they also have an equal right to the enjoyment of them? Parsing out equality to such a</w:t>
      </w:r>
      <w:r>
        <w:rPr>
          <w:sz w:val="20"/>
          <w:szCs w:val="20"/>
        </w:rPr>
        <w:t xml:space="preserve">n extent </w:t>
      </w:r>
      <w:r w:rsidRPr="00954B19">
        <w:rPr>
          <w:sz w:val="20"/>
          <w:szCs w:val="20"/>
        </w:rPr>
        <w:t>has the opposite effect of promoting equality – but creates a false division that sanctions difference – thereby justifying inequality and perpetuating the status quo. Similarly, the CEDAW Committee affirmed “the equality of human rights for women and men in society and in the family,” and that variations in laws may have the impact of  “restricting [women’s] rights to equal status and responsibility within marriage.” (CEDAW, General Recommendation No. 21, “Equality in marriage and family relations, (1994)</w:t>
      </w:r>
      <w:r w:rsidR="003F1D6D">
        <w:rPr>
          <w:sz w:val="20"/>
          <w:szCs w:val="20"/>
        </w:rPr>
        <w:t>)</w:t>
      </w:r>
      <w:r w:rsidRPr="00954B19">
        <w:rPr>
          <w:sz w:val="20"/>
          <w:szCs w:val="20"/>
        </w:rPr>
        <w:t>. The CAT Committee emphasized that “…equal weight to the testimony of women and girls” should be afforded during judicial proceedings and that vulnerable groups, including LGBT “…people, must be treated fairly and equally…” (CAT, General comment No. 3, “Implementation of article 14 by States parties,” (2012)</w:t>
      </w:r>
      <w:r w:rsidR="003F1D6D">
        <w:rPr>
          <w:sz w:val="20"/>
          <w:szCs w:val="20"/>
        </w:rPr>
        <w:t>)</w:t>
      </w:r>
      <w:r>
        <w:rPr>
          <w:sz w:val="20"/>
          <w:szCs w:val="20"/>
        </w:rPr>
        <w:t>.</w:t>
      </w:r>
      <w:r w:rsidRPr="00954B19">
        <w:rPr>
          <w:b/>
          <w:sz w:val="20"/>
          <w:szCs w:val="20"/>
        </w:rPr>
        <w:t xml:space="preserve"> </w:t>
      </w:r>
      <w:r w:rsidRPr="00954B19">
        <w:rPr>
          <w:sz w:val="20"/>
          <w:szCs w:val="20"/>
        </w:rPr>
        <w:t>The CRC Committee expressed concern “…about the difficulties faced by particular categories of children in relation to enjoyment and conditions of equality of the rights defined in article 31, especially girls, poor children, children with disabilities, indigenous children, children belonging to minorities, among others.” (CRC, General comment No. 17, “The right of the child to rest, leisure, play, recreational activities, cultural life and the arts,” (2013)</w:t>
      </w:r>
      <w:r w:rsidR="003F1D6D">
        <w:rPr>
          <w:sz w:val="20"/>
          <w:szCs w:val="20"/>
        </w:rPr>
        <w:t>)</w:t>
      </w:r>
      <w:r>
        <w:rPr>
          <w:sz w:val="20"/>
          <w:szCs w:val="20"/>
        </w:rPr>
        <w:t>,</w:t>
      </w:r>
      <w:r w:rsidRPr="00954B19">
        <w:rPr>
          <w:sz w:val="20"/>
          <w:szCs w:val="20"/>
        </w:rPr>
        <w:t xml:space="preserve"> The CMW Committee acknowledged the right of migrants to “…enjoy equal treatment to that of nationals in respect of remuneration, other conditions of work and terms of employment.”</w:t>
      </w:r>
      <w:r w:rsidRPr="00954B19">
        <w:rPr>
          <w:b/>
          <w:sz w:val="20"/>
          <w:szCs w:val="20"/>
        </w:rPr>
        <w:t xml:space="preserve"> </w:t>
      </w:r>
      <w:r w:rsidRPr="00954B19">
        <w:rPr>
          <w:sz w:val="20"/>
          <w:szCs w:val="20"/>
        </w:rPr>
        <w:t>They further explained that “[t]he equal treatment principle also covers any other matter that, according to national law and practice, is considered a working condition or term of employment, such as maternity protection.”</w:t>
      </w:r>
      <w:r w:rsidRPr="00954B19">
        <w:rPr>
          <w:rStyle w:val="Voetnootmarkering"/>
          <w:sz w:val="20"/>
          <w:szCs w:val="20"/>
        </w:rPr>
        <w:t xml:space="preserve"> </w:t>
      </w:r>
      <w:r w:rsidRPr="00954B19">
        <w:rPr>
          <w:sz w:val="20"/>
          <w:szCs w:val="20"/>
        </w:rPr>
        <w:t>(CMW, General comment No. 2, “The rights of migrant workers in an irregular situation and members of their families,” (2013)</w:t>
      </w:r>
      <w:r w:rsidR="003F1D6D">
        <w:rPr>
          <w:sz w:val="20"/>
          <w:szCs w:val="20"/>
        </w:rPr>
        <w:t>)</w:t>
      </w:r>
      <w:r>
        <w:rPr>
          <w:sz w:val="20"/>
          <w:szCs w:val="20"/>
        </w:rPr>
        <w:t>.</w:t>
      </w:r>
      <w:r w:rsidRPr="00954B19">
        <w:rPr>
          <w:b/>
          <w:sz w:val="20"/>
          <w:szCs w:val="20"/>
        </w:rPr>
        <w:t xml:space="preserve"> </w:t>
      </w:r>
      <w:r w:rsidRPr="00954B19">
        <w:rPr>
          <w:sz w:val="20"/>
          <w:szCs w:val="20"/>
        </w:rPr>
        <w:t xml:space="preserve"> The CRPD even redundantly recognized previous comments, stating “[t]he Universal Declaration of Human Rights, the International Covenant on Civil and Political Rights and the Convention on the Rights of Persons with Disabilities each specify that the right to equal recognition before the law is operative “everywhere.” (CRPD General comment No.1, “Article 12: Equal recognition before the law,” (2014)</w:t>
      </w:r>
      <w:r w:rsidR="003F1D6D">
        <w:rPr>
          <w:sz w:val="20"/>
          <w:szCs w:val="20"/>
        </w:rPr>
        <w:t>)</w:t>
      </w:r>
      <w:r w:rsidRPr="00954B19">
        <w:rPr>
          <w:sz w:val="20"/>
          <w:szCs w:val="20"/>
        </w:rPr>
        <w:t xml:space="preserve">. </w:t>
      </w:r>
    </w:p>
    <w:p w14:paraId="6116315E" w14:textId="77777777" w:rsidR="0034620E" w:rsidRPr="00F700B8" w:rsidRDefault="0034620E" w:rsidP="00557D96">
      <w:pPr>
        <w:jc w:val="both"/>
      </w:pPr>
    </w:p>
  </w:footnote>
  <w:footnote w:id="14">
    <w:p w14:paraId="6D7A1858" w14:textId="020D1BE8" w:rsidR="0034620E" w:rsidRPr="001D540F"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Cf. Rudolph Von </w:t>
      </w:r>
      <w:proofErr w:type="spellStart"/>
      <w:r w:rsidRPr="00F700B8">
        <w:rPr>
          <w:rFonts w:ascii="Times New Roman" w:hAnsi="Times New Roman"/>
        </w:rPr>
        <w:t>Ihering</w:t>
      </w:r>
      <w:proofErr w:type="spellEnd"/>
      <w:r w:rsidRPr="00F700B8">
        <w:rPr>
          <w:rFonts w:ascii="Times New Roman" w:hAnsi="Times New Roman"/>
        </w:rPr>
        <w:t xml:space="preserve">, </w:t>
      </w:r>
      <w:r w:rsidRPr="00963C00">
        <w:rPr>
          <w:rFonts w:ascii="Times New Roman" w:hAnsi="Times New Roman"/>
          <w:i/>
        </w:rPr>
        <w:t>Law as a Means to an End</w:t>
      </w:r>
      <w:r w:rsidRPr="001D540F">
        <w:rPr>
          <w:rFonts w:ascii="Times New Roman" w:hAnsi="Times New Roman"/>
        </w:rPr>
        <w:t>, (New York: Macmillan, 1913), pp. 49-50.</w:t>
      </w:r>
    </w:p>
  </w:footnote>
  <w:footnote w:id="15">
    <w:p w14:paraId="5F108FB2" w14:textId="02BC80D5" w:rsidR="009607AB" w:rsidRPr="000307FD" w:rsidRDefault="009607AB" w:rsidP="00557D96">
      <w:pPr>
        <w:pStyle w:val="Voetnoottekst"/>
        <w:jc w:val="both"/>
        <w:rPr>
          <w:rFonts w:ascii="Times New Roman" w:hAnsi="Times New Roman"/>
        </w:rPr>
      </w:pPr>
      <w:r w:rsidRPr="00A71B1D">
        <w:rPr>
          <w:rStyle w:val="Voetnootmarkering"/>
          <w:rFonts w:ascii="Times New Roman" w:hAnsi="Times New Roman"/>
        </w:rPr>
        <w:footnoteRef/>
      </w:r>
      <w:r w:rsidRPr="00A71B1D">
        <w:rPr>
          <w:rFonts w:ascii="Times New Roman" w:hAnsi="Times New Roman"/>
        </w:rPr>
        <w:t xml:space="preserve"> Typically,</w:t>
      </w:r>
      <w:r>
        <w:rPr>
          <w:rFonts w:ascii="Times New Roman" w:hAnsi="Times New Roman"/>
        </w:rPr>
        <w:t xml:space="preserve"> in the United </w:t>
      </w:r>
      <w:r w:rsidRPr="009607AB">
        <w:rPr>
          <w:rFonts w:ascii="Times New Roman" w:hAnsi="Times New Roman"/>
        </w:rPr>
        <w:t xml:space="preserve">States </w:t>
      </w:r>
      <w:r w:rsidR="003F1D6D">
        <w:rPr>
          <w:rFonts w:ascii="Times New Roman" w:hAnsi="Times New Roman"/>
        </w:rPr>
        <w:t>t</w:t>
      </w:r>
      <w:r w:rsidRPr="00A71B1D">
        <w:rPr>
          <w:rFonts w:ascii="Times New Roman" w:hAnsi="Times New Roman"/>
          <w:color w:val="000000"/>
        </w:rPr>
        <w:t xml:space="preserve">he </w:t>
      </w:r>
      <w:r>
        <w:rPr>
          <w:rFonts w:ascii="Times New Roman" w:hAnsi="Times New Roman"/>
          <w:color w:val="000000"/>
        </w:rPr>
        <w:t>“</w:t>
      </w:r>
      <w:r w:rsidRPr="00A71B1D">
        <w:rPr>
          <w:rFonts w:ascii="Times New Roman" w:hAnsi="Times New Roman"/>
          <w:color w:val="000000"/>
        </w:rPr>
        <w:t>Right to Work principle</w:t>
      </w:r>
      <w:r>
        <w:rPr>
          <w:rFonts w:ascii="Times New Roman" w:hAnsi="Times New Roman"/>
          <w:color w:val="000000"/>
        </w:rPr>
        <w:t>”</w:t>
      </w:r>
      <w:r w:rsidR="00D7051E">
        <w:rPr>
          <w:rFonts w:ascii="Times New Roman" w:hAnsi="Times New Roman"/>
          <w:color w:val="000000"/>
        </w:rPr>
        <w:t>,</w:t>
      </w:r>
      <w:r w:rsidRPr="00A71B1D">
        <w:rPr>
          <w:rFonts w:ascii="Times New Roman" w:hAnsi="Times New Roman"/>
          <w:color w:val="000000"/>
        </w:rPr>
        <w:t xml:space="preserve"> </w:t>
      </w:r>
      <w:r w:rsidR="003F1D6D">
        <w:rPr>
          <w:rFonts w:ascii="Times New Roman" w:hAnsi="Times New Roman"/>
          <w:color w:val="000000"/>
        </w:rPr>
        <w:t xml:space="preserve">a </w:t>
      </w:r>
      <w:r w:rsidRPr="00A71B1D">
        <w:rPr>
          <w:rFonts w:ascii="Times New Roman" w:hAnsi="Times New Roman"/>
          <w:color w:val="000000"/>
        </w:rPr>
        <w:t>guiding concept of the National Right to Work Legal Defense Foundation</w:t>
      </w:r>
      <w:r w:rsidR="00D7051E">
        <w:rPr>
          <w:rFonts w:ascii="Times New Roman" w:hAnsi="Times New Roman"/>
          <w:color w:val="000000"/>
        </w:rPr>
        <w:t>,</w:t>
      </w:r>
      <w:r w:rsidR="00D7051E" w:rsidRPr="00D7051E">
        <w:rPr>
          <w:rFonts w:ascii="Times New Roman" w:hAnsi="Times New Roman"/>
          <w:color w:val="000000"/>
        </w:rPr>
        <w:t xml:space="preserve"> </w:t>
      </w:r>
      <w:r w:rsidRPr="00A71B1D">
        <w:rPr>
          <w:rFonts w:ascii="Times New Roman" w:hAnsi="Times New Roman"/>
          <w:color w:val="000000"/>
        </w:rPr>
        <w:t>affirms the right of every American to work for a living without being compelled to belong to a union.</w:t>
      </w:r>
      <w:r w:rsidRPr="00A71B1D">
        <w:rPr>
          <w:rFonts w:ascii="Times New Roman" w:hAnsi="Times New Roman"/>
        </w:rPr>
        <w:t xml:space="preserve"> </w:t>
      </w:r>
      <w:r w:rsidR="001559BE" w:rsidRPr="001559BE">
        <w:rPr>
          <w:rFonts w:ascii="Times New Roman" w:hAnsi="Times New Roman"/>
        </w:rPr>
        <w:t xml:space="preserve">Thus, </w:t>
      </w:r>
      <w:r w:rsidR="001559BE">
        <w:rPr>
          <w:rFonts w:ascii="Times New Roman" w:hAnsi="Times New Roman"/>
        </w:rPr>
        <w:t>“</w:t>
      </w:r>
      <w:r w:rsidR="001559BE" w:rsidRPr="00A71B1D">
        <w:rPr>
          <w:rFonts w:ascii="Times New Roman" w:hAnsi="Times New Roman"/>
          <w:color w:val="000000"/>
        </w:rPr>
        <w:t>Right to Work law</w:t>
      </w:r>
      <w:r w:rsidR="001559BE">
        <w:rPr>
          <w:rFonts w:ascii="Times New Roman" w:hAnsi="Times New Roman"/>
          <w:color w:val="000000"/>
        </w:rPr>
        <w:t xml:space="preserve">s”, as have been enacted in 24 </w:t>
      </w:r>
      <w:r w:rsidR="001559BE" w:rsidRPr="00A71B1D">
        <w:rPr>
          <w:rFonts w:ascii="Times New Roman" w:hAnsi="Times New Roman"/>
          <w:color w:val="000000"/>
        </w:rPr>
        <w:t xml:space="preserve"> </w:t>
      </w:r>
      <w:r w:rsidR="001559BE">
        <w:rPr>
          <w:rFonts w:ascii="Times New Roman" w:hAnsi="Times New Roman"/>
          <w:color w:val="000000"/>
        </w:rPr>
        <w:t>states, in line with section 14 (b) of the Taft-</w:t>
      </w:r>
      <w:proofErr w:type="spellStart"/>
      <w:r w:rsidR="001559BE">
        <w:rPr>
          <w:rFonts w:ascii="Times New Roman" w:hAnsi="Times New Roman"/>
          <w:color w:val="000000"/>
        </w:rPr>
        <w:t>Heartly</w:t>
      </w:r>
      <w:proofErr w:type="spellEnd"/>
      <w:r w:rsidR="001559BE">
        <w:rPr>
          <w:rFonts w:ascii="Times New Roman" w:hAnsi="Times New Roman"/>
          <w:color w:val="000000"/>
        </w:rPr>
        <w:t xml:space="preserve"> Act </w:t>
      </w:r>
      <w:r w:rsidR="00D7051E">
        <w:rPr>
          <w:rFonts w:ascii="Times New Roman" w:hAnsi="Times New Roman"/>
          <w:color w:val="000000"/>
        </w:rPr>
        <w:t xml:space="preserve">rather than guaranteeing employment </w:t>
      </w:r>
      <w:r w:rsidR="001559BE">
        <w:rPr>
          <w:rFonts w:ascii="Times New Roman" w:hAnsi="Times New Roman"/>
          <w:color w:val="000000"/>
        </w:rPr>
        <w:t xml:space="preserve">just </w:t>
      </w:r>
      <w:r w:rsidR="001559BE" w:rsidRPr="00A71B1D">
        <w:rPr>
          <w:rFonts w:ascii="Times New Roman" w:hAnsi="Times New Roman"/>
          <w:color w:val="000000"/>
        </w:rPr>
        <w:t xml:space="preserve">guarantee that </w:t>
      </w:r>
      <w:r w:rsidR="001559BE">
        <w:rPr>
          <w:rFonts w:ascii="Times New Roman" w:hAnsi="Times New Roman"/>
          <w:color w:val="000000"/>
        </w:rPr>
        <w:t>“</w:t>
      </w:r>
      <w:r w:rsidR="001559BE" w:rsidRPr="00A71B1D">
        <w:rPr>
          <w:rFonts w:ascii="Times New Roman" w:hAnsi="Times New Roman"/>
          <w:color w:val="000000"/>
        </w:rPr>
        <w:t>no person can be compelled, as a condition of employment, to join or not to join, nor to pay dues to a labor union</w:t>
      </w:r>
      <w:r w:rsidR="001559BE">
        <w:rPr>
          <w:rFonts w:ascii="Times New Roman" w:hAnsi="Times New Roman"/>
          <w:color w:val="000000"/>
        </w:rPr>
        <w:t xml:space="preserve">”. </w:t>
      </w:r>
    </w:p>
  </w:footnote>
  <w:footnote w:id="16">
    <w:p w14:paraId="187744F5" w14:textId="44BECB0F" w:rsidR="0034620E" w:rsidRPr="0070004A" w:rsidRDefault="0034620E" w:rsidP="00557D96">
      <w:pPr>
        <w:pStyle w:val="Tekstopmerking"/>
        <w:jc w:val="both"/>
      </w:pPr>
      <w:r w:rsidRPr="004B3803">
        <w:rPr>
          <w:rStyle w:val="Voetnootmarkering"/>
        </w:rPr>
        <w:footnoteRef/>
      </w:r>
      <w:r w:rsidRPr="004B3803">
        <w:t xml:space="preserve"> In 1848, women and men (Frederick Douglass, for one, attended) who were working on abolition also held a conference regarding women’s issues, which resulted in “The Declaration of Sentiments, Seneca Falls Conference, 1848” where they re-wrote the Declaration of Independence to include w</w:t>
      </w:r>
      <w:r w:rsidRPr="0070004A">
        <w:t>omen as follows:</w:t>
      </w:r>
    </w:p>
    <w:p w14:paraId="4897E1AB" w14:textId="533449D3" w:rsidR="00557D96" w:rsidRDefault="0034620E" w:rsidP="00557D96">
      <w:pPr>
        <w:pStyle w:val="Tekstopmerking"/>
        <w:jc w:val="both"/>
      </w:pPr>
      <w:r w:rsidRPr="00001CD0">
        <w:rPr>
          <w:rStyle w:val="hbodytext1"/>
          <w:rFonts w:ascii="Times New Roman" w:hAnsi="Times New Roman" w:cs="Times New Roman"/>
          <w:sz w:val="20"/>
          <w:szCs w:val="20"/>
        </w:rPr>
        <w:t>“We hold these truths to be self-evident: that all men and women are created equal; that they are endowed by their Creator with certain inalienable rights; that among these are life, liberty, and the pursuit of happiness; that to secure t</w:t>
      </w:r>
      <w:r w:rsidRPr="00F700B8">
        <w:rPr>
          <w:rStyle w:val="hbodytext1"/>
          <w:rFonts w:ascii="Times New Roman" w:hAnsi="Times New Roman" w:cs="Times New Roman"/>
          <w:sz w:val="20"/>
          <w:szCs w:val="20"/>
        </w:rPr>
        <w:t xml:space="preserve">hese rights governments are instituted, deriving their just powers from the consent of the governed.” </w:t>
      </w:r>
      <w:r w:rsidRPr="00F700B8">
        <w:rPr>
          <w:i/>
        </w:rPr>
        <w:t>Modern History Sourcebook</w:t>
      </w:r>
      <w:r w:rsidRPr="00F700B8">
        <w:t>, Fordham University, available at:</w:t>
      </w:r>
    </w:p>
    <w:p w14:paraId="61B2CDB7" w14:textId="05B9462D" w:rsidR="0034620E" w:rsidRPr="00F700B8" w:rsidRDefault="0034620E" w:rsidP="00557D96">
      <w:pPr>
        <w:pStyle w:val="Voetnoottekst"/>
        <w:jc w:val="both"/>
        <w:rPr>
          <w:rFonts w:ascii="Times New Roman" w:hAnsi="Times New Roman"/>
        </w:rPr>
      </w:pPr>
      <w:r w:rsidRPr="00F700B8">
        <w:rPr>
          <w:rFonts w:ascii="Times New Roman" w:hAnsi="Times New Roman"/>
        </w:rPr>
        <w:t xml:space="preserve"> </w:t>
      </w:r>
      <w:hyperlink r:id="rId3" w:history="1">
        <w:r w:rsidRPr="00F700B8">
          <w:rPr>
            <w:rStyle w:val="Hyperlink"/>
          </w:rPr>
          <w:t>http://www.fordham.edu/halsall/mod/senecafalls.asp</w:t>
        </w:r>
      </w:hyperlink>
      <w:r w:rsidRPr="00F700B8">
        <w:rPr>
          <w:rFonts w:ascii="Times New Roman" w:hAnsi="Times New Roman"/>
        </w:rPr>
        <w:t xml:space="preserve">. </w:t>
      </w:r>
    </w:p>
  </w:footnote>
  <w:footnote w:id="17">
    <w:p w14:paraId="58FCCB4F" w14:textId="7B203ADC" w:rsidR="0034620E" w:rsidRPr="00A71B1D" w:rsidRDefault="0034620E" w:rsidP="00557D96">
      <w:pPr>
        <w:autoSpaceDE w:val="0"/>
        <w:autoSpaceDN w:val="0"/>
        <w:adjustRightInd w:val="0"/>
        <w:jc w:val="both"/>
        <w:rPr>
          <w:sz w:val="20"/>
          <w:szCs w:val="20"/>
        </w:rPr>
      </w:pPr>
      <w:r w:rsidRPr="00F700B8">
        <w:rPr>
          <w:rStyle w:val="Voetnootmarkering"/>
          <w:sz w:val="20"/>
          <w:szCs w:val="20"/>
        </w:rPr>
        <w:footnoteRef/>
      </w:r>
      <w:r w:rsidRPr="00F700B8">
        <w:rPr>
          <w:sz w:val="20"/>
          <w:szCs w:val="20"/>
        </w:rPr>
        <w:t xml:space="preserve"> </w:t>
      </w:r>
      <w:r w:rsidRPr="00F700B8">
        <w:rPr>
          <w:rFonts w:eastAsiaTheme="minorHAnsi"/>
          <w:sz w:val="20"/>
          <w:szCs w:val="20"/>
        </w:rPr>
        <w:t>A</w:t>
      </w:r>
      <w:r>
        <w:rPr>
          <w:rFonts w:eastAsiaTheme="minorHAnsi"/>
          <w:sz w:val="20"/>
          <w:szCs w:val="20"/>
        </w:rPr>
        <w:t xml:space="preserve">ngelina, </w:t>
      </w:r>
      <w:proofErr w:type="spellStart"/>
      <w:r>
        <w:rPr>
          <w:rFonts w:eastAsiaTheme="minorHAnsi"/>
          <w:sz w:val="20"/>
          <w:szCs w:val="20"/>
        </w:rPr>
        <w:t>Grimké</w:t>
      </w:r>
      <w:proofErr w:type="spellEnd"/>
      <w:r>
        <w:rPr>
          <w:rFonts w:eastAsiaTheme="minorHAnsi"/>
          <w:sz w:val="20"/>
          <w:szCs w:val="20"/>
        </w:rPr>
        <w:t xml:space="preserve">. </w:t>
      </w:r>
      <w:r w:rsidRPr="00F700B8">
        <w:rPr>
          <w:rFonts w:eastAsiaTheme="minorHAnsi"/>
          <w:sz w:val="20"/>
          <w:szCs w:val="20"/>
        </w:rPr>
        <w:t xml:space="preserve"> 1838, Letter XII “Human Rights Not Founded On Sex”, in </w:t>
      </w:r>
      <w:r w:rsidRPr="00F700B8">
        <w:rPr>
          <w:rFonts w:eastAsiaTheme="minorHAnsi"/>
          <w:i/>
          <w:iCs/>
          <w:sz w:val="20"/>
          <w:szCs w:val="20"/>
        </w:rPr>
        <w:t>Letters to Catherine</w:t>
      </w:r>
      <w:r w:rsidR="00696BED">
        <w:rPr>
          <w:rFonts w:eastAsiaTheme="minorHAnsi"/>
          <w:i/>
          <w:iCs/>
          <w:sz w:val="20"/>
          <w:szCs w:val="20"/>
        </w:rPr>
        <w:t xml:space="preserve"> </w:t>
      </w:r>
      <w:r w:rsidRPr="00A71B1D">
        <w:rPr>
          <w:rFonts w:eastAsiaTheme="minorHAnsi"/>
          <w:i/>
          <w:iCs/>
          <w:sz w:val="20"/>
          <w:szCs w:val="20"/>
        </w:rPr>
        <w:t>Beecher</w:t>
      </w:r>
      <w:r w:rsidRPr="00A71B1D">
        <w:rPr>
          <w:rFonts w:eastAsiaTheme="minorHAnsi"/>
          <w:sz w:val="20"/>
          <w:szCs w:val="20"/>
        </w:rPr>
        <w:t>, Boston: Isaac Knapp, p. 10.</w:t>
      </w:r>
    </w:p>
    <w:p w14:paraId="75106891" w14:textId="77777777" w:rsidR="0034620E" w:rsidRPr="00A71B1D" w:rsidRDefault="0034620E" w:rsidP="00557D96">
      <w:pPr>
        <w:pStyle w:val="Voetnoottekst"/>
        <w:spacing w:after="0"/>
        <w:jc w:val="both"/>
        <w:rPr>
          <w:rFonts w:ascii="Times New Roman" w:hAnsi="Times New Roman"/>
        </w:rPr>
      </w:pPr>
    </w:p>
  </w:footnote>
  <w:footnote w:id="18">
    <w:p w14:paraId="11887ED6"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Paul </w:t>
      </w:r>
      <w:proofErr w:type="spellStart"/>
      <w:r w:rsidRPr="00F700B8">
        <w:rPr>
          <w:rFonts w:ascii="Times New Roman" w:hAnsi="Times New Roman"/>
        </w:rPr>
        <w:t>Finkelman</w:t>
      </w:r>
      <w:proofErr w:type="spellEnd"/>
      <w:r w:rsidRPr="00F700B8">
        <w:rPr>
          <w:rFonts w:ascii="Times New Roman" w:hAnsi="Times New Roman"/>
        </w:rPr>
        <w:t xml:space="preserve">, </w:t>
      </w:r>
      <w:r w:rsidRPr="00F700B8">
        <w:rPr>
          <w:rFonts w:ascii="Times New Roman" w:hAnsi="Times New Roman"/>
          <w:i/>
        </w:rPr>
        <w:t>Slavery and the Founders: Race and Liberty in the Age of Jefferson</w:t>
      </w:r>
      <w:r w:rsidRPr="00F700B8">
        <w:rPr>
          <w:rFonts w:ascii="Times New Roman" w:hAnsi="Times New Roman"/>
        </w:rPr>
        <w:t xml:space="preserve">, (New York: M.E. Sharpe, 2001), p. 140. </w:t>
      </w:r>
    </w:p>
  </w:footnote>
  <w:footnote w:id="19">
    <w:p w14:paraId="3C768A78" w14:textId="1E7F0CF9"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This section benefits from my recent inquiry </w:t>
      </w:r>
      <w:r w:rsidR="00696BED">
        <w:rPr>
          <w:rFonts w:ascii="Times New Roman" w:hAnsi="Times New Roman"/>
        </w:rPr>
        <w:t>en</w:t>
      </w:r>
      <w:r w:rsidRPr="00F700B8">
        <w:rPr>
          <w:rFonts w:ascii="Times New Roman" w:hAnsi="Times New Roman"/>
        </w:rPr>
        <w:t xml:space="preserve">titled </w:t>
      </w:r>
      <w:r>
        <w:rPr>
          <w:rFonts w:ascii="Times New Roman" w:hAnsi="Times New Roman"/>
        </w:rPr>
        <w:t>“</w:t>
      </w:r>
      <w:r w:rsidRPr="00791A82">
        <w:rPr>
          <w:rFonts w:ascii="Times New Roman" w:hAnsi="Times New Roman"/>
          <w:spacing w:val="-3"/>
          <w:lang w:val="en-GB"/>
        </w:rPr>
        <w:t>Article 1 UDHR: from Credo to Realisation</w:t>
      </w:r>
      <w:r>
        <w:rPr>
          <w:rFonts w:ascii="Times New Roman" w:hAnsi="Times New Roman"/>
          <w:spacing w:val="-3"/>
          <w:lang w:val="en-GB"/>
        </w:rPr>
        <w:t>,”</w:t>
      </w:r>
      <w:r w:rsidRPr="00791A82">
        <w:rPr>
          <w:rFonts w:ascii="Times New Roman" w:hAnsi="Times New Roman"/>
          <w:spacing w:val="-3"/>
          <w:lang w:val="en-GB"/>
        </w:rPr>
        <w:t xml:space="preserve"> in Yves </w:t>
      </w:r>
      <w:proofErr w:type="spellStart"/>
      <w:r w:rsidRPr="00791A82">
        <w:rPr>
          <w:rFonts w:ascii="Times New Roman" w:hAnsi="Times New Roman"/>
          <w:spacing w:val="-3"/>
          <w:lang w:val="en-GB"/>
        </w:rPr>
        <w:t>Haeck</w:t>
      </w:r>
      <w:proofErr w:type="spellEnd"/>
      <w:r w:rsidRPr="00791A82">
        <w:rPr>
          <w:rFonts w:ascii="Times New Roman" w:hAnsi="Times New Roman"/>
          <w:spacing w:val="-3"/>
          <w:lang w:val="en-GB"/>
        </w:rPr>
        <w:t xml:space="preserve"> et alia, </w:t>
      </w:r>
      <w:r w:rsidRPr="00001CD0">
        <w:rPr>
          <w:rFonts w:ascii="Times New Roman" w:hAnsi="Times New Roman"/>
          <w:i/>
          <w:spacing w:val="-3"/>
          <w:lang w:val="en-GB"/>
        </w:rPr>
        <w:t xml:space="preserve">The Realisation of Human Rights: When Theory Meets Practice. Studies in Honour of Leo </w:t>
      </w:r>
      <w:proofErr w:type="spellStart"/>
      <w:r w:rsidRPr="00001CD0">
        <w:rPr>
          <w:rFonts w:ascii="Times New Roman" w:hAnsi="Times New Roman"/>
          <w:i/>
          <w:spacing w:val="-3"/>
          <w:lang w:val="en-GB"/>
        </w:rPr>
        <w:t>Zwaak</w:t>
      </w:r>
      <w:proofErr w:type="spellEnd"/>
      <w:r w:rsidRPr="00001CD0">
        <w:rPr>
          <w:rFonts w:ascii="Times New Roman" w:hAnsi="Times New Roman"/>
          <w:spacing w:val="-3"/>
          <w:lang w:val="en-GB"/>
        </w:rPr>
        <w:t xml:space="preserve">, (Antwerp: </w:t>
      </w:r>
      <w:proofErr w:type="spellStart"/>
      <w:r w:rsidRPr="00001CD0">
        <w:rPr>
          <w:rFonts w:ascii="Times New Roman" w:hAnsi="Times New Roman"/>
          <w:spacing w:val="-3"/>
          <w:lang w:val="en-GB"/>
        </w:rPr>
        <w:t>In</w:t>
      </w:r>
      <w:r w:rsidRPr="00F700B8">
        <w:rPr>
          <w:rFonts w:ascii="Times New Roman" w:hAnsi="Times New Roman"/>
          <w:spacing w:val="-3"/>
          <w:lang w:val="en-GB"/>
        </w:rPr>
        <w:t>tersentia</w:t>
      </w:r>
      <w:proofErr w:type="spellEnd"/>
      <w:r w:rsidRPr="00F700B8">
        <w:rPr>
          <w:rFonts w:ascii="Times New Roman" w:hAnsi="Times New Roman"/>
          <w:spacing w:val="-3"/>
          <w:lang w:val="en-GB"/>
        </w:rPr>
        <w:t>, 2014), p. 41-53.</w:t>
      </w:r>
    </w:p>
  </w:footnote>
  <w:footnote w:id="20">
    <w:p w14:paraId="2AAAF64F" w14:textId="4AA5F66D" w:rsidR="0034620E" w:rsidRPr="00791A82" w:rsidRDefault="0034620E" w:rsidP="00557D96">
      <w:pPr>
        <w:pStyle w:val="biblio"/>
        <w:tabs>
          <w:tab w:val="left" w:pos="9072"/>
        </w:tabs>
        <w:spacing w:line="240" w:lineRule="auto"/>
        <w:ind w:left="0" w:firstLine="0"/>
        <w:rPr>
          <w:sz w:val="20"/>
        </w:rPr>
      </w:pPr>
      <w:r w:rsidRPr="00F700B8">
        <w:rPr>
          <w:rStyle w:val="Voetnootmarkering"/>
          <w:color w:val="000000"/>
          <w:sz w:val="20"/>
        </w:rPr>
        <w:footnoteRef/>
      </w:r>
      <w:r w:rsidRPr="00F700B8">
        <w:rPr>
          <w:color w:val="000000"/>
          <w:sz w:val="20"/>
        </w:rPr>
        <w:t xml:space="preserve"> On the origin and inclusion of Art. 1 UDHR see, notably, </w:t>
      </w:r>
      <w:proofErr w:type="spellStart"/>
      <w:r w:rsidRPr="00F700B8">
        <w:rPr>
          <w:sz w:val="20"/>
        </w:rPr>
        <w:t>Morsink</w:t>
      </w:r>
      <w:proofErr w:type="spellEnd"/>
      <w:r w:rsidRPr="00F700B8">
        <w:rPr>
          <w:sz w:val="20"/>
        </w:rPr>
        <w:t>, J</w:t>
      </w:r>
      <w:r>
        <w:rPr>
          <w:sz w:val="20"/>
        </w:rPr>
        <w:t>ohannes,</w:t>
      </w:r>
      <w:r w:rsidRPr="00F700B8">
        <w:rPr>
          <w:sz w:val="20"/>
        </w:rPr>
        <w:t xml:space="preserve"> </w:t>
      </w:r>
      <w:r w:rsidRPr="00F700B8">
        <w:rPr>
          <w:i/>
          <w:sz w:val="20"/>
        </w:rPr>
        <w:t>The Universal Declaration of Human Rights: Origins, Drafting, and Intent</w:t>
      </w:r>
      <w:r w:rsidRPr="00F700B8">
        <w:rPr>
          <w:sz w:val="20"/>
        </w:rPr>
        <w:t>, (Philadelphia: University of Pennsylvania Press, 1999)</w:t>
      </w:r>
      <w:r w:rsidRPr="00F700B8">
        <w:rPr>
          <w:color w:val="000000"/>
          <w:sz w:val="20"/>
        </w:rPr>
        <w:t xml:space="preserve">; Facing History and Ourselves National Foundation,  </w:t>
      </w:r>
      <w:r>
        <w:rPr>
          <w:color w:val="000000"/>
          <w:sz w:val="20"/>
        </w:rPr>
        <w:t>“</w:t>
      </w:r>
      <w:r w:rsidRPr="00791A82">
        <w:rPr>
          <w:bCs/>
          <w:color w:val="000000"/>
          <w:sz w:val="20"/>
        </w:rPr>
        <w:t>Fundamental Freedoms</w:t>
      </w:r>
      <w:r w:rsidRPr="00791A82">
        <w:rPr>
          <w:color w:val="000000"/>
          <w:sz w:val="20"/>
        </w:rPr>
        <w:t xml:space="preserve">: </w:t>
      </w:r>
      <w:r w:rsidRPr="00791A82">
        <w:rPr>
          <w:bCs/>
          <w:color w:val="000000"/>
          <w:sz w:val="20"/>
        </w:rPr>
        <w:t>Eleanor Roosevelt</w:t>
      </w:r>
      <w:r w:rsidRPr="00791A82">
        <w:rPr>
          <w:color w:val="000000"/>
          <w:sz w:val="20"/>
        </w:rPr>
        <w:t xml:space="preserve"> and the </w:t>
      </w:r>
      <w:r w:rsidRPr="00791A82">
        <w:rPr>
          <w:bCs/>
          <w:color w:val="000000"/>
          <w:sz w:val="20"/>
        </w:rPr>
        <w:t>Universal Declaration</w:t>
      </w:r>
      <w:r w:rsidRPr="00791A82">
        <w:rPr>
          <w:color w:val="000000"/>
          <w:sz w:val="20"/>
        </w:rPr>
        <w:t xml:space="preserve"> of </w:t>
      </w:r>
      <w:r w:rsidRPr="00791A82">
        <w:rPr>
          <w:bCs/>
          <w:color w:val="000000"/>
          <w:sz w:val="20"/>
        </w:rPr>
        <w:t xml:space="preserve">Human Rights – Part III: </w:t>
      </w:r>
      <w:r w:rsidRPr="00791A82">
        <w:rPr>
          <w:color w:val="000000"/>
          <w:sz w:val="20"/>
        </w:rPr>
        <w:t>The Universal Declaration of Human Rights</w:t>
      </w:r>
      <w:r>
        <w:rPr>
          <w:color w:val="000000"/>
          <w:sz w:val="20"/>
        </w:rPr>
        <w:t>,”</w:t>
      </w:r>
      <w:r w:rsidRPr="00791A82">
        <w:rPr>
          <w:color w:val="000000"/>
          <w:sz w:val="20"/>
        </w:rPr>
        <w:t xml:space="preserve"> available at: </w:t>
      </w:r>
      <w:hyperlink r:id="rId4" w:history="1">
        <w:r w:rsidRPr="00F700B8">
          <w:rPr>
            <w:rStyle w:val="Hyperlink"/>
            <w:sz w:val="20"/>
          </w:rPr>
          <w:t>www.facinghistory.org/sites/facinghistory.org/files/PartIII_essay_and_documents_0.pdf</w:t>
        </w:r>
      </w:hyperlink>
      <w:r w:rsidRPr="00F700B8">
        <w:rPr>
          <w:i/>
          <w:color w:val="000000"/>
          <w:sz w:val="20"/>
        </w:rPr>
        <w:t xml:space="preserve">,  </w:t>
      </w:r>
      <w:r w:rsidRPr="00F700B8">
        <w:rPr>
          <w:color w:val="000000"/>
          <w:sz w:val="20"/>
        </w:rPr>
        <w:t xml:space="preserve">last accessed 27 January 2013;  </w:t>
      </w:r>
      <w:proofErr w:type="spellStart"/>
      <w:r w:rsidRPr="00F700B8">
        <w:rPr>
          <w:color w:val="000000"/>
          <w:sz w:val="20"/>
        </w:rPr>
        <w:t>Lindholm</w:t>
      </w:r>
      <w:proofErr w:type="spellEnd"/>
      <w:r w:rsidRPr="00F700B8">
        <w:rPr>
          <w:color w:val="000000"/>
          <w:sz w:val="20"/>
        </w:rPr>
        <w:t xml:space="preserve">, T. </w:t>
      </w:r>
      <w:r>
        <w:rPr>
          <w:color w:val="000000"/>
          <w:sz w:val="20"/>
        </w:rPr>
        <w:t>“</w:t>
      </w:r>
      <w:r w:rsidRPr="00791A82">
        <w:rPr>
          <w:color w:val="000000"/>
          <w:sz w:val="20"/>
        </w:rPr>
        <w:t>Article One</w:t>
      </w:r>
      <w:r>
        <w:rPr>
          <w:color w:val="000000"/>
          <w:sz w:val="20"/>
        </w:rPr>
        <w:t>,”</w:t>
      </w:r>
      <w:r w:rsidRPr="00791A82">
        <w:rPr>
          <w:color w:val="000000"/>
          <w:sz w:val="20"/>
        </w:rPr>
        <w:t xml:space="preserve"> in </w:t>
      </w:r>
      <w:proofErr w:type="spellStart"/>
      <w:r w:rsidRPr="00791A82">
        <w:rPr>
          <w:color w:val="000000"/>
          <w:sz w:val="20"/>
        </w:rPr>
        <w:t>Eide</w:t>
      </w:r>
      <w:proofErr w:type="spellEnd"/>
      <w:r w:rsidRPr="00791A82">
        <w:rPr>
          <w:color w:val="000000"/>
          <w:sz w:val="20"/>
        </w:rPr>
        <w:t xml:space="preserve">, A. et al. (eds.), </w:t>
      </w:r>
      <w:r w:rsidRPr="00954B19">
        <w:rPr>
          <w:i/>
          <w:color w:val="000000"/>
          <w:sz w:val="20"/>
        </w:rPr>
        <w:t>The Universal Declaration of Human Rights: A Commentary</w:t>
      </w:r>
      <w:r w:rsidRPr="00F700B8">
        <w:rPr>
          <w:color w:val="000000"/>
          <w:sz w:val="20"/>
        </w:rPr>
        <w:t xml:space="preserve">, (Scandinavian University Press/Oxford University Press, Oslo/Oxford, 1992), p. 31-56; </w:t>
      </w:r>
      <w:proofErr w:type="spellStart"/>
      <w:r w:rsidRPr="00F700B8">
        <w:rPr>
          <w:color w:val="000000"/>
          <w:sz w:val="20"/>
        </w:rPr>
        <w:t>Morsink’s</w:t>
      </w:r>
      <w:proofErr w:type="spellEnd"/>
      <w:r w:rsidRPr="00F700B8">
        <w:rPr>
          <w:color w:val="000000"/>
          <w:sz w:val="20"/>
        </w:rPr>
        <w:t xml:space="preserve"> book review of that volume, </w:t>
      </w:r>
      <w:proofErr w:type="spellStart"/>
      <w:r w:rsidRPr="00F700B8">
        <w:rPr>
          <w:color w:val="000000"/>
          <w:sz w:val="20"/>
        </w:rPr>
        <w:t>Morsink</w:t>
      </w:r>
      <w:proofErr w:type="spellEnd"/>
      <w:r w:rsidRPr="00F700B8">
        <w:rPr>
          <w:color w:val="000000"/>
          <w:sz w:val="20"/>
        </w:rPr>
        <w:t xml:space="preserve">, J., </w:t>
      </w:r>
      <w:r>
        <w:rPr>
          <w:color w:val="000000"/>
          <w:sz w:val="20"/>
        </w:rPr>
        <w:t>“</w:t>
      </w:r>
      <w:r w:rsidRPr="00F700B8">
        <w:rPr>
          <w:color w:val="000000"/>
          <w:sz w:val="20"/>
        </w:rPr>
        <w:t>The Universal Declaration of Human Rights: A Commentary</w:t>
      </w:r>
      <w:r>
        <w:rPr>
          <w:color w:val="000000"/>
          <w:sz w:val="20"/>
        </w:rPr>
        <w:t xml:space="preserve">,” </w:t>
      </w:r>
      <w:r w:rsidRPr="00963C00">
        <w:rPr>
          <w:i/>
          <w:sz w:val="20"/>
        </w:rPr>
        <w:t>Human Rights Quarterly</w:t>
      </w:r>
      <w:r w:rsidRPr="00B11868">
        <w:rPr>
          <w:sz w:val="20"/>
        </w:rPr>
        <w:t>,</w:t>
      </w:r>
      <w:r w:rsidRPr="002F7F9B">
        <w:rPr>
          <w:sz w:val="20"/>
        </w:rPr>
        <w:t xml:space="preserve"> Vol. 17, No. 2, 1995, pp. 398-402</w:t>
      </w:r>
      <w:r w:rsidRPr="00DD67B0">
        <w:rPr>
          <w:color w:val="000000"/>
          <w:sz w:val="20"/>
        </w:rPr>
        <w:t xml:space="preserve">; </w:t>
      </w:r>
      <w:hyperlink r:id="rId5" w:history="1">
        <w:r w:rsidRPr="00F700B8">
          <w:rPr>
            <w:rStyle w:val="Hyperlink"/>
            <w:color w:val="000000"/>
            <w:sz w:val="20"/>
            <w:u w:val="none"/>
          </w:rPr>
          <w:t xml:space="preserve">Waltz, S., </w:t>
        </w:r>
        <w:r>
          <w:rPr>
            <w:rStyle w:val="Hyperlink"/>
            <w:color w:val="000000"/>
            <w:sz w:val="20"/>
            <w:u w:val="none"/>
          </w:rPr>
          <w:t>“</w:t>
        </w:r>
        <w:r w:rsidRPr="00F700B8">
          <w:rPr>
            <w:rStyle w:val="Hyperlink"/>
            <w:color w:val="000000"/>
            <w:sz w:val="20"/>
            <w:u w:val="none"/>
          </w:rPr>
          <w:t>Reclaiming and rebuilding the history of the Universal Declaration of Human Rights</w:t>
        </w:r>
        <w:r>
          <w:rPr>
            <w:rStyle w:val="Hyperlink"/>
            <w:color w:val="000000"/>
            <w:sz w:val="20"/>
            <w:u w:val="none"/>
          </w:rPr>
          <w:t xml:space="preserve">,” </w:t>
        </w:r>
        <w:r w:rsidRPr="00F700B8">
          <w:rPr>
            <w:rStyle w:val="Hyperlink"/>
            <w:i/>
            <w:iCs/>
            <w:color w:val="000000"/>
            <w:sz w:val="20"/>
            <w:u w:val="none"/>
          </w:rPr>
          <w:t xml:space="preserve">Third World Quarterly, </w:t>
        </w:r>
        <w:r w:rsidRPr="00F700B8">
          <w:rPr>
            <w:rStyle w:val="Hyperlink"/>
            <w:iCs/>
            <w:color w:val="000000"/>
            <w:sz w:val="20"/>
            <w:u w:val="none"/>
          </w:rPr>
          <w:t>Vol. 23, No. 3, 2002, pp 437–448</w:t>
        </w:r>
      </w:hyperlink>
      <w:r w:rsidRPr="00F700B8">
        <w:rPr>
          <w:iCs/>
          <w:color w:val="000000"/>
          <w:sz w:val="20"/>
        </w:rPr>
        <w:t xml:space="preserve">; </w:t>
      </w:r>
      <w:r w:rsidRPr="00F700B8">
        <w:rPr>
          <w:color w:val="000000"/>
          <w:sz w:val="20"/>
        </w:rPr>
        <w:t xml:space="preserve">Bailey, P., </w:t>
      </w:r>
      <w:r>
        <w:rPr>
          <w:color w:val="000000"/>
          <w:sz w:val="20"/>
        </w:rPr>
        <w:t>“</w:t>
      </w:r>
      <w:r w:rsidRPr="00791A82">
        <w:rPr>
          <w:color w:val="000000"/>
          <w:sz w:val="20"/>
        </w:rPr>
        <w:t>The Creation of the Universal Declaration of Human Rights</w:t>
      </w:r>
      <w:r>
        <w:rPr>
          <w:color w:val="000000"/>
          <w:sz w:val="20"/>
        </w:rPr>
        <w:t xml:space="preserve">,” </w:t>
      </w:r>
      <w:r w:rsidRPr="00791A82">
        <w:rPr>
          <w:color w:val="000000"/>
          <w:sz w:val="20"/>
        </w:rPr>
        <w:t>available at</w:t>
      </w:r>
      <w:r w:rsidRPr="00791A82">
        <w:rPr>
          <w:sz w:val="20"/>
        </w:rPr>
        <w:t xml:space="preserve">: </w:t>
      </w:r>
      <w:hyperlink r:id="rId6" w:history="1">
        <w:r w:rsidRPr="00F700B8">
          <w:rPr>
            <w:rStyle w:val="Hyperlink"/>
            <w:sz w:val="20"/>
          </w:rPr>
          <w:t>www.universalrights.net/main/creation.htm</w:t>
        </w:r>
      </w:hyperlink>
      <w:r w:rsidRPr="00F700B8">
        <w:rPr>
          <w:sz w:val="20"/>
        </w:rPr>
        <w:t xml:space="preserve">; </w:t>
      </w:r>
      <w:proofErr w:type="spellStart"/>
      <w:r w:rsidRPr="00F700B8">
        <w:rPr>
          <w:sz w:val="20"/>
        </w:rPr>
        <w:t>Danchin</w:t>
      </w:r>
      <w:proofErr w:type="spellEnd"/>
      <w:r w:rsidRPr="00F700B8">
        <w:rPr>
          <w:sz w:val="20"/>
        </w:rPr>
        <w:t xml:space="preserve">, P., </w:t>
      </w:r>
      <w:r>
        <w:rPr>
          <w:sz w:val="20"/>
        </w:rPr>
        <w:t>“</w:t>
      </w:r>
      <w:r w:rsidRPr="00791A82">
        <w:rPr>
          <w:sz w:val="20"/>
        </w:rPr>
        <w:t>Article 1 UDHR, drafting history</w:t>
      </w:r>
      <w:r>
        <w:rPr>
          <w:sz w:val="20"/>
        </w:rPr>
        <w:t xml:space="preserve">,” </w:t>
      </w:r>
      <w:r w:rsidRPr="00791A82">
        <w:rPr>
          <w:sz w:val="20"/>
        </w:rPr>
        <w:t>available at: ccnmtl.columbia.edu/projects/mmt/udhr/article_1/drafting_history.html.</w:t>
      </w:r>
    </w:p>
    <w:p w14:paraId="7BB810EF" w14:textId="77777777" w:rsidR="0034620E" w:rsidRPr="00001CD0" w:rsidRDefault="0034620E" w:rsidP="00557D96">
      <w:pPr>
        <w:pStyle w:val="biblio"/>
        <w:tabs>
          <w:tab w:val="left" w:pos="9072"/>
        </w:tabs>
        <w:spacing w:line="240" w:lineRule="auto"/>
        <w:ind w:left="0" w:firstLine="0"/>
        <w:rPr>
          <w:sz w:val="20"/>
        </w:rPr>
      </w:pPr>
    </w:p>
  </w:footnote>
  <w:footnote w:id="21">
    <w:p w14:paraId="5F6E91AA"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Paul Gordon Lauren, </w:t>
      </w:r>
      <w:r w:rsidRPr="00F700B8">
        <w:rPr>
          <w:rFonts w:ascii="Times New Roman" w:hAnsi="Times New Roman"/>
          <w:i/>
        </w:rPr>
        <w:t>Visions Seen: The Evolution of International Human Rights</w:t>
      </w:r>
      <w:r w:rsidRPr="00F700B8">
        <w:rPr>
          <w:rFonts w:ascii="Times New Roman" w:hAnsi="Times New Roman"/>
        </w:rPr>
        <w:t xml:space="preserve"> (Philadelphia: University of Pennsylvania Press, 1998), p. 234.</w:t>
      </w:r>
    </w:p>
  </w:footnote>
  <w:footnote w:id="22">
    <w:p w14:paraId="143B1EDF" w14:textId="14A72587" w:rsidR="0034620E" w:rsidRPr="00F700B8" w:rsidRDefault="0034620E" w:rsidP="00557D96">
      <w:pPr>
        <w:jc w:val="both"/>
        <w:rPr>
          <w:rFonts w:eastAsia="Times New Roman"/>
          <w:lang w:eastAsia="nl-NL"/>
        </w:rPr>
      </w:pPr>
      <w:r w:rsidRPr="00954B19">
        <w:rPr>
          <w:rStyle w:val="Voetnootmarkering"/>
          <w:sz w:val="20"/>
          <w:szCs w:val="20"/>
        </w:rPr>
        <w:footnoteRef/>
      </w:r>
      <w:r w:rsidRPr="00954B19">
        <w:rPr>
          <w:sz w:val="20"/>
          <w:szCs w:val="20"/>
        </w:rPr>
        <w:t xml:space="preserve"> National courts throughout the world have looked to the UDHR as a source of law. </w:t>
      </w:r>
      <w:r w:rsidR="00D7051E">
        <w:rPr>
          <w:sz w:val="20"/>
          <w:szCs w:val="20"/>
        </w:rPr>
        <w:t>For example, i</w:t>
      </w:r>
      <w:r w:rsidRPr="00954B19">
        <w:rPr>
          <w:sz w:val="20"/>
          <w:szCs w:val="20"/>
        </w:rPr>
        <w:t xml:space="preserve">n </w:t>
      </w:r>
      <w:proofErr w:type="spellStart"/>
      <w:r w:rsidRPr="00954B19">
        <w:rPr>
          <w:i/>
          <w:sz w:val="20"/>
          <w:szCs w:val="20"/>
        </w:rPr>
        <w:t>Tayazuddin</w:t>
      </w:r>
      <w:proofErr w:type="spellEnd"/>
      <w:r w:rsidRPr="00954B19">
        <w:rPr>
          <w:i/>
          <w:sz w:val="20"/>
          <w:szCs w:val="20"/>
        </w:rPr>
        <w:t xml:space="preserve"> and another v. Bangladesh</w:t>
      </w:r>
      <w:r w:rsidRPr="00954B19">
        <w:rPr>
          <w:sz w:val="20"/>
          <w:szCs w:val="20"/>
        </w:rPr>
        <w:t xml:space="preserve">, the Bangladesh Supreme Court used Article 3 of the UDHR as well as the Bangladesh Constitution to hold that the government was responsible for protecting victim rights, and not just </w:t>
      </w:r>
      <w:r>
        <w:rPr>
          <w:sz w:val="20"/>
          <w:szCs w:val="20"/>
        </w:rPr>
        <w:t xml:space="preserve">the </w:t>
      </w:r>
      <w:r w:rsidRPr="00954B19">
        <w:rPr>
          <w:sz w:val="20"/>
          <w:szCs w:val="20"/>
        </w:rPr>
        <w:t>rights</w:t>
      </w:r>
      <w:r>
        <w:rPr>
          <w:sz w:val="20"/>
          <w:szCs w:val="20"/>
        </w:rPr>
        <w:t xml:space="preserve"> of the accused</w:t>
      </w:r>
      <w:r w:rsidRPr="00954B19">
        <w:rPr>
          <w:sz w:val="20"/>
          <w:szCs w:val="20"/>
        </w:rPr>
        <w:t>, in criminal trials in order to have free and fair trials.  As one scholar describes, “Through the reference to Article 3 of the UDHR, the court explained that the right to life, liberty and security of a person applies as much to the victim as to the accused, so that the court could weigh the liberty of the accused against the sense of security of the victim. Considering the gravity of the crime alleged, the court held that</w:t>
      </w:r>
      <w:r w:rsidR="00696BED">
        <w:rPr>
          <w:sz w:val="20"/>
          <w:szCs w:val="20"/>
        </w:rPr>
        <w:t xml:space="preserve"> the</w:t>
      </w:r>
      <w:r w:rsidRPr="00954B19">
        <w:rPr>
          <w:sz w:val="20"/>
          <w:szCs w:val="20"/>
        </w:rPr>
        <w:t xml:space="preserve"> right of victims to security and freedom from fear would prevail over that of the accused.” (Md. Mostafa </w:t>
      </w:r>
      <w:proofErr w:type="spellStart"/>
      <w:r w:rsidRPr="00954B19">
        <w:rPr>
          <w:sz w:val="20"/>
          <w:szCs w:val="20"/>
        </w:rPr>
        <w:t>Hosain</w:t>
      </w:r>
      <w:proofErr w:type="spellEnd"/>
      <w:r w:rsidRPr="00954B19">
        <w:rPr>
          <w:sz w:val="20"/>
          <w:szCs w:val="20"/>
        </w:rPr>
        <w:t xml:space="preserve">, “Application of UDHR by Supreme Court of Bangladesh: Analysis of Judgments,” January 13, 2013, available at </w:t>
      </w:r>
      <w:hyperlink r:id="rId7" w:history="1">
        <w:r w:rsidRPr="00954B19">
          <w:rPr>
            <w:rStyle w:val="Hyperlink"/>
            <w:sz w:val="20"/>
            <w:szCs w:val="20"/>
          </w:rPr>
          <w:t>http://www.clcbd.org/journal/13.html</w:t>
        </w:r>
      </w:hyperlink>
      <w:r w:rsidRPr="00954B19">
        <w:rPr>
          <w:sz w:val="20"/>
          <w:szCs w:val="20"/>
        </w:rPr>
        <w:t>)</w:t>
      </w:r>
      <w:r>
        <w:rPr>
          <w:sz w:val="20"/>
          <w:szCs w:val="20"/>
        </w:rPr>
        <w:t>.</w:t>
      </w:r>
      <w:r w:rsidRPr="00954B19">
        <w:rPr>
          <w:sz w:val="20"/>
          <w:szCs w:val="20"/>
        </w:rPr>
        <w:t xml:space="preserve"> In South Africa, in a case regarding housing for the homeless, Judge </w:t>
      </w:r>
      <w:proofErr w:type="spellStart"/>
      <w:r w:rsidRPr="00954B19">
        <w:rPr>
          <w:sz w:val="20"/>
          <w:szCs w:val="20"/>
        </w:rPr>
        <w:t>Yacoob</w:t>
      </w:r>
      <w:proofErr w:type="spellEnd"/>
      <w:r w:rsidRPr="00954B19">
        <w:rPr>
          <w:sz w:val="20"/>
          <w:szCs w:val="20"/>
        </w:rPr>
        <w:t xml:space="preserve"> declared, “The proposition that rights are interrelated and are all equally important is not merely a theoretical postulate. The concept has immense human and practical significance in a society founded on human dignity, equality and freedom.” (as quoted by </w:t>
      </w:r>
      <w:r w:rsidRPr="00954B19">
        <w:rPr>
          <w:sz w:val="20"/>
          <w:szCs w:val="20"/>
          <w:lang w:val="en-GB"/>
        </w:rPr>
        <w:t xml:space="preserve">De Gaay Fortman, B., </w:t>
      </w:r>
      <w:r w:rsidRPr="00954B19">
        <w:rPr>
          <w:i/>
          <w:sz w:val="20"/>
          <w:szCs w:val="20"/>
          <w:lang w:val="en-GB"/>
        </w:rPr>
        <w:t>Political Economy of Human Rights: Rights, Realities and Realization</w:t>
      </w:r>
      <w:r w:rsidRPr="00954B19">
        <w:rPr>
          <w:sz w:val="20"/>
          <w:szCs w:val="20"/>
          <w:lang w:val="en-GB"/>
        </w:rPr>
        <w:t>, (Routledge, Abingdon, Oxon, 2011), p. 159).  Even in the United States, where incorporating international human rights domestically has encountered resistance</w:t>
      </w:r>
      <w:r w:rsidR="00696BED">
        <w:rPr>
          <w:sz w:val="20"/>
          <w:szCs w:val="20"/>
          <w:lang w:val="en-GB"/>
        </w:rPr>
        <w:t>,</w:t>
      </w:r>
      <w:r w:rsidRPr="00954B19">
        <w:rPr>
          <w:sz w:val="20"/>
          <w:szCs w:val="20"/>
          <w:lang w:val="en-GB"/>
        </w:rPr>
        <w:t xml:space="preserve"> courts have used the UDHR in decisions, including the Supreme Courts of California, Connecticut, Oregon, and West Virginia.  The UDHR has been cited regarding rights to education, a minimum standard of living, protecting prisoners, privacy, freedom of movement, and freedom from discrimination as well as cruel and unusual punishment. </w:t>
      </w:r>
      <w:r w:rsidRPr="00954B19">
        <w:rPr>
          <w:sz w:val="20"/>
          <w:szCs w:val="20"/>
          <w:u w:val="single"/>
        </w:rPr>
        <w:t>(</w:t>
      </w:r>
      <w:r w:rsidRPr="00954B19">
        <w:rPr>
          <w:rFonts w:eastAsia="Times New Roman"/>
          <w:sz w:val="20"/>
          <w:szCs w:val="20"/>
          <w:u w:val="single"/>
          <w:lang w:eastAsia="nl-NL"/>
        </w:rPr>
        <w:t>Pauley v. Kelly</w:t>
      </w:r>
      <w:r w:rsidRPr="00954B19">
        <w:rPr>
          <w:rFonts w:eastAsia="Times New Roman"/>
          <w:sz w:val="20"/>
          <w:szCs w:val="20"/>
          <w:lang w:eastAsia="nl-NL"/>
        </w:rPr>
        <w:t xml:space="preserve">, 162 W. Va. 672, 679, 255 S.E.2d 859, 864 (1979); </w:t>
      </w:r>
      <w:r w:rsidRPr="00954B19">
        <w:rPr>
          <w:rFonts w:eastAsia="Times New Roman"/>
          <w:sz w:val="20"/>
          <w:szCs w:val="20"/>
          <w:u w:val="single"/>
          <w:lang w:eastAsia="nl-NL"/>
        </w:rPr>
        <w:t xml:space="preserve">Moore v. </w:t>
      </w:r>
      <w:proofErr w:type="spellStart"/>
      <w:r w:rsidRPr="00954B19">
        <w:rPr>
          <w:rFonts w:eastAsia="Times New Roman"/>
          <w:sz w:val="20"/>
          <w:szCs w:val="20"/>
          <w:u w:val="single"/>
          <w:lang w:eastAsia="nl-NL"/>
        </w:rPr>
        <w:t>Ganim</w:t>
      </w:r>
      <w:proofErr w:type="spellEnd"/>
      <w:r w:rsidRPr="00954B19">
        <w:rPr>
          <w:rFonts w:eastAsia="Times New Roman"/>
          <w:sz w:val="20"/>
          <w:szCs w:val="20"/>
          <w:lang w:eastAsia="nl-NL"/>
        </w:rPr>
        <w:t xml:space="preserve">, 233 Conn. 557, 637, 660 A.2d 742, 781 (1995); </w:t>
      </w:r>
      <w:r w:rsidRPr="00954B19">
        <w:rPr>
          <w:rFonts w:eastAsia="Times New Roman"/>
          <w:sz w:val="20"/>
          <w:szCs w:val="20"/>
          <w:u w:val="single"/>
          <w:lang w:eastAsia="nl-NL"/>
        </w:rPr>
        <w:t xml:space="preserve">Sterling v. </w:t>
      </w:r>
      <w:proofErr w:type="spellStart"/>
      <w:r w:rsidRPr="00954B19">
        <w:rPr>
          <w:rFonts w:eastAsia="Times New Roman"/>
          <w:sz w:val="20"/>
          <w:szCs w:val="20"/>
          <w:u w:val="single"/>
          <w:lang w:eastAsia="nl-NL"/>
        </w:rPr>
        <w:t>Cupp</w:t>
      </w:r>
      <w:proofErr w:type="spellEnd"/>
      <w:r w:rsidRPr="00954B19">
        <w:rPr>
          <w:rFonts w:eastAsia="Times New Roman"/>
          <w:sz w:val="20"/>
          <w:szCs w:val="20"/>
          <w:lang w:eastAsia="nl-NL"/>
        </w:rPr>
        <w:t>, 290 Or. 611, 620, 625 P.2d 123, 130 (1981)</w:t>
      </w:r>
      <w:r w:rsidRPr="00954B19">
        <w:rPr>
          <w:sz w:val="20"/>
          <w:szCs w:val="20"/>
          <w:u w:val="single"/>
        </w:rPr>
        <w:t xml:space="preserve">; </w:t>
      </w:r>
      <w:r w:rsidRPr="00954B19">
        <w:rPr>
          <w:rFonts w:eastAsia="Times New Roman"/>
          <w:sz w:val="20"/>
          <w:szCs w:val="20"/>
          <w:u w:val="single"/>
          <w:lang w:eastAsia="nl-NL"/>
        </w:rPr>
        <w:t>Rodriguez Fernandez v. Wilkinson</w:t>
      </w:r>
      <w:r w:rsidRPr="00954B19">
        <w:rPr>
          <w:rFonts w:eastAsia="Times New Roman"/>
          <w:sz w:val="20"/>
          <w:szCs w:val="20"/>
          <w:lang w:eastAsia="nl-NL"/>
        </w:rPr>
        <w:t>, 505 F. Supp. 787, 797 (D. Kan. 1980)</w:t>
      </w:r>
      <w:r w:rsidRPr="00954B19">
        <w:rPr>
          <w:rFonts w:eastAsia="Times New Roman"/>
          <w:sz w:val="20"/>
          <w:szCs w:val="20"/>
          <w:u w:val="single"/>
          <w:lang w:eastAsia="nl-NL"/>
        </w:rPr>
        <w:t>; City of Santa Barbara v. Adamson</w:t>
      </w:r>
      <w:r w:rsidRPr="00954B19">
        <w:rPr>
          <w:rFonts w:eastAsia="Times New Roman"/>
          <w:sz w:val="20"/>
          <w:szCs w:val="20"/>
          <w:lang w:eastAsia="nl-NL"/>
        </w:rPr>
        <w:t xml:space="preserve">, 27 Cal. 3d 123, 130, 610 P.2d 436, 440 (1980); </w:t>
      </w:r>
      <w:r w:rsidRPr="00954B19">
        <w:rPr>
          <w:rFonts w:eastAsia="Times New Roman"/>
          <w:sz w:val="20"/>
          <w:szCs w:val="20"/>
          <w:u w:val="single"/>
          <w:lang w:eastAsia="nl-NL"/>
        </w:rPr>
        <w:t xml:space="preserve">Am. Nat'l Ins. Co. v. Fair Employment &amp; </w:t>
      </w:r>
      <w:proofErr w:type="spellStart"/>
      <w:r w:rsidRPr="00954B19">
        <w:rPr>
          <w:rFonts w:eastAsia="Times New Roman"/>
          <w:sz w:val="20"/>
          <w:szCs w:val="20"/>
          <w:u w:val="single"/>
          <w:lang w:eastAsia="nl-NL"/>
        </w:rPr>
        <w:t>Hous</w:t>
      </w:r>
      <w:proofErr w:type="spellEnd"/>
      <w:r w:rsidRPr="00954B19">
        <w:rPr>
          <w:rFonts w:eastAsia="Times New Roman"/>
          <w:sz w:val="20"/>
          <w:szCs w:val="20"/>
          <w:u w:val="single"/>
          <w:lang w:eastAsia="nl-NL"/>
        </w:rPr>
        <w:t>. Com.</w:t>
      </w:r>
      <w:r w:rsidRPr="00954B19">
        <w:rPr>
          <w:rFonts w:eastAsia="Times New Roman"/>
          <w:sz w:val="20"/>
          <w:szCs w:val="20"/>
          <w:lang w:eastAsia="nl-NL"/>
        </w:rPr>
        <w:t xml:space="preserve">, 32 Cal. 3d 603, 608, 651 P.2d 1151, 1154 (1982); </w:t>
      </w:r>
      <w:r w:rsidRPr="00954B19">
        <w:rPr>
          <w:rFonts w:eastAsia="Times New Roman"/>
          <w:sz w:val="20"/>
          <w:szCs w:val="20"/>
          <w:u w:val="single"/>
          <w:lang w:eastAsia="nl-NL"/>
        </w:rPr>
        <w:t>In re White</w:t>
      </w:r>
      <w:r w:rsidRPr="00954B19">
        <w:rPr>
          <w:rFonts w:eastAsia="Times New Roman"/>
          <w:sz w:val="20"/>
          <w:szCs w:val="20"/>
          <w:lang w:eastAsia="nl-NL"/>
        </w:rPr>
        <w:t xml:space="preserve">, 97 Cal. App. 3d 141, 148, 158 Cal. </w:t>
      </w:r>
      <w:proofErr w:type="spellStart"/>
      <w:r w:rsidRPr="00954B19">
        <w:rPr>
          <w:rFonts w:eastAsia="Times New Roman"/>
          <w:sz w:val="20"/>
          <w:szCs w:val="20"/>
          <w:lang w:eastAsia="nl-NL"/>
        </w:rPr>
        <w:t>Rptr</w:t>
      </w:r>
      <w:proofErr w:type="spellEnd"/>
      <w:r w:rsidRPr="00954B19">
        <w:rPr>
          <w:rFonts w:eastAsia="Times New Roman"/>
          <w:sz w:val="20"/>
          <w:szCs w:val="20"/>
          <w:lang w:eastAsia="nl-NL"/>
        </w:rPr>
        <w:t xml:space="preserve">. 562, 567 (Ct. App. 1979)). </w:t>
      </w:r>
    </w:p>
    <w:p w14:paraId="6009789F" w14:textId="31957848" w:rsidR="0034620E" w:rsidRPr="00A027C3" w:rsidRDefault="0034620E" w:rsidP="00557D96">
      <w:pPr>
        <w:jc w:val="both"/>
        <w:rPr>
          <w:rFonts w:eastAsia="Times New Roman"/>
          <w:u w:val="single"/>
          <w:lang w:eastAsia="nl-NL"/>
        </w:rPr>
      </w:pPr>
    </w:p>
  </w:footnote>
  <w:footnote w:id="23">
    <w:p w14:paraId="2FD715E1" w14:textId="2650BFC5" w:rsidR="0034620E" w:rsidRPr="004B3803" w:rsidRDefault="0034620E" w:rsidP="00557D96">
      <w:pPr>
        <w:pStyle w:val="Voetnoottekst"/>
        <w:spacing w:after="0" w:line="240" w:lineRule="auto"/>
        <w:jc w:val="both"/>
        <w:rPr>
          <w:rFonts w:ascii="Times New Roman" w:hAnsi="Times New Roman"/>
          <w:color w:val="000000"/>
          <w:lang w:val="en-GB"/>
        </w:rPr>
      </w:pPr>
      <w:r w:rsidRPr="00F700B8">
        <w:rPr>
          <w:rStyle w:val="Voetnootmarkering"/>
          <w:rFonts w:ascii="Times New Roman" w:hAnsi="Times New Roman"/>
          <w:lang w:val="en-GB"/>
        </w:rPr>
        <w:footnoteRef/>
      </w:r>
      <w:r w:rsidRPr="00F700B8">
        <w:rPr>
          <w:rFonts w:ascii="Times New Roman" w:hAnsi="Times New Roman"/>
          <w:lang w:val="en-GB"/>
        </w:rPr>
        <w:t xml:space="preserve"> It is primarily </w:t>
      </w:r>
      <w:r>
        <w:rPr>
          <w:rFonts w:ascii="Times New Roman" w:hAnsi="Times New Roman"/>
          <w:lang w:val="en-GB"/>
        </w:rPr>
        <w:t>“</w:t>
      </w:r>
      <w:r w:rsidRPr="00F700B8">
        <w:rPr>
          <w:rFonts w:ascii="Times New Roman" w:hAnsi="Times New Roman"/>
          <w:lang w:val="en-GB"/>
        </w:rPr>
        <w:t>human dignity</w:t>
      </w:r>
      <w:r>
        <w:rPr>
          <w:rFonts w:ascii="Times New Roman" w:hAnsi="Times New Roman"/>
          <w:lang w:val="en-GB"/>
        </w:rPr>
        <w:t>”</w:t>
      </w:r>
      <w:r w:rsidRPr="00F700B8">
        <w:rPr>
          <w:rFonts w:ascii="Times New Roman" w:hAnsi="Times New Roman"/>
          <w:lang w:val="en-GB"/>
        </w:rPr>
        <w:t xml:space="preserve"> that plays its part in judicial decision-making, but only in cases in which national and/or </w:t>
      </w:r>
      <w:r w:rsidRPr="004B3803">
        <w:rPr>
          <w:rFonts w:ascii="Times New Roman" w:hAnsi="Times New Roman"/>
          <w:color w:val="000000"/>
          <w:lang w:val="en-GB"/>
        </w:rPr>
        <w:t xml:space="preserve">regional sources also refer to this foundational value. </w:t>
      </w:r>
    </w:p>
    <w:p w14:paraId="696F1A86" w14:textId="77777777" w:rsidR="0034620E" w:rsidRPr="0070004A" w:rsidRDefault="0034620E" w:rsidP="00557D96">
      <w:pPr>
        <w:pStyle w:val="Voetnoottekst"/>
        <w:spacing w:after="0" w:line="240" w:lineRule="auto"/>
        <w:jc w:val="both"/>
        <w:rPr>
          <w:rFonts w:ascii="Times New Roman" w:hAnsi="Times New Roman"/>
        </w:rPr>
      </w:pPr>
    </w:p>
  </w:footnote>
  <w:footnote w:id="24">
    <w:p w14:paraId="665972F3" w14:textId="18011792" w:rsidR="0034620E" w:rsidRPr="00137DDB" w:rsidRDefault="0034620E" w:rsidP="00557D96">
      <w:pPr>
        <w:jc w:val="both"/>
        <w:rPr>
          <w:sz w:val="20"/>
          <w:szCs w:val="20"/>
          <w:lang w:val="en-GB"/>
        </w:rPr>
      </w:pPr>
      <w:r w:rsidRPr="00001CD0">
        <w:rPr>
          <w:rStyle w:val="Voetnootmarkering"/>
          <w:color w:val="000000"/>
          <w:sz w:val="20"/>
          <w:szCs w:val="20"/>
          <w:lang w:val="en-GB"/>
        </w:rPr>
        <w:footnoteRef/>
      </w:r>
      <w:r w:rsidRPr="00001CD0">
        <w:rPr>
          <w:color w:val="000000"/>
          <w:sz w:val="20"/>
          <w:szCs w:val="20"/>
          <w:lang w:val="en-GB"/>
        </w:rPr>
        <w:t xml:space="preserve"> On the origin and inclusion of Art. 1 UDHR see, notably, </w:t>
      </w:r>
      <w:proofErr w:type="spellStart"/>
      <w:r w:rsidRPr="00001CD0">
        <w:rPr>
          <w:color w:val="000000"/>
          <w:sz w:val="20"/>
          <w:szCs w:val="20"/>
          <w:lang w:val="en-GB"/>
        </w:rPr>
        <w:t>Morsink</w:t>
      </w:r>
      <w:proofErr w:type="spellEnd"/>
      <w:r w:rsidRPr="00001CD0">
        <w:rPr>
          <w:color w:val="000000"/>
          <w:sz w:val="20"/>
          <w:szCs w:val="20"/>
          <w:lang w:val="en-GB"/>
        </w:rPr>
        <w:t xml:space="preserve">, (supra </w:t>
      </w:r>
      <w:r w:rsidR="00557D96">
        <w:rPr>
          <w:color w:val="000000"/>
          <w:sz w:val="20"/>
          <w:szCs w:val="20"/>
          <w:lang w:val="en-GB"/>
        </w:rPr>
        <w:t xml:space="preserve">fn. </w:t>
      </w:r>
      <w:r w:rsidRPr="00001CD0">
        <w:rPr>
          <w:color w:val="000000"/>
          <w:sz w:val="20"/>
          <w:szCs w:val="20"/>
          <w:lang w:val="en-GB"/>
        </w:rPr>
        <w:t xml:space="preserve">14); Facing History and Ourselves National Foundation,  </w:t>
      </w:r>
      <w:r>
        <w:rPr>
          <w:color w:val="000000"/>
          <w:sz w:val="20"/>
          <w:szCs w:val="20"/>
          <w:lang w:val="en-GB"/>
        </w:rPr>
        <w:t>“</w:t>
      </w:r>
      <w:r w:rsidRPr="00137DDB">
        <w:rPr>
          <w:bCs/>
          <w:color w:val="000000"/>
          <w:sz w:val="20"/>
          <w:szCs w:val="20"/>
          <w:lang w:val="en-GB"/>
        </w:rPr>
        <w:t>Fundamental Freedoms</w:t>
      </w:r>
      <w:r w:rsidRPr="00137DDB">
        <w:rPr>
          <w:color w:val="000000"/>
          <w:sz w:val="20"/>
          <w:szCs w:val="20"/>
          <w:lang w:val="en-GB"/>
        </w:rPr>
        <w:t xml:space="preserve">: </w:t>
      </w:r>
      <w:r w:rsidRPr="00137DDB">
        <w:rPr>
          <w:bCs/>
          <w:color w:val="000000"/>
          <w:sz w:val="20"/>
          <w:szCs w:val="20"/>
          <w:lang w:val="en-GB"/>
        </w:rPr>
        <w:t>Eleanor Roosevelt</w:t>
      </w:r>
      <w:r w:rsidRPr="00137DDB">
        <w:rPr>
          <w:color w:val="000000"/>
          <w:sz w:val="20"/>
          <w:szCs w:val="20"/>
          <w:lang w:val="en-GB"/>
        </w:rPr>
        <w:t xml:space="preserve"> and the </w:t>
      </w:r>
      <w:r w:rsidRPr="00137DDB">
        <w:rPr>
          <w:bCs/>
          <w:color w:val="000000"/>
          <w:sz w:val="20"/>
          <w:szCs w:val="20"/>
          <w:lang w:val="en-GB"/>
        </w:rPr>
        <w:t>Universal Declaration</w:t>
      </w:r>
      <w:r w:rsidRPr="00137DDB">
        <w:rPr>
          <w:color w:val="000000"/>
          <w:sz w:val="20"/>
          <w:szCs w:val="20"/>
          <w:lang w:val="en-GB"/>
        </w:rPr>
        <w:t xml:space="preserve"> of </w:t>
      </w:r>
      <w:r w:rsidRPr="00137DDB">
        <w:rPr>
          <w:bCs/>
          <w:color w:val="000000"/>
          <w:sz w:val="20"/>
          <w:szCs w:val="20"/>
          <w:lang w:val="en-GB"/>
        </w:rPr>
        <w:t xml:space="preserve">Human Rights – Part III: </w:t>
      </w:r>
      <w:r w:rsidRPr="00137DDB">
        <w:rPr>
          <w:color w:val="000000"/>
          <w:sz w:val="20"/>
          <w:szCs w:val="20"/>
          <w:lang w:val="en-GB"/>
        </w:rPr>
        <w:t>The Universal Declaration of Human Rights</w:t>
      </w:r>
      <w:r>
        <w:rPr>
          <w:color w:val="000000"/>
          <w:sz w:val="20"/>
          <w:szCs w:val="20"/>
          <w:lang w:val="en-GB"/>
        </w:rPr>
        <w:t>,”</w:t>
      </w:r>
      <w:r w:rsidRPr="00137DDB">
        <w:rPr>
          <w:color w:val="000000"/>
          <w:sz w:val="20"/>
          <w:szCs w:val="20"/>
          <w:lang w:val="en-GB"/>
        </w:rPr>
        <w:t xml:space="preserve"> available at: www.facinghistory.org/sites/facinghistory.org/files/PartIII_essay_and_documents_0</w:t>
      </w:r>
      <w:r w:rsidRPr="00F700B8">
        <w:rPr>
          <w:color w:val="000000"/>
          <w:sz w:val="20"/>
          <w:szCs w:val="20"/>
          <w:lang w:val="en-GB"/>
        </w:rPr>
        <w:t>.pdf</w:t>
      </w:r>
      <w:r w:rsidRPr="00F700B8">
        <w:rPr>
          <w:i/>
          <w:color w:val="000000"/>
          <w:sz w:val="20"/>
          <w:szCs w:val="20"/>
          <w:lang w:val="en-GB"/>
        </w:rPr>
        <w:t xml:space="preserve"> , </w:t>
      </w:r>
      <w:r w:rsidRPr="00F700B8">
        <w:rPr>
          <w:color w:val="000000"/>
          <w:sz w:val="20"/>
          <w:szCs w:val="20"/>
          <w:lang w:val="en-GB"/>
        </w:rPr>
        <w:t xml:space="preserve">last accessed 27 January 2013;  </w:t>
      </w:r>
      <w:proofErr w:type="spellStart"/>
      <w:r w:rsidRPr="00F700B8">
        <w:rPr>
          <w:color w:val="000000"/>
          <w:sz w:val="20"/>
          <w:szCs w:val="20"/>
          <w:lang w:val="en-GB"/>
        </w:rPr>
        <w:t>Lindholm</w:t>
      </w:r>
      <w:proofErr w:type="spellEnd"/>
      <w:r w:rsidRPr="00F700B8">
        <w:rPr>
          <w:color w:val="000000"/>
          <w:sz w:val="20"/>
          <w:szCs w:val="20"/>
          <w:lang w:val="en-GB"/>
        </w:rPr>
        <w:t xml:space="preserve">, T. </w:t>
      </w:r>
      <w:r>
        <w:rPr>
          <w:color w:val="000000"/>
          <w:sz w:val="20"/>
          <w:szCs w:val="20"/>
          <w:lang w:val="en-GB"/>
        </w:rPr>
        <w:t>“</w:t>
      </w:r>
      <w:r w:rsidRPr="00137DDB">
        <w:rPr>
          <w:color w:val="000000"/>
          <w:sz w:val="20"/>
          <w:szCs w:val="20"/>
          <w:lang w:val="en-GB"/>
        </w:rPr>
        <w:t>Article One</w:t>
      </w:r>
      <w:r>
        <w:rPr>
          <w:color w:val="000000"/>
          <w:sz w:val="20"/>
          <w:szCs w:val="20"/>
          <w:lang w:val="en-GB"/>
        </w:rPr>
        <w:t xml:space="preserve">,” </w:t>
      </w:r>
      <w:r w:rsidRPr="00137DDB">
        <w:rPr>
          <w:color w:val="000000"/>
          <w:sz w:val="20"/>
          <w:szCs w:val="20"/>
          <w:lang w:val="en-GB"/>
        </w:rPr>
        <w:t xml:space="preserve">in </w:t>
      </w:r>
      <w:proofErr w:type="spellStart"/>
      <w:r w:rsidRPr="00137DDB">
        <w:rPr>
          <w:color w:val="000000"/>
          <w:sz w:val="20"/>
          <w:szCs w:val="20"/>
          <w:lang w:val="en-GB"/>
        </w:rPr>
        <w:t>Eide</w:t>
      </w:r>
      <w:proofErr w:type="spellEnd"/>
      <w:r w:rsidRPr="00137DDB">
        <w:rPr>
          <w:color w:val="000000"/>
          <w:sz w:val="20"/>
          <w:szCs w:val="20"/>
          <w:lang w:val="en-GB"/>
        </w:rPr>
        <w:t xml:space="preserve">, A. et al. (eds.), </w:t>
      </w:r>
      <w:r w:rsidRPr="00137DDB">
        <w:rPr>
          <w:i/>
          <w:color w:val="000000"/>
          <w:sz w:val="20"/>
          <w:szCs w:val="20"/>
          <w:lang w:val="en-GB"/>
        </w:rPr>
        <w:t>The Universal Declaration of Human Rights: A Commentary</w:t>
      </w:r>
      <w:r w:rsidRPr="00137DDB">
        <w:rPr>
          <w:color w:val="000000"/>
          <w:sz w:val="20"/>
          <w:szCs w:val="20"/>
          <w:lang w:val="en-GB"/>
        </w:rPr>
        <w:t xml:space="preserve">, (Scandinavian University Press/Oxford University Press, Oslo/Oxford, 1992), p. 31-56; </w:t>
      </w:r>
      <w:proofErr w:type="spellStart"/>
      <w:r w:rsidRPr="00137DDB">
        <w:rPr>
          <w:color w:val="000000"/>
          <w:sz w:val="20"/>
          <w:szCs w:val="20"/>
          <w:lang w:val="en-GB"/>
        </w:rPr>
        <w:t>Morsink’s</w:t>
      </w:r>
      <w:proofErr w:type="spellEnd"/>
      <w:r w:rsidRPr="00137DDB">
        <w:rPr>
          <w:color w:val="000000"/>
          <w:sz w:val="20"/>
          <w:szCs w:val="20"/>
          <w:lang w:val="en-GB"/>
        </w:rPr>
        <w:t xml:space="preserve"> book review of that volume, </w:t>
      </w:r>
      <w:proofErr w:type="spellStart"/>
      <w:r w:rsidRPr="00137DDB">
        <w:rPr>
          <w:color w:val="000000"/>
          <w:sz w:val="20"/>
          <w:szCs w:val="20"/>
          <w:lang w:val="en-GB"/>
        </w:rPr>
        <w:t>Morsink</w:t>
      </w:r>
      <w:proofErr w:type="spellEnd"/>
      <w:r w:rsidRPr="00137DDB">
        <w:rPr>
          <w:color w:val="000000"/>
          <w:sz w:val="20"/>
          <w:szCs w:val="20"/>
          <w:lang w:val="en-GB"/>
        </w:rPr>
        <w:t xml:space="preserve">, J., </w:t>
      </w:r>
      <w:r>
        <w:rPr>
          <w:color w:val="000000"/>
          <w:sz w:val="20"/>
          <w:szCs w:val="20"/>
          <w:lang w:val="en-GB"/>
        </w:rPr>
        <w:t>“</w:t>
      </w:r>
      <w:r w:rsidRPr="00137DDB">
        <w:rPr>
          <w:color w:val="000000"/>
          <w:sz w:val="20"/>
          <w:szCs w:val="20"/>
          <w:lang w:val="en-GB"/>
        </w:rPr>
        <w:t>The Universal Declaration of Human Rights: A Commentary</w:t>
      </w:r>
      <w:r>
        <w:rPr>
          <w:color w:val="000000"/>
          <w:sz w:val="20"/>
          <w:szCs w:val="20"/>
          <w:lang w:val="en-GB"/>
        </w:rPr>
        <w:t xml:space="preserve">,” </w:t>
      </w:r>
      <w:r w:rsidRPr="00137DDB">
        <w:rPr>
          <w:i/>
          <w:sz w:val="20"/>
          <w:szCs w:val="20"/>
          <w:lang w:val="en-GB"/>
        </w:rPr>
        <w:t>Human Rights Quarterly</w:t>
      </w:r>
      <w:r w:rsidRPr="00137DDB">
        <w:rPr>
          <w:sz w:val="20"/>
          <w:szCs w:val="20"/>
          <w:lang w:val="en-GB"/>
        </w:rPr>
        <w:t>, Vol. 17, No. 2, 1995, pp. 398-402</w:t>
      </w:r>
      <w:r w:rsidRPr="00137DDB">
        <w:rPr>
          <w:color w:val="000000"/>
          <w:sz w:val="20"/>
          <w:szCs w:val="20"/>
          <w:lang w:val="en-GB"/>
        </w:rPr>
        <w:t xml:space="preserve">; </w:t>
      </w:r>
      <w:hyperlink r:id="rId8" w:history="1">
        <w:r w:rsidRPr="00F700B8">
          <w:rPr>
            <w:rStyle w:val="Hyperlink"/>
            <w:color w:val="000000"/>
            <w:sz w:val="20"/>
            <w:szCs w:val="20"/>
            <w:u w:val="none"/>
            <w:lang w:val="en-GB"/>
          </w:rPr>
          <w:t xml:space="preserve">Waltz, S., </w:t>
        </w:r>
        <w:r>
          <w:rPr>
            <w:rStyle w:val="Hyperlink"/>
            <w:color w:val="000000"/>
            <w:sz w:val="20"/>
            <w:szCs w:val="20"/>
            <w:u w:val="none"/>
            <w:lang w:val="en-GB"/>
          </w:rPr>
          <w:t>“</w:t>
        </w:r>
        <w:r w:rsidRPr="00F700B8">
          <w:rPr>
            <w:rStyle w:val="Hyperlink"/>
            <w:color w:val="000000"/>
            <w:sz w:val="20"/>
            <w:szCs w:val="20"/>
            <w:u w:val="none"/>
            <w:lang w:val="en-GB"/>
          </w:rPr>
          <w:t>Reclaiming and rebuilding the history of the Universal Declaration of Human Rights</w:t>
        </w:r>
        <w:r>
          <w:rPr>
            <w:rStyle w:val="Hyperlink"/>
            <w:color w:val="000000"/>
            <w:sz w:val="20"/>
            <w:szCs w:val="20"/>
            <w:u w:val="none"/>
            <w:lang w:val="en-GB"/>
          </w:rPr>
          <w:t xml:space="preserve">,” </w:t>
        </w:r>
        <w:r w:rsidRPr="00F700B8">
          <w:rPr>
            <w:rStyle w:val="Hyperlink"/>
            <w:color w:val="000000"/>
            <w:sz w:val="20"/>
            <w:szCs w:val="20"/>
            <w:u w:val="none"/>
            <w:lang w:val="en-GB"/>
          </w:rPr>
          <w:t xml:space="preserve"> </w:t>
        </w:r>
        <w:r w:rsidRPr="00F700B8">
          <w:rPr>
            <w:rStyle w:val="Hyperlink"/>
            <w:i/>
            <w:iCs/>
            <w:color w:val="000000"/>
            <w:sz w:val="20"/>
            <w:szCs w:val="20"/>
            <w:u w:val="none"/>
            <w:lang w:val="en-GB"/>
          </w:rPr>
          <w:t xml:space="preserve">Third World Quarterly, </w:t>
        </w:r>
        <w:r w:rsidRPr="00F700B8">
          <w:rPr>
            <w:rStyle w:val="Hyperlink"/>
            <w:iCs/>
            <w:color w:val="000000"/>
            <w:sz w:val="20"/>
            <w:szCs w:val="20"/>
            <w:u w:val="none"/>
            <w:lang w:val="en-GB"/>
          </w:rPr>
          <w:t>Vol. 23, No. 3, 2002, pp 437–448</w:t>
        </w:r>
      </w:hyperlink>
      <w:r w:rsidRPr="00F700B8">
        <w:rPr>
          <w:iCs/>
          <w:color w:val="000000"/>
          <w:sz w:val="20"/>
          <w:szCs w:val="20"/>
          <w:lang w:val="en-GB"/>
        </w:rPr>
        <w:t xml:space="preserve">; </w:t>
      </w:r>
      <w:r w:rsidRPr="00F700B8">
        <w:rPr>
          <w:color w:val="000000"/>
          <w:sz w:val="20"/>
          <w:szCs w:val="20"/>
          <w:lang w:val="en-GB"/>
        </w:rPr>
        <w:t xml:space="preserve">Bailey, P., </w:t>
      </w:r>
      <w:r>
        <w:rPr>
          <w:color w:val="000000"/>
          <w:sz w:val="20"/>
          <w:szCs w:val="20"/>
          <w:lang w:val="en-GB"/>
        </w:rPr>
        <w:t>“</w:t>
      </w:r>
      <w:r w:rsidRPr="00137DDB">
        <w:rPr>
          <w:color w:val="000000"/>
          <w:sz w:val="20"/>
          <w:szCs w:val="20"/>
          <w:lang w:val="en-GB"/>
        </w:rPr>
        <w:t>The Creation of the Universal Declaration of Human Rights</w:t>
      </w:r>
      <w:r>
        <w:rPr>
          <w:color w:val="000000"/>
          <w:sz w:val="20"/>
          <w:szCs w:val="20"/>
          <w:lang w:val="en-GB"/>
        </w:rPr>
        <w:t>,”</w:t>
      </w:r>
      <w:r w:rsidRPr="00137DDB">
        <w:rPr>
          <w:color w:val="000000"/>
          <w:sz w:val="20"/>
          <w:szCs w:val="20"/>
          <w:lang w:val="en-GB"/>
        </w:rPr>
        <w:t xml:space="preserve"> supra</w:t>
      </w:r>
      <w:r w:rsidRPr="00137DDB">
        <w:rPr>
          <w:sz w:val="20"/>
          <w:szCs w:val="20"/>
          <w:lang w:val="en-GB"/>
        </w:rPr>
        <w:t xml:space="preserve">; </w:t>
      </w:r>
      <w:proofErr w:type="spellStart"/>
      <w:r w:rsidRPr="00137DDB">
        <w:rPr>
          <w:sz w:val="20"/>
          <w:szCs w:val="20"/>
          <w:lang w:val="en-GB"/>
        </w:rPr>
        <w:t>Danchin</w:t>
      </w:r>
      <w:proofErr w:type="spellEnd"/>
      <w:r w:rsidRPr="00137DDB">
        <w:rPr>
          <w:sz w:val="20"/>
          <w:szCs w:val="20"/>
          <w:lang w:val="en-GB"/>
        </w:rPr>
        <w:t xml:space="preserve">, P., </w:t>
      </w:r>
      <w:r>
        <w:rPr>
          <w:sz w:val="20"/>
          <w:szCs w:val="20"/>
          <w:lang w:val="en-GB"/>
        </w:rPr>
        <w:t>“</w:t>
      </w:r>
      <w:r w:rsidRPr="00137DDB">
        <w:rPr>
          <w:sz w:val="20"/>
          <w:szCs w:val="20"/>
          <w:lang w:val="en-GB"/>
        </w:rPr>
        <w:t>Article 1 UDHR, drafting history</w:t>
      </w:r>
      <w:r>
        <w:rPr>
          <w:sz w:val="20"/>
          <w:szCs w:val="20"/>
          <w:lang w:val="en-GB"/>
        </w:rPr>
        <w:t>,”</w:t>
      </w:r>
      <w:r w:rsidRPr="00137DDB">
        <w:rPr>
          <w:sz w:val="20"/>
          <w:szCs w:val="20"/>
          <w:lang w:val="en-GB"/>
        </w:rPr>
        <w:t xml:space="preserve"> supra 17.</w:t>
      </w:r>
    </w:p>
    <w:p w14:paraId="109BC02D" w14:textId="77777777" w:rsidR="0034620E" w:rsidRPr="00F700B8" w:rsidRDefault="0034620E" w:rsidP="00557D96">
      <w:pPr>
        <w:jc w:val="both"/>
        <w:rPr>
          <w:sz w:val="20"/>
          <w:szCs w:val="20"/>
        </w:rPr>
      </w:pPr>
    </w:p>
  </w:footnote>
  <w:footnote w:id="25">
    <w:p w14:paraId="42284767" w14:textId="7D31B4CA" w:rsidR="0034620E" w:rsidRPr="00963C00" w:rsidRDefault="0034620E" w:rsidP="00557D96">
      <w:pPr>
        <w:pStyle w:val="Voetnoottekst"/>
        <w:spacing w:after="0" w:line="240" w:lineRule="auto"/>
        <w:jc w:val="both"/>
        <w:rPr>
          <w:rFonts w:ascii="Times New Roman" w:hAnsi="Times New Roman"/>
          <w:lang w:val="en-GB"/>
        </w:rPr>
      </w:pPr>
      <w:r w:rsidRPr="00F700B8">
        <w:rPr>
          <w:rStyle w:val="Voetnootmarkering"/>
          <w:rFonts w:ascii="Times New Roman" w:hAnsi="Times New Roman"/>
          <w:lang w:val="en-GB"/>
        </w:rPr>
        <w:footnoteRef/>
      </w:r>
      <w:r w:rsidRPr="00F700B8">
        <w:rPr>
          <w:rFonts w:ascii="Times New Roman" w:hAnsi="Times New Roman"/>
          <w:lang w:val="en-GB"/>
        </w:rPr>
        <w:t xml:space="preserve"> Bailey, </w:t>
      </w:r>
      <w:r>
        <w:rPr>
          <w:rFonts w:ascii="Times New Roman" w:hAnsi="Times New Roman"/>
          <w:lang w:val="en-GB"/>
        </w:rPr>
        <w:t>“</w:t>
      </w:r>
      <w:r w:rsidRPr="00F700B8">
        <w:rPr>
          <w:rFonts w:ascii="Times New Roman" w:hAnsi="Times New Roman"/>
          <w:lang w:val="en-GB"/>
        </w:rPr>
        <w:t>The Creation of the Universal Declaration of Human Rights,</w:t>
      </w:r>
      <w:r>
        <w:rPr>
          <w:rFonts w:ascii="Times New Roman" w:hAnsi="Times New Roman"/>
          <w:lang w:val="en-GB"/>
        </w:rPr>
        <w:t>”</w:t>
      </w:r>
      <w:r w:rsidRPr="00F700B8">
        <w:rPr>
          <w:rFonts w:ascii="Times New Roman" w:hAnsi="Times New Roman"/>
          <w:lang w:val="en-GB"/>
        </w:rPr>
        <w:t xml:space="preserve"> supra 17.</w:t>
      </w:r>
    </w:p>
    <w:p w14:paraId="1E481815" w14:textId="77777777" w:rsidR="0034620E" w:rsidRPr="004B3803" w:rsidRDefault="0034620E" w:rsidP="00557D96">
      <w:pPr>
        <w:pStyle w:val="Voetnoottekst"/>
        <w:spacing w:after="0" w:line="240" w:lineRule="auto"/>
        <w:jc w:val="both"/>
        <w:rPr>
          <w:rFonts w:ascii="Times New Roman" w:hAnsi="Times New Roman"/>
        </w:rPr>
      </w:pPr>
    </w:p>
  </w:footnote>
  <w:footnote w:id="26">
    <w:p w14:paraId="4ED0930D" w14:textId="30936AC6" w:rsidR="0034620E" w:rsidRPr="00B11868" w:rsidRDefault="0034620E" w:rsidP="00557D96">
      <w:pPr>
        <w:pStyle w:val="Voetnoottekst"/>
        <w:spacing w:after="0" w:line="240" w:lineRule="auto"/>
        <w:jc w:val="both"/>
        <w:rPr>
          <w:rFonts w:ascii="Times New Roman" w:hAnsi="Times New Roman"/>
          <w:lang w:val="en-GB"/>
        </w:rPr>
      </w:pPr>
      <w:r w:rsidRPr="00F700B8">
        <w:rPr>
          <w:rStyle w:val="Voetnootmarkering"/>
          <w:rFonts w:ascii="Times New Roman" w:hAnsi="Times New Roman"/>
          <w:lang w:val="en-GB"/>
        </w:rPr>
        <w:footnoteRef/>
      </w:r>
      <w:r w:rsidRPr="00F700B8">
        <w:rPr>
          <w:rFonts w:ascii="Times New Roman" w:hAnsi="Times New Roman"/>
          <w:lang w:val="en-GB"/>
        </w:rPr>
        <w:t xml:space="preserve"> Bailey, </w:t>
      </w:r>
      <w:r>
        <w:rPr>
          <w:rFonts w:ascii="Times New Roman" w:hAnsi="Times New Roman"/>
          <w:lang w:val="en-GB"/>
        </w:rPr>
        <w:t>“</w:t>
      </w:r>
      <w:r w:rsidRPr="00F700B8">
        <w:rPr>
          <w:rFonts w:ascii="Times New Roman" w:hAnsi="Times New Roman"/>
          <w:lang w:val="en-GB"/>
        </w:rPr>
        <w:t xml:space="preserve">The </w:t>
      </w:r>
      <w:r w:rsidRPr="00963C00">
        <w:rPr>
          <w:rFonts w:ascii="Times New Roman" w:hAnsi="Times New Roman"/>
          <w:lang w:val="en-GB"/>
        </w:rPr>
        <w:t>Creation of the Universal Declaration of Human Rights,</w:t>
      </w:r>
      <w:r>
        <w:rPr>
          <w:rFonts w:ascii="Times New Roman" w:hAnsi="Times New Roman"/>
          <w:lang w:val="en-GB"/>
        </w:rPr>
        <w:t>”</w:t>
      </w:r>
      <w:r w:rsidRPr="00963C00">
        <w:rPr>
          <w:rFonts w:ascii="Times New Roman" w:hAnsi="Times New Roman"/>
          <w:lang w:val="en-GB"/>
        </w:rPr>
        <w:t xml:space="preserve"> supra 17. Emphasis added.</w:t>
      </w:r>
    </w:p>
    <w:p w14:paraId="32A6471E" w14:textId="77777777" w:rsidR="0034620E" w:rsidRPr="004B3803" w:rsidRDefault="0034620E" w:rsidP="00557D96">
      <w:pPr>
        <w:pStyle w:val="Voetnoottekst"/>
        <w:spacing w:after="0" w:line="240" w:lineRule="auto"/>
        <w:jc w:val="both"/>
        <w:rPr>
          <w:rFonts w:ascii="Times New Roman" w:hAnsi="Times New Roman"/>
        </w:rPr>
      </w:pPr>
    </w:p>
  </w:footnote>
  <w:footnote w:id="27">
    <w:p w14:paraId="30032B3B" w14:textId="77777777" w:rsidR="0034620E" w:rsidRPr="00963C00"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Lauren, </w:t>
      </w:r>
      <w:r w:rsidRPr="00954B19">
        <w:rPr>
          <w:rFonts w:ascii="Times New Roman" w:hAnsi="Times New Roman"/>
          <w:i/>
        </w:rPr>
        <w:t>Visions Seen</w:t>
      </w:r>
      <w:r w:rsidRPr="00F700B8">
        <w:rPr>
          <w:rFonts w:ascii="Times New Roman" w:hAnsi="Times New Roman"/>
        </w:rPr>
        <w:t xml:space="preserve">, p. 218. </w:t>
      </w:r>
    </w:p>
  </w:footnote>
  <w:footnote w:id="28">
    <w:p w14:paraId="049E4E67" w14:textId="77777777" w:rsidR="0034620E" w:rsidRPr="00963C00"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Lauren, </w:t>
      </w:r>
      <w:r w:rsidRPr="00954B19">
        <w:rPr>
          <w:rFonts w:ascii="Times New Roman" w:hAnsi="Times New Roman"/>
          <w:i/>
        </w:rPr>
        <w:t>Visions Seen</w:t>
      </w:r>
      <w:r w:rsidRPr="00F700B8">
        <w:rPr>
          <w:rFonts w:ascii="Times New Roman" w:hAnsi="Times New Roman"/>
        </w:rPr>
        <w:t>, p. 234.</w:t>
      </w:r>
    </w:p>
  </w:footnote>
  <w:footnote w:id="29">
    <w:p w14:paraId="48328256" w14:textId="5735AF6E" w:rsidR="0034620E" w:rsidRPr="00963C00" w:rsidRDefault="0034620E" w:rsidP="00557D96">
      <w:pPr>
        <w:pStyle w:val="Voetnoottekst"/>
        <w:spacing w:after="0" w:line="240" w:lineRule="auto"/>
        <w:jc w:val="both"/>
        <w:rPr>
          <w:rFonts w:ascii="Times New Roman" w:hAnsi="Times New Roman"/>
          <w:lang w:val="en-GB"/>
        </w:rPr>
      </w:pPr>
      <w:r w:rsidRPr="00F700B8">
        <w:rPr>
          <w:rStyle w:val="Voetnootmarkering"/>
          <w:rFonts w:ascii="Times New Roman" w:hAnsi="Times New Roman"/>
          <w:lang w:val="en-GB"/>
        </w:rPr>
        <w:footnoteRef/>
      </w:r>
      <w:r w:rsidRPr="00F700B8">
        <w:rPr>
          <w:rFonts w:ascii="Times New Roman" w:hAnsi="Times New Roman"/>
          <w:lang w:val="en-GB"/>
        </w:rPr>
        <w:t xml:space="preserve"> </w:t>
      </w:r>
      <w:proofErr w:type="spellStart"/>
      <w:r w:rsidRPr="00F700B8">
        <w:rPr>
          <w:rFonts w:ascii="Times New Roman" w:hAnsi="Times New Roman"/>
          <w:lang w:val="en-GB"/>
        </w:rPr>
        <w:t>Lindholm</w:t>
      </w:r>
      <w:proofErr w:type="spellEnd"/>
      <w:r w:rsidRPr="00F700B8">
        <w:rPr>
          <w:rFonts w:ascii="Times New Roman" w:hAnsi="Times New Roman"/>
          <w:lang w:val="en-GB"/>
        </w:rPr>
        <w:t xml:space="preserve">, T. </w:t>
      </w:r>
      <w:r>
        <w:rPr>
          <w:rFonts w:ascii="Times New Roman" w:hAnsi="Times New Roman"/>
          <w:lang w:val="en-GB"/>
        </w:rPr>
        <w:t>“</w:t>
      </w:r>
      <w:r w:rsidRPr="00F700B8">
        <w:rPr>
          <w:rFonts w:ascii="Times New Roman" w:hAnsi="Times New Roman"/>
          <w:lang w:val="en-GB"/>
        </w:rPr>
        <w:t>Article One</w:t>
      </w:r>
      <w:r>
        <w:rPr>
          <w:rFonts w:ascii="Times New Roman" w:hAnsi="Times New Roman"/>
          <w:lang w:val="en-GB"/>
        </w:rPr>
        <w:t xml:space="preserve">,” </w:t>
      </w:r>
      <w:r w:rsidRPr="00F700B8">
        <w:rPr>
          <w:rFonts w:ascii="Times New Roman" w:hAnsi="Times New Roman"/>
          <w:lang w:val="en-GB"/>
        </w:rPr>
        <w:t xml:space="preserve">in </w:t>
      </w:r>
      <w:proofErr w:type="spellStart"/>
      <w:r w:rsidRPr="00F700B8">
        <w:rPr>
          <w:rFonts w:ascii="Times New Roman" w:hAnsi="Times New Roman"/>
          <w:lang w:val="en-GB"/>
        </w:rPr>
        <w:t>Eide</w:t>
      </w:r>
      <w:proofErr w:type="spellEnd"/>
      <w:r w:rsidRPr="00F700B8">
        <w:rPr>
          <w:rFonts w:ascii="Times New Roman" w:hAnsi="Times New Roman"/>
          <w:lang w:val="en-GB"/>
        </w:rPr>
        <w:t xml:space="preserve">, A. et al. (eds.), </w:t>
      </w:r>
      <w:r w:rsidRPr="00954B19">
        <w:rPr>
          <w:rFonts w:ascii="Times New Roman" w:hAnsi="Times New Roman"/>
          <w:i/>
          <w:lang w:val="en-GB"/>
        </w:rPr>
        <w:t>The Universal Declaration of Human Rights: A Commentary</w:t>
      </w:r>
      <w:r w:rsidRPr="00F700B8">
        <w:rPr>
          <w:rFonts w:ascii="Times New Roman" w:hAnsi="Times New Roman"/>
          <w:lang w:val="en-GB"/>
        </w:rPr>
        <w:t>, (Scandinavian University Press/Oxford University Press, Oslo/Oxford, 1992), p. 31-56.</w:t>
      </w:r>
    </w:p>
    <w:p w14:paraId="54BEEA91" w14:textId="77777777" w:rsidR="0034620E" w:rsidRPr="004B3803" w:rsidRDefault="0034620E" w:rsidP="00557D96">
      <w:pPr>
        <w:pStyle w:val="Voetnoottekst"/>
        <w:spacing w:after="0" w:line="240" w:lineRule="auto"/>
        <w:jc w:val="both"/>
        <w:rPr>
          <w:rFonts w:ascii="Times New Roman" w:hAnsi="Times New Roman"/>
        </w:rPr>
      </w:pPr>
    </w:p>
  </w:footnote>
  <w:footnote w:id="30">
    <w:p w14:paraId="3B39A7E6" w14:textId="797512A3" w:rsidR="0034620E" w:rsidRPr="0070004A" w:rsidRDefault="0034620E" w:rsidP="00557D96">
      <w:pPr>
        <w:pStyle w:val="Voetnoottekst"/>
        <w:spacing w:after="0" w:line="240" w:lineRule="auto"/>
        <w:jc w:val="both"/>
        <w:rPr>
          <w:rFonts w:ascii="Times New Roman" w:hAnsi="Times New Roman"/>
          <w:lang w:val="en-GB"/>
        </w:rPr>
      </w:pPr>
      <w:r w:rsidRPr="00F700B8">
        <w:rPr>
          <w:rStyle w:val="Voetnootmarkering"/>
          <w:rFonts w:ascii="Times New Roman" w:hAnsi="Times New Roman"/>
          <w:lang w:val="en-GB"/>
        </w:rPr>
        <w:footnoteRef/>
      </w:r>
      <w:r w:rsidRPr="00F700B8">
        <w:rPr>
          <w:rFonts w:ascii="Times New Roman" w:hAnsi="Times New Roman"/>
          <w:lang w:val="en-GB"/>
        </w:rPr>
        <w:t xml:space="preserve"> </w:t>
      </w:r>
      <w:r>
        <w:rPr>
          <w:rFonts w:ascii="Times New Roman" w:hAnsi="Times New Roman"/>
          <w:color w:val="000000"/>
          <w:lang w:val="en-GB"/>
        </w:rPr>
        <w:t xml:space="preserve">Johannes </w:t>
      </w:r>
      <w:proofErr w:type="spellStart"/>
      <w:r>
        <w:rPr>
          <w:rFonts w:ascii="Times New Roman" w:hAnsi="Times New Roman"/>
          <w:color w:val="000000"/>
          <w:lang w:val="en-GB"/>
        </w:rPr>
        <w:t>Morsink</w:t>
      </w:r>
      <w:proofErr w:type="spellEnd"/>
      <w:r>
        <w:rPr>
          <w:rFonts w:ascii="Times New Roman" w:hAnsi="Times New Roman"/>
          <w:color w:val="000000"/>
          <w:lang w:val="en-GB"/>
        </w:rPr>
        <w:t xml:space="preserve">, </w:t>
      </w:r>
      <w:r w:rsidRPr="00963C00">
        <w:rPr>
          <w:rFonts w:ascii="Times New Roman" w:hAnsi="Times New Roman"/>
          <w:color w:val="000000"/>
          <w:lang w:val="en-GB"/>
        </w:rPr>
        <w:t xml:space="preserve"> </w:t>
      </w:r>
      <w:r w:rsidRPr="00B11868">
        <w:rPr>
          <w:rFonts w:ascii="Times New Roman" w:hAnsi="Times New Roman"/>
          <w:i/>
          <w:color w:val="000000"/>
          <w:lang w:val="en-GB"/>
        </w:rPr>
        <w:t>The Universal Declaration of Human Rights</w:t>
      </w:r>
      <w:r w:rsidRPr="002F7F9B">
        <w:rPr>
          <w:rFonts w:ascii="Times New Roman" w:hAnsi="Times New Roman"/>
          <w:lang w:val="en-GB"/>
        </w:rPr>
        <w:t>.</w:t>
      </w:r>
      <w:r w:rsidRPr="00DD67B0">
        <w:rPr>
          <w:rFonts w:ascii="Times New Roman" w:hAnsi="Times New Roman"/>
          <w:lang w:val="en-GB"/>
        </w:rPr>
        <w:t xml:space="preserve"> </w:t>
      </w:r>
      <w:r w:rsidRPr="004B3803">
        <w:rPr>
          <w:rFonts w:ascii="Times New Roman" w:hAnsi="Times New Roman"/>
          <w:i/>
        </w:rPr>
        <w:t>The Universal Declaration of Human Rights: Origins, Drafting, and Intent,</w:t>
      </w:r>
      <w:r>
        <w:rPr>
          <w:rFonts w:ascii="Times New Roman" w:hAnsi="Times New Roman"/>
          <w:i/>
        </w:rPr>
        <w:t xml:space="preserve"> (Philadelphia: </w:t>
      </w:r>
      <w:r w:rsidRPr="007D6F99">
        <w:rPr>
          <w:rFonts w:ascii="Times New Roman" w:hAnsi="Times New Roman"/>
          <w:i/>
        </w:rPr>
        <w:t>University of Pennsylvania Press, 1999</w:t>
      </w:r>
      <w:r>
        <w:rPr>
          <w:rFonts w:ascii="Times New Roman" w:hAnsi="Times New Roman"/>
          <w:i/>
        </w:rPr>
        <w:t>),</w:t>
      </w:r>
      <w:r w:rsidRPr="0070004A">
        <w:rPr>
          <w:rFonts w:ascii="Times New Roman" w:hAnsi="Times New Roman"/>
          <w:lang w:val="en-GB"/>
        </w:rPr>
        <w:t xml:space="preserve"> p. 288.</w:t>
      </w:r>
    </w:p>
    <w:p w14:paraId="2DEAF99F" w14:textId="77777777" w:rsidR="0034620E" w:rsidRPr="00001CD0" w:rsidRDefault="0034620E" w:rsidP="00557D96">
      <w:pPr>
        <w:pStyle w:val="Voetnoottekst"/>
        <w:spacing w:after="0" w:line="240" w:lineRule="auto"/>
        <w:jc w:val="both"/>
        <w:rPr>
          <w:rFonts w:ascii="Times New Roman" w:hAnsi="Times New Roman"/>
        </w:rPr>
      </w:pPr>
    </w:p>
  </w:footnote>
  <w:footnote w:id="31">
    <w:p w14:paraId="2A772526" w14:textId="77777777" w:rsidR="0034620E" w:rsidRPr="002F7F9B"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w:t>
      </w:r>
      <w:proofErr w:type="spellStart"/>
      <w:r w:rsidRPr="00963C00">
        <w:rPr>
          <w:rFonts w:ascii="Times New Roman" w:hAnsi="Times New Roman"/>
          <w:lang w:val="en-GB"/>
        </w:rPr>
        <w:t>Lindholm</w:t>
      </w:r>
      <w:proofErr w:type="spellEnd"/>
      <w:r w:rsidRPr="00963C00">
        <w:rPr>
          <w:rFonts w:ascii="Times New Roman" w:hAnsi="Times New Roman"/>
          <w:lang w:val="en-GB"/>
        </w:rPr>
        <w:t>, “Arti</w:t>
      </w:r>
      <w:r w:rsidRPr="00B11868">
        <w:rPr>
          <w:rFonts w:ascii="Times New Roman" w:hAnsi="Times New Roman"/>
          <w:lang w:val="en-GB"/>
        </w:rPr>
        <w:t>cle One,” p. 40.</w:t>
      </w:r>
    </w:p>
  </w:footnote>
  <w:footnote w:id="32">
    <w:p w14:paraId="37D8FB39" w14:textId="77777777" w:rsidR="0034620E" w:rsidRDefault="0034620E" w:rsidP="00557D96">
      <w:pPr>
        <w:pStyle w:val="Voetnoottekst"/>
        <w:spacing w:after="0" w:line="240" w:lineRule="auto"/>
        <w:jc w:val="both"/>
        <w:rPr>
          <w:rFonts w:ascii="Times New Roman" w:hAnsi="Times New Roman"/>
          <w:lang w:val="en-GB"/>
        </w:rPr>
      </w:pPr>
      <w:r w:rsidRPr="00F700B8">
        <w:rPr>
          <w:rStyle w:val="Voetnootmarkering"/>
          <w:rFonts w:ascii="Times New Roman" w:hAnsi="Times New Roman"/>
          <w:lang w:val="en-GB"/>
        </w:rPr>
        <w:footnoteRef/>
      </w:r>
      <w:r w:rsidRPr="00F700B8">
        <w:rPr>
          <w:rFonts w:ascii="Times New Roman" w:hAnsi="Times New Roman"/>
          <w:lang w:val="en-GB"/>
        </w:rPr>
        <w:t xml:space="preserve"> In canon law, an amazing distinction is made between </w:t>
      </w:r>
      <w:r w:rsidRPr="00963C00">
        <w:rPr>
          <w:rFonts w:ascii="Times New Roman" w:hAnsi="Times New Roman"/>
          <w:i/>
          <w:lang w:val="en-GB"/>
        </w:rPr>
        <w:t xml:space="preserve">jus </w:t>
      </w:r>
      <w:proofErr w:type="spellStart"/>
      <w:r w:rsidRPr="00963C00">
        <w:rPr>
          <w:rFonts w:ascii="Times New Roman" w:hAnsi="Times New Roman"/>
          <w:i/>
          <w:lang w:val="en-GB"/>
        </w:rPr>
        <w:t>divinum</w:t>
      </w:r>
      <w:proofErr w:type="spellEnd"/>
      <w:r w:rsidRPr="00963C00">
        <w:rPr>
          <w:rFonts w:ascii="Times New Roman" w:hAnsi="Times New Roman"/>
          <w:i/>
          <w:lang w:val="en-GB"/>
        </w:rPr>
        <w:t xml:space="preserve"> </w:t>
      </w:r>
      <w:proofErr w:type="spellStart"/>
      <w:r w:rsidRPr="00963C00">
        <w:rPr>
          <w:rFonts w:ascii="Times New Roman" w:hAnsi="Times New Roman"/>
          <w:i/>
          <w:lang w:val="en-GB"/>
        </w:rPr>
        <w:t>positivum</w:t>
      </w:r>
      <w:proofErr w:type="spellEnd"/>
      <w:r w:rsidRPr="00B11868">
        <w:rPr>
          <w:rFonts w:ascii="Times New Roman" w:hAnsi="Times New Roman"/>
          <w:lang w:val="en-GB"/>
        </w:rPr>
        <w:t xml:space="preserve"> and </w:t>
      </w:r>
      <w:r w:rsidRPr="002F7F9B">
        <w:rPr>
          <w:rFonts w:ascii="Times New Roman" w:hAnsi="Times New Roman"/>
          <w:i/>
          <w:lang w:val="en-GB"/>
        </w:rPr>
        <w:t xml:space="preserve">jus </w:t>
      </w:r>
      <w:proofErr w:type="spellStart"/>
      <w:r w:rsidRPr="002F7F9B">
        <w:rPr>
          <w:rFonts w:ascii="Times New Roman" w:hAnsi="Times New Roman"/>
          <w:i/>
          <w:lang w:val="en-GB"/>
        </w:rPr>
        <w:t>divinum</w:t>
      </w:r>
      <w:proofErr w:type="spellEnd"/>
      <w:r w:rsidRPr="002F7F9B">
        <w:rPr>
          <w:rFonts w:ascii="Times New Roman" w:hAnsi="Times New Roman"/>
          <w:i/>
          <w:lang w:val="en-GB"/>
        </w:rPr>
        <w:t xml:space="preserve"> </w:t>
      </w:r>
      <w:proofErr w:type="spellStart"/>
      <w:r w:rsidRPr="002F7F9B">
        <w:rPr>
          <w:rFonts w:ascii="Times New Roman" w:hAnsi="Times New Roman"/>
          <w:i/>
          <w:lang w:val="en-GB"/>
        </w:rPr>
        <w:t>naturale</w:t>
      </w:r>
      <w:proofErr w:type="spellEnd"/>
      <w:r w:rsidRPr="00DD67B0">
        <w:rPr>
          <w:rFonts w:ascii="Times New Roman" w:hAnsi="Times New Roman"/>
          <w:lang w:val="en-GB"/>
        </w:rPr>
        <w:t xml:space="preserve">. Notably, the term </w:t>
      </w:r>
      <w:r w:rsidRPr="004B3803">
        <w:rPr>
          <w:rFonts w:ascii="Times New Roman" w:hAnsi="Times New Roman"/>
          <w:i/>
          <w:lang w:val="en-GB"/>
        </w:rPr>
        <w:t xml:space="preserve">jus </w:t>
      </w:r>
      <w:proofErr w:type="spellStart"/>
      <w:r w:rsidRPr="004B3803">
        <w:rPr>
          <w:rFonts w:ascii="Times New Roman" w:hAnsi="Times New Roman"/>
          <w:i/>
          <w:lang w:val="en-GB"/>
        </w:rPr>
        <w:t>divinum</w:t>
      </w:r>
      <w:proofErr w:type="spellEnd"/>
      <w:r w:rsidRPr="00F41A08">
        <w:rPr>
          <w:rFonts w:ascii="Times New Roman" w:hAnsi="Times New Roman"/>
          <w:lang w:val="en-GB"/>
        </w:rPr>
        <w:t xml:space="preserve"> is used here in a purely metaphorical sense, referring to a statement of faith. </w:t>
      </w:r>
    </w:p>
    <w:p w14:paraId="74580237" w14:textId="77777777" w:rsidR="0034620E" w:rsidRPr="0070004A" w:rsidRDefault="0034620E" w:rsidP="00557D96">
      <w:pPr>
        <w:pStyle w:val="Voetnoottekst"/>
        <w:spacing w:after="0" w:line="240" w:lineRule="auto"/>
        <w:jc w:val="both"/>
        <w:rPr>
          <w:rFonts w:ascii="Times New Roman" w:hAnsi="Times New Roman"/>
        </w:rPr>
      </w:pPr>
    </w:p>
  </w:footnote>
  <w:footnote w:id="33">
    <w:p w14:paraId="1A2A7A13" w14:textId="77777777" w:rsidR="0034620E" w:rsidRPr="00B1186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United Nations, “Cyber School Bus,” available at  </w:t>
      </w:r>
      <w:hyperlink r:id="rId9" w:history="1">
        <w:r w:rsidRPr="00F700B8">
          <w:rPr>
            <w:rStyle w:val="Hyperlink"/>
          </w:rPr>
          <w:t>http://www.un.org/cyberschoolbus/humanrights/declaration/1.asp</w:t>
        </w:r>
      </w:hyperlink>
      <w:r w:rsidRPr="00F700B8">
        <w:rPr>
          <w:rStyle w:val="Hyperlink"/>
        </w:rPr>
        <w:t xml:space="preserve">, </w:t>
      </w:r>
      <w:r w:rsidRPr="00963C00">
        <w:rPr>
          <w:rFonts w:ascii="Times New Roman" w:hAnsi="Times New Roman"/>
        </w:rPr>
        <w:t xml:space="preserve"> last accessed 29 July 2014.</w:t>
      </w:r>
    </w:p>
  </w:footnote>
  <w:footnote w:id="34">
    <w:p w14:paraId="6A99DF80" w14:textId="4F880D6D" w:rsidR="0034620E" w:rsidRPr="00963C00"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w:t>
      </w:r>
      <w:proofErr w:type="spellStart"/>
      <w:r>
        <w:rPr>
          <w:rFonts w:ascii="Times New Roman" w:hAnsi="Times New Roman"/>
        </w:rPr>
        <w:t>Matthijs</w:t>
      </w:r>
      <w:proofErr w:type="spellEnd"/>
      <w:r>
        <w:rPr>
          <w:rFonts w:ascii="Times New Roman" w:hAnsi="Times New Roman"/>
        </w:rPr>
        <w:t xml:space="preserve"> </w:t>
      </w:r>
      <w:r w:rsidRPr="00F700B8">
        <w:rPr>
          <w:rFonts w:ascii="Times New Roman" w:hAnsi="Times New Roman"/>
        </w:rPr>
        <w:t>De Blois</w:t>
      </w:r>
      <w:r w:rsidR="004B6A73">
        <w:rPr>
          <w:rFonts w:ascii="Times New Roman" w:hAnsi="Times New Roman"/>
        </w:rPr>
        <w:t>,</w:t>
      </w:r>
      <w:r w:rsidRPr="00F700B8">
        <w:rPr>
          <w:rFonts w:ascii="Times New Roman" w:hAnsi="Times New Roman"/>
        </w:rPr>
        <w:t xml:space="preserve"> </w:t>
      </w:r>
      <w:r>
        <w:rPr>
          <w:rFonts w:ascii="Times New Roman" w:hAnsi="Times New Roman"/>
        </w:rPr>
        <w:t>“</w:t>
      </w:r>
      <w:r w:rsidRPr="00F700B8">
        <w:rPr>
          <w:rFonts w:ascii="Times New Roman" w:hAnsi="Times New Roman"/>
        </w:rPr>
        <w:t>Self-Determin</w:t>
      </w:r>
      <w:r w:rsidRPr="00963C00">
        <w:rPr>
          <w:rFonts w:ascii="Times New Roman" w:hAnsi="Times New Roman"/>
        </w:rPr>
        <w:t>ation or Human Dignity: The Core Principle of Human Rights</w:t>
      </w:r>
      <w:r>
        <w:rPr>
          <w:rFonts w:ascii="Times New Roman" w:hAnsi="Times New Roman"/>
        </w:rPr>
        <w:t xml:space="preserve">,” </w:t>
      </w:r>
      <w:r w:rsidRPr="00963C00">
        <w:rPr>
          <w:rFonts w:ascii="Times New Roman" w:hAnsi="Times New Roman"/>
        </w:rPr>
        <w:t>in A. Hendriks and J. Smith (</w:t>
      </w:r>
      <w:proofErr w:type="spellStart"/>
      <w:r w:rsidRPr="00963C00">
        <w:rPr>
          <w:rFonts w:ascii="Times New Roman" w:hAnsi="Times New Roman"/>
        </w:rPr>
        <w:t>eds</w:t>
      </w:r>
      <w:proofErr w:type="spellEnd"/>
      <w:r w:rsidRPr="00963C00">
        <w:rPr>
          <w:rFonts w:ascii="Times New Roman" w:hAnsi="Times New Roman"/>
        </w:rPr>
        <w:t xml:space="preserve">), </w:t>
      </w:r>
      <w:r w:rsidRPr="00954B19">
        <w:rPr>
          <w:rFonts w:ascii="Times New Roman" w:hAnsi="Times New Roman"/>
          <w:i/>
        </w:rPr>
        <w:t xml:space="preserve">To </w:t>
      </w:r>
      <w:proofErr w:type="spellStart"/>
      <w:r w:rsidRPr="00954B19">
        <w:rPr>
          <w:rFonts w:ascii="Times New Roman" w:hAnsi="Times New Roman"/>
          <w:i/>
        </w:rPr>
        <w:t>Baehr</w:t>
      </w:r>
      <w:proofErr w:type="spellEnd"/>
      <w:r w:rsidRPr="00954B19">
        <w:rPr>
          <w:rFonts w:ascii="Times New Roman" w:hAnsi="Times New Roman"/>
          <w:i/>
        </w:rPr>
        <w:t xml:space="preserve"> in Our Minds: Essays on Human Rights from the Heart of the Netherlands,</w:t>
      </w:r>
      <w:r w:rsidRPr="00F700B8">
        <w:rPr>
          <w:rFonts w:ascii="Times New Roman" w:hAnsi="Times New Roman"/>
        </w:rPr>
        <w:t xml:space="preserve"> </w:t>
      </w:r>
      <w:r>
        <w:rPr>
          <w:rFonts w:ascii="Times New Roman" w:hAnsi="Times New Roman"/>
        </w:rPr>
        <w:t>(</w:t>
      </w:r>
      <w:r w:rsidRPr="00F700B8">
        <w:rPr>
          <w:rFonts w:ascii="Times New Roman" w:hAnsi="Times New Roman"/>
        </w:rPr>
        <w:t>Utrecht: Netherlands Institute of Human Rights,</w:t>
      </w:r>
      <w:r>
        <w:rPr>
          <w:rFonts w:ascii="Times New Roman" w:hAnsi="Times New Roman"/>
        </w:rPr>
        <w:t xml:space="preserve"> 1998)</w:t>
      </w:r>
      <w:r w:rsidRPr="00F700B8">
        <w:rPr>
          <w:rFonts w:ascii="Times New Roman" w:hAnsi="Times New Roman"/>
        </w:rPr>
        <w:t xml:space="preserve"> p. 531.</w:t>
      </w:r>
    </w:p>
  </w:footnote>
  <w:footnote w:id="35">
    <w:p w14:paraId="2C201EF9" w14:textId="3E01C217" w:rsidR="0034620E" w:rsidRPr="00963C00"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See Bas de Gaay Fortm</w:t>
      </w:r>
      <w:r w:rsidRPr="00963C00">
        <w:rPr>
          <w:rFonts w:ascii="Times New Roman" w:hAnsi="Times New Roman"/>
        </w:rPr>
        <w:t xml:space="preserve">an, </w:t>
      </w:r>
      <w:r>
        <w:rPr>
          <w:rFonts w:ascii="Times New Roman" w:hAnsi="Times New Roman"/>
        </w:rPr>
        <w:t>“</w:t>
      </w:r>
      <w:r w:rsidRPr="00B11868">
        <w:rPr>
          <w:rFonts w:ascii="Times New Roman" w:hAnsi="Times New Roman"/>
          <w:bCs/>
          <w:iCs/>
        </w:rPr>
        <w:t>Equal dignity in international h</w:t>
      </w:r>
      <w:proofErr w:type="spellStart"/>
      <w:r w:rsidRPr="002F7F9B">
        <w:rPr>
          <w:rFonts w:ascii="Times New Roman" w:hAnsi="Times New Roman"/>
          <w:spacing w:val="-3"/>
          <w:lang w:val="en-GB"/>
        </w:rPr>
        <w:t>uman</w:t>
      </w:r>
      <w:proofErr w:type="spellEnd"/>
      <w:r w:rsidRPr="002F7F9B">
        <w:rPr>
          <w:rFonts w:ascii="Times New Roman" w:hAnsi="Times New Roman"/>
          <w:spacing w:val="-3"/>
          <w:lang w:val="en-GB"/>
        </w:rPr>
        <w:t xml:space="preserve"> rights,</w:t>
      </w:r>
      <w:r>
        <w:rPr>
          <w:rFonts w:ascii="Times New Roman" w:hAnsi="Times New Roman"/>
          <w:spacing w:val="-3"/>
          <w:lang w:val="en-GB"/>
        </w:rPr>
        <w:t>”</w:t>
      </w:r>
      <w:r w:rsidRPr="002F7F9B">
        <w:rPr>
          <w:rFonts w:ascii="Times New Roman" w:hAnsi="Times New Roman"/>
          <w:spacing w:val="-3"/>
          <w:lang w:val="en-GB"/>
        </w:rPr>
        <w:t xml:space="preserve"> in Marcus </w:t>
      </w:r>
      <w:proofErr w:type="spellStart"/>
      <w:r w:rsidRPr="002F7F9B">
        <w:rPr>
          <w:rFonts w:ascii="Times New Roman" w:hAnsi="Times New Roman"/>
          <w:spacing w:val="-3"/>
          <w:lang w:val="en-GB"/>
        </w:rPr>
        <w:t>Duewell</w:t>
      </w:r>
      <w:proofErr w:type="spellEnd"/>
      <w:r w:rsidRPr="002F7F9B">
        <w:rPr>
          <w:rFonts w:ascii="Times New Roman" w:hAnsi="Times New Roman"/>
          <w:spacing w:val="-3"/>
          <w:lang w:val="en-GB"/>
        </w:rPr>
        <w:t xml:space="preserve"> et alia, </w:t>
      </w:r>
      <w:r w:rsidRPr="00954B19">
        <w:rPr>
          <w:rFonts w:ascii="Times New Roman" w:hAnsi="Times New Roman"/>
          <w:i/>
          <w:spacing w:val="-3"/>
          <w:lang w:val="en-GB"/>
        </w:rPr>
        <w:t>The Cambridge Handbook of Human Dignity</w:t>
      </w:r>
      <w:r w:rsidRPr="00F700B8">
        <w:rPr>
          <w:rFonts w:ascii="Times New Roman" w:hAnsi="Times New Roman"/>
          <w:spacing w:val="-3"/>
          <w:lang w:val="en-GB"/>
        </w:rPr>
        <w:t>, (Cambridge: Cambridge University Press</w:t>
      </w:r>
      <w:r>
        <w:rPr>
          <w:rFonts w:ascii="Times New Roman" w:hAnsi="Times New Roman"/>
          <w:spacing w:val="-3"/>
          <w:lang w:val="en-GB"/>
        </w:rPr>
        <w:t>,</w:t>
      </w:r>
      <w:r w:rsidRPr="00F700B8">
        <w:rPr>
          <w:rFonts w:ascii="Times New Roman" w:hAnsi="Times New Roman"/>
          <w:spacing w:val="-3"/>
          <w:lang w:val="en-GB"/>
        </w:rPr>
        <w:t xml:space="preserve"> 2014), p. 355-362</w:t>
      </w:r>
      <w:r>
        <w:rPr>
          <w:rFonts w:ascii="Times New Roman" w:hAnsi="Times New Roman"/>
          <w:spacing w:val="-3"/>
          <w:lang w:val="en-GB"/>
        </w:rPr>
        <w:t>.</w:t>
      </w:r>
    </w:p>
  </w:footnote>
  <w:footnote w:id="36">
    <w:p w14:paraId="6750F864" w14:textId="77777777" w:rsidR="0034620E" w:rsidRPr="00954B19" w:rsidRDefault="0034620E" w:rsidP="00557D96">
      <w:pPr>
        <w:pStyle w:val="s32b251d"/>
        <w:spacing w:before="0" w:beforeAutospacing="0" w:after="0" w:afterAutospacing="0"/>
        <w:jc w:val="both"/>
        <w:rPr>
          <w:rStyle w:val="sb8d990e2"/>
          <w:sz w:val="20"/>
          <w:szCs w:val="20"/>
          <w:lang w:val="en-GB"/>
        </w:rPr>
      </w:pPr>
      <w:r w:rsidRPr="004B3803">
        <w:rPr>
          <w:rStyle w:val="Voetnootmarkering"/>
          <w:sz w:val="20"/>
          <w:szCs w:val="20"/>
          <w:lang w:val="en-GB"/>
        </w:rPr>
        <w:footnoteRef/>
      </w:r>
      <w:r w:rsidRPr="00F41A08">
        <w:rPr>
          <w:sz w:val="20"/>
          <w:szCs w:val="20"/>
          <w:lang w:val="en-GB"/>
        </w:rPr>
        <w:t xml:space="preserve"> </w:t>
      </w:r>
      <w:r w:rsidRPr="0070004A">
        <w:rPr>
          <w:rStyle w:val="s7d2086b4"/>
          <w:sz w:val="20"/>
          <w:szCs w:val="20"/>
          <w:lang w:val="en-GB"/>
        </w:rPr>
        <w:t xml:space="preserve">ECtHR, </w:t>
      </w:r>
      <w:proofErr w:type="spellStart"/>
      <w:r w:rsidRPr="002A6BC0">
        <w:rPr>
          <w:rStyle w:val="s7d2086b4"/>
          <w:i/>
          <w:sz w:val="20"/>
          <w:szCs w:val="20"/>
          <w:lang w:val="en-GB"/>
        </w:rPr>
        <w:t>Odièvre</w:t>
      </w:r>
      <w:proofErr w:type="spellEnd"/>
      <w:r w:rsidRPr="002A6BC0">
        <w:rPr>
          <w:rStyle w:val="s7d2086b4"/>
          <w:i/>
          <w:sz w:val="20"/>
          <w:szCs w:val="20"/>
          <w:lang w:val="en-GB"/>
        </w:rPr>
        <w:t xml:space="preserve"> v. France</w:t>
      </w:r>
      <w:r w:rsidRPr="00791A82">
        <w:rPr>
          <w:rStyle w:val="s7d2086b4"/>
          <w:sz w:val="20"/>
          <w:szCs w:val="20"/>
          <w:lang w:val="en-GB"/>
        </w:rPr>
        <w:t>, 13 February 2003 (Appl.no.</w:t>
      </w:r>
      <w:r w:rsidRPr="00583456">
        <w:rPr>
          <w:rStyle w:val="s6b621b36"/>
          <w:sz w:val="20"/>
          <w:szCs w:val="20"/>
          <w:lang w:val="en-GB"/>
        </w:rPr>
        <w:t xml:space="preserve"> 42326/98), </w:t>
      </w:r>
      <w:r w:rsidRPr="00001CD0">
        <w:rPr>
          <w:rStyle w:val="sb8d990e2"/>
          <w:sz w:val="20"/>
          <w:szCs w:val="20"/>
          <w:lang w:val="en-GB"/>
        </w:rPr>
        <w:t xml:space="preserve">joint dissenting opinion of judges </w:t>
      </w:r>
      <w:proofErr w:type="spellStart"/>
      <w:r w:rsidRPr="00001CD0">
        <w:rPr>
          <w:rStyle w:val="sb8d990e2"/>
          <w:sz w:val="20"/>
          <w:szCs w:val="20"/>
          <w:lang w:val="en-GB"/>
        </w:rPr>
        <w:t>Wildhaber</w:t>
      </w:r>
      <w:proofErr w:type="spellEnd"/>
      <w:r w:rsidRPr="00001CD0">
        <w:rPr>
          <w:rStyle w:val="sb8d990e2"/>
          <w:sz w:val="20"/>
          <w:szCs w:val="20"/>
          <w:lang w:val="en-GB"/>
        </w:rPr>
        <w:t xml:space="preserve">, </w:t>
      </w:r>
      <w:proofErr w:type="spellStart"/>
      <w:r w:rsidRPr="00001CD0">
        <w:rPr>
          <w:rStyle w:val="sb8d990e2"/>
          <w:sz w:val="20"/>
          <w:szCs w:val="20"/>
          <w:lang w:val="en-GB"/>
        </w:rPr>
        <w:t>Bratza</w:t>
      </w:r>
      <w:proofErr w:type="spellEnd"/>
      <w:r w:rsidRPr="00001CD0">
        <w:rPr>
          <w:rStyle w:val="sb8d990e2"/>
          <w:sz w:val="20"/>
          <w:szCs w:val="20"/>
          <w:lang w:val="en-GB"/>
        </w:rPr>
        <w:t xml:space="preserve">, </w:t>
      </w:r>
      <w:proofErr w:type="spellStart"/>
      <w:r w:rsidRPr="00001CD0">
        <w:rPr>
          <w:rStyle w:val="sb8d990e2"/>
          <w:sz w:val="20"/>
          <w:szCs w:val="20"/>
          <w:lang w:val="en-GB"/>
        </w:rPr>
        <w:t>Bonello</w:t>
      </w:r>
      <w:proofErr w:type="spellEnd"/>
      <w:r w:rsidRPr="00001CD0">
        <w:rPr>
          <w:rStyle w:val="sb8d990e2"/>
          <w:sz w:val="20"/>
          <w:szCs w:val="20"/>
          <w:lang w:val="en-GB"/>
        </w:rPr>
        <w:t xml:space="preserve">, </w:t>
      </w:r>
      <w:proofErr w:type="spellStart"/>
      <w:r w:rsidRPr="00001CD0">
        <w:rPr>
          <w:rStyle w:val="sb8d990e2"/>
          <w:sz w:val="20"/>
          <w:szCs w:val="20"/>
          <w:lang w:val="en-GB"/>
        </w:rPr>
        <w:t>Loucaides</w:t>
      </w:r>
      <w:proofErr w:type="spellEnd"/>
      <w:r w:rsidRPr="00001CD0">
        <w:rPr>
          <w:rStyle w:val="sb8d990e2"/>
          <w:sz w:val="20"/>
          <w:szCs w:val="20"/>
          <w:lang w:val="en-GB"/>
        </w:rPr>
        <w:t xml:space="preserve">, Cabral </w:t>
      </w:r>
      <w:proofErr w:type="spellStart"/>
      <w:r w:rsidRPr="00001CD0">
        <w:rPr>
          <w:rStyle w:val="sb8d990e2"/>
          <w:sz w:val="20"/>
          <w:szCs w:val="20"/>
          <w:lang w:val="en-GB"/>
        </w:rPr>
        <w:t>Barreto</w:t>
      </w:r>
      <w:proofErr w:type="spellEnd"/>
      <w:r w:rsidRPr="00001CD0">
        <w:rPr>
          <w:rStyle w:val="sb8d990e2"/>
          <w:sz w:val="20"/>
          <w:szCs w:val="20"/>
          <w:lang w:val="en-GB"/>
        </w:rPr>
        <w:t xml:space="preserve">, </w:t>
      </w:r>
      <w:proofErr w:type="spellStart"/>
      <w:r w:rsidRPr="00001CD0">
        <w:rPr>
          <w:rStyle w:val="sb8d990e2"/>
          <w:sz w:val="20"/>
          <w:szCs w:val="20"/>
          <w:lang w:val="en-GB"/>
        </w:rPr>
        <w:t>Tulkens</w:t>
      </w:r>
      <w:proofErr w:type="spellEnd"/>
      <w:r w:rsidRPr="00001CD0">
        <w:rPr>
          <w:rStyle w:val="sb8d990e2"/>
          <w:sz w:val="20"/>
          <w:szCs w:val="20"/>
          <w:lang w:val="en-GB"/>
        </w:rPr>
        <w:t xml:space="preserve"> and </w:t>
      </w:r>
      <w:proofErr w:type="spellStart"/>
      <w:r w:rsidRPr="00001CD0">
        <w:rPr>
          <w:rStyle w:val="sb8d990e2"/>
          <w:sz w:val="20"/>
          <w:szCs w:val="20"/>
          <w:lang w:val="en-GB"/>
        </w:rPr>
        <w:t>Pellonpää</w:t>
      </w:r>
      <w:proofErr w:type="spellEnd"/>
      <w:r w:rsidRPr="00001CD0">
        <w:rPr>
          <w:rStyle w:val="sb8d990e2"/>
          <w:sz w:val="20"/>
          <w:szCs w:val="20"/>
          <w:lang w:val="en-GB"/>
        </w:rPr>
        <w:t>.</w:t>
      </w:r>
    </w:p>
    <w:p w14:paraId="28560E8A" w14:textId="77777777" w:rsidR="0034620E" w:rsidRPr="00F700B8" w:rsidRDefault="0034620E" w:rsidP="00557D96">
      <w:pPr>
        <w:pStyle w:val="s32b251d"/>
        <w:spacing w:before="0" w:beforeAutospacing="0" w:after="0" w:afterAutospacing="0"/>
        <w:jc w:val="both"/>
        <w:rPr>
          <w:sz w:val="20"/>
          <w:szCs w:val="20"/>
          <w:lang w:val="en-US"/>
        </w:rPr>
      </w:pPr>
    </w:p>
  </w:footnote>
  <w:footnote w:id="37">
    <w:p w14:paraId="0878816E" w14:textId="117C4506" w:rsidR="0034620E" w:rsidRPr="00F700B8" w:rsidRDefault="0034620E" w:rsidP="00557D96">
      <w:pPr>
        <w:pStyle w:val="Voetnoottekst"/>
        <w:spacing w:after="0" w:line="240" w:lineRule="auto"/>
        <w:jc w:val="both"/>
        <w:rPr>
          <w:rFonts w:ascii="Times New Roman" w:hAnsi="Times New Roman"/>
          <w:lang w:val="en-GB"/>
        </w:rPr>
      </w:pPr>
      <w:r w:rsidRPr="004B3803">
        <w:rPr>
          <w:rStyle w:val="Voetnootmarkering"/>
          <w:rFonts w:ascii="Times New Roman" w:hAnsi="Times New Roman"/>
          <w:lang w:val="en-GB"/>
        </w:rPr>
        <w:footnoteRef/>
      </w:r>
      <w:r w:rsidRPr="004B3803">
        <w:rPr>
          <w:rFonts w:ascii="Times New Roman" w:hAnsi="Times New Roman"/>
          <w:lang w:val="en-GB"/>
        </w:rPr>
        <w:t xml:space="preserve"> R</w:t>
      </w:r>
      <w:r>
        <w:rPr>
          <w:rFonts w:ascii="Times New Roman" w:hAnsi="Times New Roman"/>
          <w:lang w:val="en-GB"/>
        </w:rPr>
        <w:t>onald</w:t>
      </w:r>
      <w:r w:rsidRPr="004B3803">
        <w:rPr>
          <w:rFonts w:ascii="Times New Roman" w:hAnsi="Times New Roman"/>
          <w:lang w:val="en-GB"/>
        </w:rPr>
        <w:t xml:space="preserve"> Dworkin,, </w:t>
      </w:r>
      <w:r w:rsidRPr="00F41A08">
        <w:rPr>
          <w:rFonts w:ascii="Times New Roman" w:hAnsi="Times New Roman"/>
          <w:i/>
          <w:lang w:val="en-GB"/>
        </w:rPr>
        <w:t>Justice for Hedgehogs</w:t>
      </w:r>
      <w:r w:rsidRPr="0070004A">
        <w:rPr>
          <w:rFonts w:ascii="Times New Roman" w:hAnsi="Times New Roman"/>
          <w:lang w:val="en-GB"/>
        </w:rPr>
        <w:t xml:space="preserve">, </w:t>
      </w:r>
      <w:r w:rsidRPr="002A6BC0">
        <w:rPr>
          <w:rFonts w:ascii="Times New Roman" w:hAnsi="Times New Roman"/>
          <w:lang w:val="en-GB"/>
        </w:rPr>
        <w:t>(</w:t>
      </w:r>
      <w:r w:rsidRPr="00791A82">
        <w:rPr>
          <w:rFonts w:ascii="Times New Roman" w:hAnsi="Times New Roman"/>
          <w:lang w:val="en-GB"/>
        </w:rPr>
        <w:t xml:space="preserve">Cambridge: The </w:t>
      </w:r>
      <w:proofErr w:type="spellStart"/>
      <w:r w:rsidRPr="00791A82">
        <w:rPr>
          <w:rFonts w:ascii="Times New Roman" w:hAnsi="Times New Roman"/>
          <w:lang w:val="en-GB"/>
        </w:rPr>
        <w:t>Belknap</w:t>
      </w:r>
      <w:proofErr w:type="spellEnd"/>
      <w:r w:rsidRPr="00791A82">
        <w:rPr>
          <w:rFonts w:ascii="Times New Roman" w:hAnsi="Times New Roman"/>
          <w:lang w:val="en-GB"/>
        </w:rPr>
        <w:t xml:space="preserve"> Press of Harvard UP, 2011</w:t>
      </w:r>
      <w:r w:rsidRPr="00583456">
        <w:rPr>
          <w:rFonts w:ascii="Times New Roman" w:hAnsi="Times New Roman"/>
          <w:lang w:val="en-GB"/>
        </w:rPr>
        <w:t>)</w:t>
      </w:r>
      <w:r w:rsidRPr="00001CD0">
        <w:rPr>
          <w:rFonts w:ascii="Times New Roman" w:hAnsi="Times New Roman"/>
          <w:lang w:val="en-GB"/>
        </w:rPr>
        <w:t>, p. 3. Emphasis added.</w:t>
      </w:r>
    </w:p>
    <w:p w14:paraId="1D70749A" w14:textId="77777777" w:rsidR="0034620E" w:rsidRPr="00F700B8" w:rsidRDefault="0034620E" w:rsidP="00557D96">
      <w:pPr>
        <w:pStyle w:val="Voetnoottekst"/>
        <w:spacing w:after="0" w:line="240" w:lineRule="auto"/>
        <w:jc w:val="both"/>
        <w:rPr>
          <w:rFonts w:ascii="Times New Roman" w:hAnsi="Times New Roman"/>
        </w:rPr>
      </w:pPr>
    </w:p>
  </w:footnote>
  <w:footnote w:id="38">
    <w:p w14:paraId="1209FC68" w14:textId="6B575DB8" w:rsidR="0034620E" w:rsidRPr="004B3803" w:rsidRDefault="0034620E" w:rsidP="00557D96">
      <w:pPr>
        <w:pStyle w:val="Voetnoottekst"/>
        <w:spacing w:line="240" w:lineRule="auto"/>
        <w:jc w:val="both"/>
        <w:rPr>
          <w:rFonts w:ascii="Times New Roman" w:hAnsi="Times New Roman"/>
        </w:rPr>
      </w:pPr>
      <w:r w:rsidRPr="004B3803">
        <w:rPr>
          <w:rStyle w:val="Voetnootmarkering"/>
          <w:rFonts w:ascii="Times New Roman" w:hAnsi="Times New Roman"/>
        </w:rPr>
        <w:footnoteRef/>
      </w:r>
      <w:r w:rsidRPr="004B3803">
        <w:rPr>
          <w:rFonts w:ascii="Times New Roman" w:hAnsi="Times New Roman"/>
        </w:rPr>
        <w:t xml:space="preserve"> </w:t>
      </w:r>
      <w:r w:rsidR="00E70BF6">
        <w:rPr>
          <w:rFonts w:ascii="Times New Roman" w:hAnsi="Times New Roman"/>
        </w:rPr>
        <w:t>It is a</w:t>
      </w:r>
      <w:r w:rsidRPr="004B3803">
        <w:rPr>
          <w:rFonts w:ascii="Times New Roman" w:hAnsi="Times New Roman"/>
        </w:rPr>
        <w:t xml:space="preserve"> bit odd to grant people rights to enjoy rights. Perhaps typical of the soft nature of the international human rights venture.</w:t>
      </w:r>
    </w:p>
  </w:footnote>
  <w:footnote w:id="39">
    <w:p w14:paraId="2424D209" w14:textId="2301F75B" w:rsidR="0034620E" w:rsidRPr="002A6BC0" w:rsidRDefault="0034620E" w:rsidP="00557D96">
      <w:pPr>
        <w:pStyle w:val="Voetnoottekst"/>
        <w:spacing w:line="240" w:lineRule="auto"/>
        <w:jc w:val="both"/>
        <w:rPr>
          <w:rFonts w:ascii="Times New Roman" w:hAnsi="Times New Roman"/>
        </w:rPr>
      </w:pPr>
      <w:r w:rsidRPr="004B3803">
        <w:rPr>
          <w:rStyle w:val="Voetnootmarkering"/>
          <w:rFonts w:ascii="Times New Roman" w:hAnsi="Times New Roman"/>
        </w:rPr>
        <w:footnoteRef/>
      </w:r>
      <w:r w:rsidRPr="004B3803">
        <w:rPr>
          <w:rFonts w:ascii="Times New Roman" w:hAnsi="Times New Roman"/>
        </w:rPr>
        <w:t xml:space="preserve"> As quoted by</w:t>
      </w:r>
      <w:r w:rsidRPr="00F41A08">
        <w:rPr>
          <w:rFonts w:ascii="Times New Roman" w:hAnsi="Times New Roman"/>
        </w:rPr>
        <w:t xml:space="preserve"> Louis P. </w:t>
      </w:r>
      <w:proofErr w:type="spellStart"/>
      <w:r w:rsidRPr="00F41A08">
        <w:rPr>
          <w:rFonts w:ascii="Times New Roman" w:hAnsi="Times New Roman"/>
        </w:rPr>
        <w:t>Pojman</w:t>
      </w:r>
      <w:proofErr w:type="spellEnd"/>
      <w:r w:rsidRPr="00F41A08">
        <w:rPr>
          <w:rFonts w:ascii="Times New Roman" w:hAnsi="Times New Roman"/>
        </w:rPr>
        <w:t xml:space="preserve"> &amp; Robert Westmoreland (eds.), </w:t>
      </w:r>
      <w:r w:rsidRPr="0070004A">
        <w:rPr>
          <w:rFonts w:ascii="Times New Roman" w:hAnsi="Times New Roman"/>
          <w:i/>
        </w:rPr>
        <w:t>Equality: Selected Readings</w:t>
      </w:r>
      <w:r w:rsidRPr="002A6BC0">
        <w:rPr>
          <w:rFonts w:ascii="Times New Roman" w:hAnsi="Times New Roman"/>
        </w:rPr>
        <w:t>, (New York: Oxford University Press, 1997), p. 2.</w:t>
      </w:r>
    </w:p>
  </w:footnote>
  <w:footnote w:id="40">
    <w:p w14:paraId="339A7C36" w14:textId="77777777" w:rsidR="0034620E" w:rsidRPr="0070004A" w:rsidRDefault="0034620E" w:rsidP="00557D96">
      <w:pPr>
        <w:pStyle w:val="Voetnoottekst"/>
        <w:spacing w:line="240" w:lineRule="auto"/>
        <w:jc w:val="both"/>
        <w:rPr>
          <w:rFonts w:ascii="Times New Roman" w:hAnsi="Times New Roman"/>
        </w:rPr>
      </w:pPr>
      <w:r w:rsidRPr="004B3803">
        <w:rPr>
          <w:rStyle w:val="Voetnootmarkering"/>
          <w:rFonts w:ascii="Times New Roman" w:hAnsi="Times New Roman"/>
        </w:rPr>
        <w:footnoteRef/>
      </w:r>
      <w:r w:rsidRPr="004B3803">
        <w:rPr>
          <w:rFonts w:ascii="Times New Roman" w:hAnsi="Times New Roman"/>
        </w:rPr>
        <w:t xml:space="preserve"> </w:t>
      </w:r>
      <w:r w:rsidRPr="00F41A08">
        <w:rPr>
          <w:rFonts w:ascii="Times New Roman" w:hAnsi="Times New Roman"/>
          <w:i/>
        </w:rPr>
        <w:t>Id.</w:t>
      </w:r>
      <w:r w:rsidRPr="0070004A">
        <w:rPr>
          <w:rFonts w:ascii="Times New Roman" w:hAnsi="Times New Roman"/>
        </w:rPr>
        <w:t xml:space="preserve"> at p. 3.</w:t>
      </w:r>
    </w:p>
  </w:footnote>
  <w:footnote w:id="41">
    <w:p w14:paraId="489BEE65" w14:textId="65D9A16E" w:rsidR="0034620E" w:rsidRPr="00F700B8" w:rsidRDefault="0034620E" w:rsidP="00557D96">
      <w:pPr>
        <w:pStyle w:val="Voetnoottekst"/>
        <w:spacing w:line="240" w:lineRule="auto"/>
        <w:jc w:val="both"/>
        <w:rPr>
          <w:rFonts w:ascii="Times New Roman" w:hAnsi="Times New Roman"/>
        </w:rPr>
      </w:pPr>
      <w:r w:rsidRPr="004B3803">
        <w:rPr>
          <w:rStyle w:val="Voetnootmarkering"/>
          <w:rFonts w:ascii="Times New Roman" w:hAnsi="Times New Roman"/>
        </w:rPr>
        <w:footnoteRef/>
      </w:r>
      <w:r w:rsidRPr="004B3803">
        <w:rPr>
          <w:rFonts w:ascii="Times New Roman" w:hAnsi="Times New Roman"/>
        </w:rPr>
        <w:t xml:space="preserve"> Quoted by </w:t>
      </w:r>
      <w:proofErr w:type="spellStart"/>
      <w:r w:rsidRPr="00F41A08">
        <w:rPr>
          <w:rFonts w:ascii="Times New Roman" w:eastAsia="Times New Roman" w:hAnsi="Times New Roman"/>
          <w:lang w:eastAsia="nl-NL"/>
        </w:rPr>
        <w:t>Wojciech</w:t>
      </w:r>
      <w:proofErr w:type="spellEnd"/>
      <w:r w:rsidRPr="00F41A08">
        <w:rPr>
          <w:rFonts w:ascii="Times New Roman" w:eastAsia="Times New Roman" w:hAnsi="Times New Roman"/>
          <w:lang w:eastAsia="nl-NL"/>
        </w:rPr>
        <w:t xml:space="preserve"> </w:t>
      </w:r>
      <w:proofErr w:type="spellStart"/>
      <w:r w:rsidRPr="00F41A08">
        <w:rPr>
          <w:rFonts w:ascii="Times New Roman" w:eastAsia="Times New Roman" w:hAnsi="Times New Roman"/>
          <w:lang w:eastAsia="nl-NL"/>
        </w:rPr>
        <w:t>Sadurski</w:t>
      </w:r>
      <w:proofErr w:type="spellEnd"/>
      <w:r w:rsidRPr="00F41A08">
        <w:rPr>
          <w:rFonts w:ascii="Times New Roman" w:eastAsia="Times New Roman" w:hAnsi="Times New Roman"/>
          <w:lang w:eastAsia="nl-NL"/>
        </w:rPr>
        <w:t xml:space="preserve">, </w:t>
      </w:r>
      <w:r w:rsidRPr="0070004A">
        <w:rPr>
          <w:rFonts w:ascii="Times New Roman" w:eastAsia="Times New Roman" w:hAnsi="Times New Roman"/>
          <w:i/>
          <w:lang w:eastAsia="nl-NL"/>
        </w:rPr>
        <w:t>Equality and Legitimacy</w:t>
      </w:r>
      <w:r w:rsidRPr="002A6BC0">
        <w:rPr>
          <w:rFonts w:ascii="Times New Roman" w:eastAsia="Times New Roman" w:hAnsi="Times New Roman"/>
          <w:lang w:eastAsia="nl-NL"/>
        </w:rPr>
        <w:t xml:space="preserve">, </w:t>
      </w:r>
      <w:r w:rsidRPr="00791A82">
        <w:rPr>
          <w:rFonts w:ascii="Times New Roman" w:eastAsia="Times New Roman" w:hAnsi="Times New Roman"/>
          <w:lang w:eastAsia="nl-NL"/>
        </w:rPr>
        <w:t>(</w:t>
      </w:r>
      <w:r w:rsidRPr="00583456">
        <w:rPr>
          <w:rFonts w:ascii="Times New Roman" w:eastAsia="Times New Roman" w:hAnsi="Times New Roman"/>
          <w:lang w:eastAsia="nl-NL"/>
        </w:rPr>
        <w:t>Oxford: Oxford University Press, 2008</w:t>
      </w:r>
      <w:r w:rsidRPr="00001CD0">
        <w:rPr>
          <w:rFonts w:ascii="Times New Roman" w:eastAsia="Times New Roman" w:hAnsi="Times New Roman"/>
          <w:lang w:eastAsia="nl-NL"/>
        </w:rPr>
        <w:t>)</w:t>
      </w:r>
      <w:r w:rsidRPr="00137DDB">
        <w:rPr>
          <w:rFonts w:ascii="Times New Roman" w:eastAsia="Times New Roman" w:hAnsi="Times New Roman"/>
          <w:lang w:eastAsia="nl-NL"/>
        </w:rPr>
        <w:t>, p. 95. His emphasis.</w:t>
      </w:r>
    </w:p>
  </w:footnote>
  <w:footnote w:id="42">
    <w:p w14:paraId="713147B8" w14:textId="3A3D0B40" w:rsidR="00585221" w:rsidRDefault="0034620E" w:rsidP="00557D96">
      <w:pPr>
        <w:pStyle w:val="Voetnoottekst"/>
        <w:spacing w:after="0"/>
        <w:jc w:val="both"/>
        <w:rPr>
          <w:rFonts w:ascii="Times New Roman" w:hAnsi="Times New Roman"/>
        </w:rPr>
      </w:pPr>
      <w:r w:rsidRPr="00A71B1D">
        <w:rPr>
          <w:rStyle w:val="Voetnootmarkering"/>
          <w:rFonts w:ascii="Times New Roman" w:hAnsi="Times New Roman"/>
        </w:rPr>
        <w:footnoteRef/>
      </w:r>
      <w:r w:rsidRPr="00A71B1D">
        <w:rPr>
          <w:rFonts w:ascii="Times New Roman" w:hAnsi="Times New Roman"/>
        </w:rPr>
        <w:t xml:space="preserve"> </w:t>
      </w:r>
      <w:r w:rsidR="00585221">
        <w:rPr>
          <w:rFonts w:ascii="Times New Roman" w:hAnsi="Times New Roman"/>
        </w:rPr>
        <w:t xml:space="preserve">In preparation for the Second International Conference on Human Rights  (Vienna 1993) this slogan was coined by the women’s lobby. </w:t>
      </w:r>
      <w:r w:rsidR="00585221" w:rsidRPr="00A71B1D">
        <w:rPr>
          <w:rFonts w:ascii="Times New Roman" w:hAnsi="Times New Roman"/>
        </w:rPr>
        <w:t>Hillary Clinton</w:t>
      </w:r>
      <w:r w:rsidR="00585221">
        <w:rPr>
          <w:rFonts w:ascii="Times New Roman" w:hAnsi="Times New Roman"/>
        </w:rPr>
        <w:t xml:space="preserve"> used it in her speech</w:t>
      </w:r>
      <w:r w:rsidR="00585221" w:rsidRPr="00A71B1D">
        <w:rPr>
          <w:rFonts w:ascii="Times New Roman" w:hAnsi="Times New Roman"/>
        </w:rPr>
        <w:t xml:space="preserve">, “Remarks by the First Lady Hillary Rodham Clinton to the United Nations Fourth World Conference on Women Plenary Session,” September 5, 1995, available at </w:t>
      </w:r>
    </w:p>
    <w:p w14:paraId="67DA5FCB" w14:textId="4BF43F94" w:rsidR="0034620E" w:rsidRPr="00557D96" w:rsidRDefault="00794DA9" w:rsidP="00557D96">
      <w:pPr>
        <w:pStyle w:val="Voetnoottekst"/>
        <w:jc w:val="both"/>
        <w:rPr>
          <w:rFonts w:ascii="Times New Roman" w:hAnsi="Times New Roman"/>
        </w:rPr>
      </w:pPr>
      <w:hyperlink r:id="rId10" w:history="1">
        <w:r w:rsidR="00585221" w:rsidRPr="00A71B1D">
          <w:rPr>
            <w:rStyle w:val="Hyperlink"/>
          </w:rPr>
          <w:t>http://www.un.org/esa/gopher-data/conf/fwcw/conf/gov/950905175653.txt</w:t>
        </w:r>
      </w:hyperlink>
      <w:r w:rsidR="00585221" w:rsidRPr="00347013">
        <w:rPr>
          <w:rFonts w:ascii="Times New Roman" w:hAnsi="Times New Roman"/>
        </w:rPr>
        <w:t xml:space="preserve">. </w:t>
      </w:r>
    </w:p>
  </w:footnote>
  <w:footnote w:id="43">
    <w:p w14:paraId="21157D2C" w14:textId="6347235B" w:rsidR="0034620E" w:rsidRPr="00963C00"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Actually, this is the name of a global women’s movement founded in 1992: </w:t>
      </w:r>
      <w:hyperlink r:id="rId11" w:history="1">
        <w:r w:rsidRPr="00F700B8">
          <w:rPr>
            <w:rStyle w:val="Hyperlink"/>
          </w:rPr>
          <w:t>http://www.equalitynow.org/ourwork</w:t>
        </w:r>
      </w:hyperlink>
      <w:r w:rsidRPr="00F700B8">
        <w:rPr>
          <w:rFonts w:ascii="Times New Roman" w:hAnsi="Times New Roman"/>
        </w:rPr>
        <w:t xml:space="preserve">. </w:t>
      </w:r>
    </w:p>
  </w:footnote>
  <w:footnote w:id="44">
    <w:p w14:paraId="19EF88E0" w14:textId="4A8F2A99" w:rsidR="0034620E" w:rsidRPr="002A6BC0" w:rsidRDefault="0034620E" w:rsidP="00557D96">
      <w:pPr>
        <w:jc w:val="both"/>
        <w:rPr>
          <w:rFonts w:eastAsiaTheme="minorHAnsi"/>
          <w:sz w:val="20"/>
          <w:szCs w:val="20"/>
        </w:rPr>
      </w:pPr>
      <w:r w:rsidRPr="004B3803">
        <w:rPr>
          <w:rStyle w:val="Voetnootmarkering"/>
          <w:sz w:val="20"/>
          <w:szCs w:val="20"/>
        </w:rPr>
        <w:footnoteRef/>
      </w:r>
      <w:r w:rsidRPr="00F41A08">
        <w:rPr>
          <w:sz w:val="20"/>
          <w:szCs w:val="20"/>
        </w:rPr>
        <w:t xml:space="preserve"> </w:t>
      </w:r>
      <w:r w:rsidRPr="0070004A">
        <w:rPr>
          <w:rFonts w:eastAsiaTheme="minorHAnsi"/>
          <w:sz w:val="20"/>
          <w:szCs w:val="20"/>
        </w:rPr>
        <w:t>Notably, the last two sentences constitute an English translation of Article 1 of the Dut</w:t>
      </w:r>
      <w:r w:rsidRPr="002A6BC0">
        <w:rPr>
          <w:rFonts w:eastAsiaTheme="minorHAnsi"/>
          <w:sz w:val="20"/>
          <w:szCs w:val="20"/>
        </w:rPr>
        <w:t xml:space="preserve">ch Constitution. Strategically, the term </w:t>
      </w:r>
      <w:r>
        <w:rPr>
          <w:rFonts w:eastAsiaTheme="minorHAnsi"/>
          <w:sz w:val="20"/>
          <w:szCs w:val="20"/>
        </w:rPr>
        <w:t>“</w:t>
      </w:r>
      <w:r w:rsidRPr="002A6BC0">
        <w:rPr>
          <w:rFonts w:eastAsiaTheme="minorHAnsi"/>
          <w:sz w:val="20"/>
          <w:szCs w:val="20"/>
        </w:rPr>
        <w:t>or on any grounds whatsoever</w:t>
      </w:r>
      <w:r>
        <w:rPr>
          <w:rFonts w:eastAsiaTheme="minorHAnsi"/>
          <w:sz w:val="20"/>
          <w:szCs w:val="20"/>
        </w:rPr>
        <w:t>”</w:t>
      </w:r>
      <w:r w:rsidRPr="002A6BC0">
        <w:rPr>
          <w:rFonts w:eastAsiaTheme="minorHAnsi"/>
          <w:sz w:val="20"/>
          <w:szCs w:val="20"/>
        </w:rPr>
        <w:t xml:space="preserve"> should suffice. </w:t>
      </w:r>
    </w:p>
    <w:p w14:paraId="4670C8C5" w14:textId="0B37F055" w:rsidR="0034620E" w:rsidRPr="00001CD0" w:rsidRDefault="0034620E" w:rsidP="00557D96">
      <w:pPr>
        <w:jc w:val="both"/>
        <w:rPr>
          <w:sz w:val="20"/>
          <w:szCs w:val="20"/>
        </w:rPr>
      </w:pPr>
    </w:p>
  </w:footnote>
  <w:footnote w:id="45">
    <w:p w14:paraId="56B1213D" w14:textId="12D76C84" w:rsidR="0034620E" w:rsidRPr="00F41A0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David Cole, </w:t>
      </w:r>
      <w:r w:rsidRPr="00963C00">
        <w:rPr>
          <w:rFonts w:ascii="Times New Roman" w:hAnsi="Times New Roman"/>
          <w:i/>
        </w:rPr>
        <w:t>No Equal Justice: Race and Class in the American Criminal Justice System</w:t>
      </w:r>
      <w:r w:rsidRPr="00B11868">
        <w:rPr>
          <w:rFonts w:ascii="Times New Roman" w:hAnsi="Times New Roman"/>
        </w:rPr>
        <w:t xml:space="preserve">, </w:t>
      </w:r>
      <w:r w:rsidRPr="002F7F9B">
        <w:rPr>
          <w:rFonts w:ascii="Times New Roman" w:hAnsi="Times New Roman"/>
        </w:rPr>
        <w:t>(</w:t>
      </w:r>
      <w:r w:rsidRPr="00DD67B0">
        <w:rPr>
          <w:rFonts w:ascii="Times New Roman" w:hAnsi="Times New Roman"/>
        </w:rPr>
        <w:t>New York: The New Press, 1999</w:t>
      </w:r>
      <w:r w:rsidRPr="004B3803">
        <w:rPr>
          <w:rFonts w:ascii="Times New Roman" w:hAnsi="Times New Roman"/>
        </w:rPr>
        <w:t>)</w:t>
      </w:r>
      <w:r w:rsidRPr="00F41A08">
        <w:rPr>
          <w:rFonts w:ascii="Times New Roman" w:hAnsi="Times New Roman"/>
        </w:rPr>
        <w:t>, p. 5.</w:t>
      </w:r>
    </w:p>
  </w:footnote>
  <w:footnote w:id="46">
    <w:p w14:paraId="6455160C" w14:textId="6770BF42" w:rsidR="0034620E" w:rsidRPr="002A6BC0" w:rsidRDefault="0034620E" w:rsidP="00557D96">
      <w:pPr>
        <w:pStyle w:val="Voetnoottekst"/>
        <w:spacing w:line="240" w:lineRule="auto"/>
        <w:jc w:val="both"/>
        <w:rPr>
          <w:rFonts w:ascii="Times New Roman" w:hAnsi="Times New Roman"/>
        </w:rPr>
      </w:pPr>
      <w:r w:rsidRPr="0070004A">
        <w:rPr>
          <w:rStyle w:val="Voetnootmarkering"/>
          <w:rFonts w:ascii="Times New Roman" w:hAnsi="Times New Roman"/>
        </w:rPr>
        <w:footnoteRef/>
      </w:r>
      <w:r w:rsidRPr="002A6BC0">
        <w:rPr>
          <w:rFonts w:ascii="Times New Roman" w:hAnsi="Times New Roman"/>
        </w:rPr>
        <w:t xml:space="preserve"> I</w:t>
      </w:r>
      <w:r w:rsidRPr="00A71B1D">
        <w:rPr>
          <w:rFonts w:ascii="Times New Roman" w:hAnsi="Times New Roman"/>
          <w:i/>
        </w:rPr>
        <w:t>d</w:t>
      </w:r>
      <w:r w:rsidRPr="002A6BC0">
        <w:rPr>
          <w:rFonts w:ascii="Times New Roman" w:hAnsi="Times New Roman"/>
        </w:rPr>
        <w:t>.</w:t>
      </w:r>
    </w:p>
  </w:footnote>
  <w:footnote w:id="47">
    <w:p w14:paraId="2F3BB1FD" w14:textId="1FFA7F16" w:rsidR="0034620E" w:rsidRPr="00F700B8" w:rsidRDefault="0034620E" w:rsidP="00557D96">
      <w:pPr>
        <w:pStyle w:val="Voetnoottekst"/>
        <w:spacing w:line="240" w:lineRule="auto"/>
        <w:jc w:val="both"/>
        <w:rPr>
          <w:rFonts w:ascii="Times New Roman" w:hAnsi="Times New Roman"/>
        </w:rPr>
      </w:pPr>
      <w:r w:rsidRPr="002A6BC0">
        <w:rPr>
          <w:rStyle w:val="Voetnootmarkering"/>
          <w:rFonts w:ascii="Times New Roman" w:hAnsi="Times New Roman"/>
        </w:rPr>
        <w:footnoteRef/>
      </w:r>
      <w:r w:rsidRPr="00791A82">
        <w:rPr>
          <w:rFonts w:ascii="Times New Roman" w:hAnsi="Times New Roman"/>
        </w:rPr>
        <w:t xml:space="preserve"> “Innocence Project,” availabl</w:t>
      </w:r>
      <w:r w:rsidRPr="00583456">
        <w:rPr>
          <w:rFonts w:ascii="Times New Roman" w:hAnsi="Times New Roman"/>
        </w:rPr>
        <w:t xml:space="preserve">e at </w:t>
      </w:r>
      <w:hyperlink r:id="rId12" w:history="1">
        <w:r w:rsidRPr="00F700B8">
          <w:rPr>
            <w:rStyle w:val="Hyperlink"/>
          </w:rPr>
          <w:t>http://www.innocenceproject.org/news/</w:t>
        </w:r>
      </w:hyperlink>
      <w:r w:rsidRPr="00F700B8">
        <w:rPr>
          <w:rStyle w:val="Hyperlink"/>
        </w:rPr>
        <w:t xml:space="preserve">. </w:t>
      </w:r>
      <w:r w:rsidRPr="00F700B8">
        <w:rPr>
          <w:rFonts w:ascii="Times New Roman" w:hAnsi="Times New Roman"/>
        </w:rPr>
        <w:t xml:space="preserve"> </w:t>
      </w:r>
    </w:p>
  </w:footnote>
  <w:footnote w:id="48">
    <w:p w14:paraId="2027F268" w14:textId="7425F8A4"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w:t>
      </w:r>
      <w:r w:rsidR="00A539CB" w:rsidRPr="00F700B8">
        <w:rPr>
          <w:rFonts w:ascii="Times New Roman" w:hAnsi="Times New Roman"/>
        </w:rPr>
        <w:t>M</w:t>
      </w:r>
      <w:r w:rsidR="00A539CB">
        <w:rPr>
          <w:rFonts w:ascii="Times New Roman" w:hAnsi="Times New Roman"/>
        </w:rPr>
        <w:t>arc</w:t>
      </w:r>
      <w:r w:rsidR="00A539CB" w:rsidRPr="00F700B8">
        <w:rPr>
          <w:rFonts w:ascii="Times New Roman" w:hAnsi="Times New Roman"/>
        </w:rPr>
        <w:t xml:space="preserve"> </w:t>
      </w:r>
      <w:proofErr w:type="spellStart"/>
      <w:r w:rsidRPr="00F700B8">
        <w:rPr>
          <w:rFonts w:ascii="Times New Roman" w:hAnsi="Times New Roman"/>
        </w:rPr>
        <w:t>Galanter</w:t>
      </w:r>
      <w:proofErr w:type="spellEnd"/>
      <w:r>
        <w:rPr>
          <w:rFonts w:ascii="Times New Roman" w:hAnsi="Times New Roman"/>
        </w:rPr>
        <w:t>,</w:t>
      </w:r>
      <w:r w:rsidRPr="00F700B8">
        <w:rPr>
          <w:rFonts w:ascii="Times New Roman" w:hAnsi="Times New Roman"/>
        </w:rPr>
        <w:t xml:space="preserve"> “Why the ‘haves’ come out ahead: speculations on the limits of legal change,” in </w:t>
      </w:r>
      <w:r w:rsidRPr="00F700B8">
        <w:rPr>
          <w:rFonts w:ascii="Times New Roman" w:hAnsi="Times New Roman"/>
          <w:i/>
        </w:rPr>
        <w:t>Law and Society</w:t>
      </w:r>
      <w:r w:rsidRPr="00F700B8">
        <w:rPr>
          <w:rFonts w:ascii="Times New Roman" w:hAnsi="Times New Roman"/>
        </w:rPr>
        <w:t>, Fall</w:t>
      </w:r>
      <w:r>
        <w:rPr>
          <w:rFonts w:ascii="Times New Roman" w:hAnsi="Times New Roman"/>
        </w:rPr>
        <w:t xml:space="preserve"> (1974)</w:t>
      </w:r>
      <w:r w:rsidRPr="00F700B8">
        <w:rPr>
          <w:rFonts w:ascii="Times New Roman" w:hAnsi="Times New Roman"/>
        </w:rPr>
        <w:t>, pp. 95-160.</w:t>
      </w:r>
    </w:p>
  </w:footnote>
  <w:footnote w:id="49">
    <w:p w14:paraId="378B3BCD" w14:textId="6FC09453"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w:t>
      </w:r>
      <w:r w:rsidRPr="00F700B8">
        <w:rPr>
          <w:rFonts w:ascii="Times New Roman" w:hAnsi="Times New Roman"/>
          <w:i/>
        </w:rPr>
        <w:t>Id</w:t>
      </w:r>
      <w:r w:rsidRPr="00F700B8">
        <w:rPr>
          <w:rFonts w:ascii="Times New Roman" w:hAnsi="Times New Roman"/>
        </w:rPr>
        <w:t>, Figure 3 at p. 125.</w:t>
      </w:r>
    </w:p>
  </w:footnote>
  <w:footnote w:id="50">
    <w:p w14:paraId="7381EDE7" w14:textId="525D1C60"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eastAsia="Times New Roman" w:hAnsi="Times New Roman"/>
          <w:lang w:eastAsia="nl-NL"/>
        </w:rPr>
        <w:t xml:space="preserve"> A</w:t>
      </w:r>
      <w:r>
        <w:rPr>
          <w:rFonts w:ascii="Times New Roman" w:eastAsia="Times New Roman" w:hAnsi="Times New Roman"/>
          <w:lang w:eastAsia="nl-NL"/>
        </w:rPr>
        <w:t>lan Freeman,</w:t>
      </w:r>
      <w:r w:rsidRPr="00F700B8">
        <w:rPr>
          <w:rFonts w:ascii="Times New Roman" w:eastAsia="Times New Roman" w:hAnsi="Times New Roman"/>
          <w:lang w:eastAsia="nl-NL"/>
        </w:rPr>
        <w:t xml:space="preserve">  </w:t>
      </w:r>
      <w:r w:rsidRPr="00F700B8">
        <w:rPr>
          <w:rFonts w:ascii="Times New Roman" w:eastAsia="Times New Roman" w:hAnsi="Times New Roman"/>
          <w:i/>
          <w:lang w:eastAsia="nl-NL"/>
        </w:rPr>
        <w:t>Racism, Rights and the Quest for Equality of Opportunity: A Critical Legal Essay</w:t>
      </w:r>
      <w:r w:rsidRPr="00F700B8">
        <w:rPr>
          <w:rFonts w:ascii="Times New Roman" w:eastAsia="Times New Roman" w:hAnsi="Times New Roman"/>
          <w:lang w:eastAsia="nl-NL"/>
        </w:rPr>
        <w:t xml:space="preserve">, 23 </w:t>
      </w:r>
      <w:proofErr w:type="spellStart"/>
      <w:r w:rsidRPr="00F700B8">
        <w:rPr>
          <w:rFonts w:ascii="Times New Roman" w:eastAsia="Times New Roman" w:hAnsi="Times New Roman"/>
          <w:lang w:eastAsia="nl-NL"/>
        </w:rPr>
        <w:t>Harv</w:t>
      </w:r>
      <w:proofErr w:type="spellEnd"/>
      <w:r w:rsidRPr="00F700B8">
        <w:rPr>
          <w:rFonts w:ascii="Times New Roman" w:eastAsia="Times New Roman" w:hAnsi="Times New Roman"/>
          <w:lang w:eastAsia="nl-NL"/>
        </w:rPr>
        <w:t>. C.R.-C.L. L. Rev. 295,</w:t>
      </w:r>
      <w:r>
        <w:rPr>
          <w:rFonts w:ascii="Times New Roman" w:eastAsia="Times New Roman" w:hAnsi="Times New Roman"/>
          <w:lang w:eastAsia="nl-NL"/>
        </w:rPr>
        <w:t xml:space="preserve"> (1998),</w:t>
      </w:r>
      <w:r w:rsidRPr="00F700B8">
        <w:rPr>
          <w:rFonts w:ascii="Times New Roman" w:eastAsia="Times New Roman" w:hAnsi="Times New Roman"/>
          <w:lang w:eastAsia="nl-NL"/>
        </w:rPr>
        <w:t xml:space="preserve"> p. 335-36. </w:t>
      </w:r>
    </w:p>
  </w:footnote>
  <w:footnote w:id="51">
    <w:p w14:paraId="49909663" w14:textId="4A6315AC" w:rsidR="0034620E" w:rsidRPr="00583456" w:rsidRDefault="0034620E" w:rsidP="00557D96">
      <w:pPr>
        <w:jc w:val="both"/>
        <w:rPr>
          <w:rFonts w:eastAsia="Times New Roman"/>
          <w:sz w:val="20"/>
          <w:szCs w:val="20"/>
          <w:lang w:eastAsia="nl-NL"/>
        </w:rPr>
      </w:pPr>
      <w:r w:rsidRPr="00F700B8">
        <w:rPr>
          <w:rStyle w:val="Voetnootmarkering"/>
          <w:sz w:val="20"/>
          <w:szCs w:val="20"/>
        </w:rPr>
        <w:footnoteRef/>
      </w:r>
      <w:r w:rsidRPr="00963C00">
        <w:rPr>
          <w:rFonts w:eastAsia="Times New Roman"/>
          <w:sz w:val="20"/>
          <w:szCs w:val="20"/>
          <w:lang w:eastAsia="nl-NL"/>
        </w:rPr>
        <w:t xml:space="preserve"> William N. Eskridge Jr, </w:t>
      </w:r>
      <w:r w:rsidRPr="00B11868">
        <w:rPr>
          <w:rFonts w:eastAsia="Times New Roman"/>
          <w:sz w:val="20"/>
          <w:szCs w:val="20"/>
          <w:lang w:eastAsia="nl-NL"/>
        </w:rPr>
        <w:t>“</w:t>
      </w:r>
      <w:r w:rsidRPr="00DD67B0">
        <w:rPr>
          <w:rFonts w:eastAsia="Times New Roman"/>
          <w:sz w:val="20"/>
          <w:szCs w:val="20"/>
          <w:lang w:eastAsia="nl-NL"/>
        </w:rPr>
        <w:t>Some Effects of Identity-Based Social Movements on Constitutional Law in the Twentieth Century,</w:t>
      </w:r>
      <w:r w:rsidRPr="004B3803">
        <w:rPr>
          <w:rFonts w:eastAsia="Times New Roman"/>
          <w:sz w:val="20"/>
          <w:szCs w:val="20"/>
          <w:lang w:eastAsia="nl-NL"/>
        </w:rPr>
        <w:t>”</w:t>
      </w:r>
      <w:r w:rsidRPr="00F41A08">
        <w:rPr>
          <w:rFonts w:eastAsia="Times New Roman"/>
          <w:sz w:val="20"/>
          <w:szCs w:val="20"/>
          <w:lang w:eastAsia="nl-NL"/>
        </w:rPr>
        <w:t xml:space="preserve"> 100 </w:t>
      </w:r>
      <w:r w:rsidRPr="0070004A">
        <w:rPr>
          <w:rFonts w:eastAsia="Times New Roman"/>
          <w:i/>
          <w:sz w:val="20"/>
          <w:szCs w:val="20"/>
          <w:lang w:eastAsia="nl-NL"/>
        </w:rPr>
        <w:t>Mich. L. Rev.</w:t>
      </w:r>
      <w:r w:rsidRPr="002A6BC0">
        <w:rPr>
          <w:rFonts w:eastAsia="Times New Roman"/>
          <w:sz w:val="20"/>
          <w:szCs w:val="20"/>
          <w:lang w:eastAsia="nl-NL"/>
        </w:rPr>
        <w:t xml:space="preserve"> </w:t>
      </w:r>
      <w:r w:rsidRPr="00791A82">
        <w:rPr>
          <w:rFonts w:eastAsia="Times New Roman"/>
          <w:sz w:val="20"/>
          <w:szCs w:val="20"/>
          <w:lang w:eastAsia="nl-NL"/>
        </w:rPr>
        <w:t xml:space="preserve">(2002) </w:t>
      </w:r>
      <w:r w:rsidRPr="00583456">
        <w:rPr>
          <w:rFonts w:eastAsia="Times New Roman"/>
          <w:sz w:val="20"/>
          <w:szCs w:val="20"/>
          <w:lang w:eastAsia="nl-NL"/>
        </w:rPr>
        <w:t>2062, 2098.</w:t>
      </w:r>
    </w:p>
    <w:p w14:paraId="5A90AD3A" w14:textId="0BDCD6A0" w:rsidR="0034620E" w:rsidRPr="00001CD0" w:rsidRDefault="0034620E" w:rsidP="00557D96">
      <w:pPr>
        <w:jc w:val="both"/>
        <w:rPr>
          <w:sz w:val="20"/>
          <w:szCs w:val="20"/>
        </w:rPr>
      </w:pPr>
    </w:p>
  </w:footnote>
  <w:footnote w:id="52">
    <w:p w14:paraId="7B528314" w14:textId="77777777"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w:t>
      </w:r>
      <w:r w:rsidRPr="00F700B8">
        <w:rPr>
          <w:rFonts w:ascii="Times New Roman" w:hAnsi="Times New Roman"/>
          <w:i/>
        </w:rPr>
        <w:t>Id.</w:t>
      </w:r>
      <w:r w:rsidRPr="00F700B8">
        <w:rPr>
          <w:rFonts w:ascii="Times New Roman" w:hAnsi="Times New Roman"/>
        </w:rPr>
        <w:t xml:space="preserve"> at 2114.</w:t>
      </w:r>
    </w:p>
  </w:footnote>
  <w:footnote w:id="53">
    <w:p w14:paraId="277B7D85" w14:textId="2B068A88" w:rsidR="0034620E" w:rsidRPr="0070004A" w:rsidRDefault="0034620E" w:rsidP="00557D96">
      <w:pPr>
        <w:jc w:val="both"/>
        <w:rPr>
          <w:sz w:val="20"/>
          <w:szCs w:val="20"/>
        </w:rPr>
      </w:pPr>
      <w:r w:rsidRPr="00F700B8">
        <w:rPr>
          <w:rStyle w:val="Voetnootmarkering"/>
          <w:sz w:val="20"/>
          <w:szCs w:val="20"/>
        </w:rPr>
        <w:footnoteRef/>
      </w:r>
      <w:r w:rsidRPr="00F700B8">
        <w:rPr>
          <w:sz w:val="20"/>
          <w:szCs w:val="20"/>
        </w:rPr>
        <w:t xml:space="preserve"> As </w:t>
      </w:r>
      <w:r w:rsidRPr="00963C00">
        <w:rPr>
          <w:sz w:val="20"/>
          <w:szCs w:val="20"/>
        </w:rPr>
        <w:t>characterized</w:t>
      </w:r>
      <w:r w:rsidRPr="00B11868">
        <w:rPr>
          <w:sz w:val="20"/>
          <w:szCs w:val="20"/>
        </w:rPr>
        <w:t xml:space="preserve"> </w:t>
      </w:r>
      <w:r w:rsidRPr="002F7F9B">
        <w:rPr>
          <w:sz w:val="20"/>
          <w:szCs w:val="20"/>
        </w:rPr>
        <w:t xml:space="preserve">by Louis P. </w:t>
      </w:r>
      <w:proofErr w:type="spellStart"/>
      <w:r w:rsidRPr="002F7F9B">
        <w:rPr>
          <w:sz w:val="20"/>
          <w:szCs w:val="20"/>
        </w:rPr>
        <w:t>Pojman</w:t>
      </w:r>
      <w:proofErr w:type="spellEnd"/>
      <w:r w:rsidRPr="002F7F9B">
        <w:rPr>
          <w:sz w:val="20"/>
          <w:szCs w:val="20"/>
        </w:rPr>
        <w:t xml:space="preserve"> &amp; Robert Westmoreland (eds.), </w:t>
      </w:r>
      <w:r w:rsidRPr="00DD67B0">
        <w:rPr>
          <w:i/>
          <w:sz w:val="20"/>
          <w:szCs w:val="20"/>
        </w:rPr>
        <w:t>Equality: Selected Readings</w:t>
      </w:r>
      <w:r w:rsidRPr="004B3803">
        <w:rPr>
          <w:sz w:val="20"/>
          <w:szCs w:val="20"/>
        </w:rPr>
        <w:t xml:space="preserve">, </w:t>
      </w:r>
      <w:r w:rsidRPr="00F41A08">
        <w:rPr>
          <w:sz w:val="20"/>
          <w:szCs w:val="20"/>
        </w:rPr>
        <w:t>(</w:t>
      </w:r>
      <w:r w:rsidRPr="0070004A">
        <w:rPr>
          <w:sz w:val="20"/>
          <w:szCs w:val="20"/>
        </w:rPr>
        <w:t>New York: Oxford University Press, 1997), p. 11.</w:t>
      </w:r>
    </w:p>
    <w:p w14:paraId="60E33468" w14:textId="77777777" w:rsidR="0034620E" w:rsidRPr="00001CD0" w:rsidRDefault="0034620E" w:rsidP="00557D96">
      <w:pPr>
        <w:jc w:val="both"/>
        <w:rPr>
          <w:sz w:val="20"/>
          <w:szCs w:val="20"/>
        </w:rPr>
      </w:pPr>
    </w:p>
  </w:footnote>
  <w:footnote w:id="54">
    <w:p w14:paraId="478B167B" w14:textId="56433CAD"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rPr>
        <w:t xml:space="preserve"> A.E.</w:t>
      </w:r>
      <w:r>
        <w:rPr>
          <w:rFonts w:ascii="Times New Roman" w:hAnsi="Times New Roman"/>
        </w:rPr>
        <w:t xml:space="preserve"> </w:t>
      </w:r>
      <w:proofErr w:type="spellStart"/>
      <w:r w:rsidRPr="00F700B8">
        <w:rPr>
          <w:rFonts w:ascii="Times New Roman" w:hAnsi="Times New Roman"/>
        </w:rPr>
        <w:t>Yamin</w:t>
      </w:r>
      <w:proofErr w:type="spellEnd"/>
      <w:r w:rsidRPr="00F700B8">
        <w:rPr>
          <w:rFonts w:ascii="Times New Roman" w:hAnsi="Times New Roman"/>
        </w:rPr>
        <w:t xml:space="preserve">,  &amp; </w:t>
      </w:r>
      <w:proofErr w:type="spellStart"/>
      <w:r w:rsidRPr="00F700B8">
        <w:rPr>
          <w:rFonts w:ascii="Times New Roman" w:hAnsi="Times New Roman"/>
        </w:rPr>
        <w:t>Norheim</w:t>
      </w:r>
      <w:proofErr w:type="spellEnd"/>
      <w:r w:rsidRPr="00F700B8">
        <w:rPr>
          <w:rFonts w:ascii="Times New Roman" w:hAnsi="Times New Roman"/>
        </w:rPr>
        <w:t xml:space="preserve">, O.F., “Taking Equality Seriously: Applying Human Rights Frameworks to Priority Setting in Health,” in </w:t>
      </w:r>
      <w:r w:rsidRPr="00F700B8">
        <w:rPr>
          <w:rFonts w:ascii="Times New Roman" w:hAnsi="Times New Roman"/>
          <w:i/>
        </w:rPr>
        <w:t>Human Rights Quarterly</w:t>
      </w:r>
      <w:r w:rsidRPr="00F700B8">
        <w:rPr>
          <w:rFonts w:ascii="Times New Roman" w:hAnsi="Times New Roman"/>
        </w:rPr>
        <w:t>, Vol. 36, No. 2, May 2014, pp. 296-324.</w:t>
      </w:r>
    </w:p>
  </w:footnote>
  <w:footnote w:id="55">
    <w:p w14:paraId="6993A9F3" w14:textId="753454D8" w:rsidR="00C54B65" w:rsidRPr="000307FD" w:rsidRDefault="00C54B65" w:rsidP="00557D96">
      <w:pPr>
        <w:pStyle w:val="Voetnoottekst"/>
        <w:jc w:val="both"/>
        <w:rPr>
          <w:rFonts w:ascii="Times New Roman" w:hAnsi="Times New Roman"/>
        </w:rPr>
      </w:pPr>
      <w:r w:rsidRPr="00A71B1D">
        <w:rPr>
          <w:rStyle w:val="Voetnootmarkering"/>
          <w:rFonts w:ascii="Times New Roman" w:hAnsi="Times New Roman"/>
        </w:rPr>
        <w:footnoteRef/>
      </w:r>
      <w:r w:rsidRPr="00A71B1D">
        <w:rPr>
          <w:rFonts w:ascii="Times New Roman" w:hAnsi="Times New Roman"/>
        </w:rPr>
        <w:t xml:space="preserve"> Behind each distinct human right</w:t>
      </w:r>
      <w:r>
        <w:rPr>
          <w:rFonts w:ascii="Times New Roman" w:hAnsi="Times New Roman"/>
        </w:rPr>
        <w:t xml:space="preserve"> is a principle connected to </w:t>
      </w:r>
      <w:r w:rsidR="00544135">
        <w:rPr>
          <w:rFonts w:ascii="Times New Roman" w:hAnsi="Times New Roman"/>
        </w:rPr>
        <w:t>basic human dignity</w:t>
      </w:r>
      <w:r>
        <w:rPr>
          <w:rFonts w:ascii="Times New Roman" w:hAnsi="Times New Roman"/>
        </w:rPr>
        <w:t>. Exa</w:t>
      </w:r>
      <w:r w:rsidR="00544135">
        <w:rPr>
          <w:rFonts w:ascii="Times New Roman" w:hAnsi="Times New Roman"/>
        </w:rPr>
        <w:t>m</w:t>
      </w:r>
      <w:r>
        <w:rPr>
          <w:rFonts w:ascii="Times New Roman" w:hAnsi="Times New Roman"/>
        </w:rPr>
        <w:t xml:space="preserve">ples </w:t>
      </w:r>
      <w:r w:rsidR="00544135">
        <w:rPr>
          <w:rFonts w:ascii="Times New Roman" w:hAnsi="Times New Roman"/>
        </w:rPr>
        <w:t xml:space="preserve">following from </w:t>
      </w:r>
      <w:r>
        <w:rPr>
          <w:rFonts w:ascii="Times New Roman" w:hAnsi="Times New Roman"/>
        </w:rPr>
        <w:t xml:space="preserve">the UDHR are </w:t>
      </w:r>
      <w:r w:rsidR="00544135">
        <w:rPr>
          <w:rFonts w:ascii="Times New Roman" w:hAnsi="Times New Roman"/>
        </w:rPr>
        <w:t>the value of human life per se, bodily integrity and the trinity of Article 1: liberty, equality and solidarity. Such principles underline the legitimacy of any use of power that affects people’s lives and living conditions.</w:t>
      </w:r>
      <w:r w:rsidRPr="00A71B1D">
        <w:rPr>
          <w:rFonts w:ascii="Times New Roman" w:hAnsi="Times New Roman"/>
        </w:rPr>
        <w:t xml:space="preserve"> </w:t>
      </w:r>
    </w:p>
  </w:footnote>
  <w:footnote w:id="56">
    <w:p w14:paraId="3DEA4B3E" w14:textId="77777777" w:rsidR="0034620E" w:rsidRPr="00DD67B0" w:rsidRDefault="0034620E" w:rsidP="00557D96">
      <w:pPr>
        <w:jc w:val="both"/>
        <w:rPr>
          <w:sz w:val="20"/>
          <w:szCs w:val="20"/>
        </w:rPr>
      </w:pPr>
      <w:r w:rsidRPr="00F700B8">
        <w:rPr>
          <w:rStyle w:val="Voetnootmarkering"/>
          <w:sz w:val="20"/>
          <w:szCs w:val="20"/>
        </w:rPr>
        <w:footnoteRef/>
      </w:r>
      <w:r w:rsidRPr="00F700B8">
        <w:rPr>
          <w:sz w:val="20"/>
          <w:szCs w:val="20"/>
        </w:rPr>
        <w:t xml:space="preserve"> Ronald Dworkin, </w:t>
      </w:r>
      <w:r w:rsidRPr="00963C00">
        <w:rPr>
          <w:i/>
          <w:sz w:val="20"/>
          <w:szCs w:val="20"/>
        </w:rPr>
        <w:t>Taking Rights Seriously</w:t>
      </w:r>
      <w:r w:rsidRPr="00B11868">
        <w:rPr>
          <w:sz w:val="20"/>
          <w:szCs w:val="20"/>
        </w:rPr>
        <w:t>, London: Duckworth &amp; Co., 1977, p. 180. Emphasi</w:t>
      </w:r>
      <w:r w:rsidRPr="002F7F9B">
        <w:rPr>
          <w:sz w:val="20"/>
          <w:szCs w:val="20"/>
        </w:rPr>
        <w:t>s added.</w:t>
      </w:r>
    </w:p>
    <w:p w14:paraId="45F49B2A" w14:textId="77777777" w:rsidR="0034620E" w:rsidRPr="004B3803" w:rsidRDefault="0034620E" w:rsidP="00557D96">
      <w:pPr>
        <w:jc w:val="both"/>
        <w:rPr>
          <w:sz w:val="20"/>
          <w:szCs w:val="20"/>
        </w:rPr>
      </w:pPr>
    </w:p>
  </w:footnote>
  <w:footnote w:id="57">
    <w:p w14:paraId="60556C34" w14:textId="1C70F7BB" w:rsidR="0034620E" w:rsidRPr="0070004A" w:rsidRDefault="0034620E" w:rsidP="00557D96">
      <w:pPr>
        <w:pStyle w:val="Voetnoottekst"/>
        <w:spacing w:line="240" w:lineRule="auto"/>
        <w:jc w:val="both"/>
        <w:rPr>
          <w:rFonts w:ascii="Times New Roman" w:hAnsi="Times New Roman"/>
        </w:rPr>
      </w:pPr>
      <w:r w:rsidRPr="002F7F9B">
        <w:rPr>
          <w:rStyle w:val="Voetnootmarkering"/>
          <w:rFonts w:ascii="Times New Roman" w:hAnsi="Times New Roman"/>
        </w:rPr>
        <w:footnoteRef/>
      </w:r>
      <w:r w:rsidR="00717394">
        <w:rPr>
          <w:rFonts w:ascii="Times New Roman" w:hAnsi="Times New Roman"/>
        </w:rPr>
        <w:t xml:space="preserve"> </w:t>
      </w:r>
      <w:proofErr w:type="spellStart"/>
      <w:r w:rsidR="00717394" w:rsidRPr="00DD67B0">
        <w:rPr>
          <w:rFonts w:ascii="Times New Roman" w:hAnsi="Times New Roman"/>
          <w:i/>
        </w:rPr>
        <w:t>Equalinrights</w:t>
      </w:r>
      <w:proofErr w:type="spellEnd"/>
      <w:r w:rsidR="00717394" w:rsidRPr="004B3803">
        <w:rPr>
          <w:rFonts w:ascii="Times New Roman" w:hAnsi="Times New Roman"/>
        </w:rPr>
        <w:t xml:space="preserve"> (2004-2011)</w:t>
      </w:r>
      <w:r w:rsidR="00717394">
        <w:rPr>
          <w:rFonts w:ascii="Times New Roman" w:hAnsi="Times New Roman"/>
        </w:rPr>
        <w:t xml:space="preserve"> </w:t>
      </w:r>
      <w:r w:rsidR="00717394" w:rsidRPr="004B3803">
        <w:rPr>
          <w:rFonts w:ascii="Times New Roman" w:hAnsi="Times New Roman"/>
        </w:rPr>
        <w:t>was a joint initiative of the Dutch Development Agency ICCO a</w:t>
      </w:r>
      <w:r w:rsidR="00717394" w:rsidRPr="0070004A">
        <w:rPr>
          <w:rFonts w:ascii="Times New Roman" w:hAnsi="Times New Roman"/>
        </w:rPr>
        <w:t>nd the Netherlands Institute of Human Rights.</w:t>
      </w:r>
      <w:r w:rsidR="00717394" w:rsidRPr="00717394">
        <w:rPr>
          <w:rFonts w:ascii="Times New Roman" w:hAnsi="Times New Roman"/>
        </w:rPr>
        <w:t xml:space="preserve"> </w:t>
      </w:r>
      <w:r w:rsidR="00717394">
        <w:rPr>
          <w:rFonts w:ascii="Times New Roman" w:hAnsi="Times New Roman"/>
        </w:rPr>
        <w:t xml:space="preserve">See </w:t>
      </w:r>
      <w:hyperlink r:id="rId13" w:history="1">
        <w:r w:rsidRPr="00F700B8">
          <w:rPr>
            <w:rStyle w:val="Hyperlink"/>
          </w:rPr>
          <w:t>http://www.aprodev.eu/files/Development_policy/Dev-RBA/budgeting_human_rights-Jan%202007.pdf</w:t>
        </w:r>
      </w:hyperlink>
      <w:r w:rsidRPr="002F7F9B">
        <w:rPr>
          <w:rFonts w:ascii="Times New Roman" w:hAnsi="Times New Roman"/>
        </w:rPr>
        <w:t xml:space="preserve"> </w:t>
      </w:r>
      <w:r w:rsidR="00717394" w:rsidRPr="002F7F9B">
        <w:rPr>
          <w:rFonts w:ascii="Times New Roman" w:hAnsi="Times New Roman"/>
        </w:rPr>
        <w:t xml:space="preserve">This methodology is also available through </w:t>
      </w:r>
      <w:r w:rsidR="00717394">
        <w:rPr>
          <w:rFonts w:ascii="Times New Roman" w:hAnsi="Times New Roman"/>
        </w:rPr>
        <w:t>other means. See the</w:t>
      </w:r>
      <w:r w:rsidR="00717394" w:rsidRPr="002F7F9B">
        <w:rPr>
          <w:rFonts w:ascii="Times New Roman" w:hAnsi="Times New Roman"/>
        </w:rPr>
        <w:t xml:space="preserve"> UN Practitioners’ portal </w:t>
      </w:r>
      <w:hyperlink r:id="rId14" w:history="1">
        <w:r w:rsidR="00717394" w:rsidRPr="00F700B8">
          <w:rPr>
            <w:rStyle w:val="Hyperlink"/>
          </w:rPr>
          <w:t>http://hrbaportal.org/archives/tools/budgeting-human-rights</w:t>
        </w:r>
      </w:hyperlink>
    </w:p>
  </w:footnote>
  <w:footnote w:id="58">
    <w:p w14:paraId="4824E932" w14:textId="77777777" w:rsidR="0034620E" w:rsidRPr="00F700B8" w:rsidRDefault="0034620E" w:rsidP="00557D96">
      <w:pPr>
        <w:pStyle w:val="Voetnoottekst"/>
        <w:spacing w:line="240" w:lineRule="auto"/>
        <w:jc w:val="both"/>
        <w:rPr>
          <w:rFonts w:ascii="Times New Roman" w:hAnsi="Times New Roman"/>
        </w:rPr>
      </w:pPr>
      <w:r w:rsidRPr="00001CD0">
        <w:rPr>
          <w:rStyle w:val="Voetnootmarkering"/>
          <w:rFonts w:ascii="Times New Roman" w:hAnsi="Times New Roman"/>
        </w:rPr>
        <w:footnoteRef/>
      </w:r>
      <w:r w:rsidRPr="00137DDB">
        <w:rPr>
          <w:rFonts w:ascii="Times New Roman" w:hAnsi="Times New Roman"/>
        </w:rPr>
        <w:t xml:space="preserve"> Yanqing Hong, </w:t>
      </w:r>
      <w:r w:rsidRPr="008468EC">
        <w:rPr>
          <w:rFonts w:ascii="Times New Roman" w:hAnsi="Times New Roman"/>
          <w:i/>
        </w:rPr>
        <w:t>Political Economy of the Right to Education in Rural China: Unpacking the Black Box of the State</w:t>
      </w:r>
      <w:r w:rsidRPr="00F700B8">
        <w:rPr>
          <w:rFonts w:ascii="Times New Roman" w:hAnsi="Times New Roman"/>
        </w:rPr>
        <w:t>, Doctoral Dissertation, Utrecht University, 22 December 2011.</w:t>
      </w:r>
    </w:p>
  </w:footnote>
  <w:footnote w:id="59">
    <w:p w14:paraId="4B1308FE" w14:textId="797A3A5A" w:rsidR="0034620E" w:rsidRPr="00F700B8" w:rsidRDefault="0034620E" w:rsidP="00557D96">
      <w:pPr>
        <w:pStyle w:val="Voetnoottekst"/>
        <w:spacing w:line="240" w:lineRule="auto"/>
        <w:jc w:val="both"/>
        <w:rPr>
          <w:rFonts w:ascii="Times New Roman" w:hAnsi="Times New Roman"/>
        </w:rPr>
      </w:pPr>
      <w:r w:rsidRPr="00F700B8">
        <w:rPr>
          <w:rStyle w:val="Voetnootmarkering"/>
          <w:rFonts w:ascii="Times New Roman" w:hAnsi="Times New Roman"/>
        </w:rPr>
        <w:footnoteRef/>
      </w:r>
      <w:r w:rsidRPr="00F700B8">
        <w:rPr>
          <w:rFonts w:ascii="Times New Roman" w:hAnsi="Times New Roman"/>
          <w:lang w:val="es-AR"/>
        </w:rPr>
        <w:t xml:space="preserve"> Bas de Gaay Fortman, Supra, fn. 1. </w:t>
      </w:r>
      <w:r w:rsidRPr="00F700B8">
        <w:rPr>
          <w:rFonts w:ascii="Times New Roman" w:hAnsi="Times New Roman"/>
        </w:rPr>
        <w:t xml:space="preserve">See also  Arts, K. and </w:t>
      </w:r>
      <w:proofErr w:type="spellStart"/>
      <w:r w:rsidRPr="00F700B8">
        <w:rPr>
          <w:rFonts w:ascii="Times New Roman" w:hAnsi="Times New Roman"/>
        </w:rPr>
        <w:t>Mihyo</w:t>
      </w:r>
      <w:proofErr w:type="spellEnd"/>
      <w:r w:rsidRPr="00F700B8">
        <w:rPr>
          <w:rFonts w:ascii="Times New Roman" w:hAnsi="Times New Roman"/>
        </w:rPr>
        <w:t>, M. (eds</w:t>
      </w:r>
      <w:r w:rsidRPr="00F700B8">
        <w:rPr>
          <w:rFonts w:ascii="Times New Roman" w:hAnsi="Times New Roman"/>
          <w:i/>
        </w:rPr>
        <w:t>.</w:t>
      </w:r>
      <w:r w:rsidRPr="00F700B8">
        <w:rPr>
          <w:rFonts w:ascii="Times New Roman" w:hAnsi="Times New Roman"/>
        </w:rPr>
        <w:t>)</w:t>
      </w:r>
      <w:r w:rsidRPr="00F700B8">
        <w:rPr>
          <w:rFonts w:ascii="Times New Roman" w:hAnsi="Times New Roman"/>
          <w:i/>
        </w:rPr>
        <w:t xml:space="preserve">, Responding to the Human Rights Deficit. Essays in </w:t>
      </w:r>
      <w:proofErr w:type="spellStart"/>
      <w:r w:rsidRPr="00F700B8">
        <w:rPr>
          <w:rFonts w:ascii="Times New Roman" w:hAnsi="Times New Roman"/>
          <w:i/>
        </w:rPr>
        <w:t>Honour</w:t>
      </w:r>
      <w:proofErr w:type="spellEnd"/>
      <w:r w:rsidRPr="00F700B8">
        <w:rPr>
          <w:rFonts w:ascii="Times New Roman" w:hAnsi="Times New Roman"/>
          <w:i/>
        </w:rPr>
        <w:t xml:space="preserve"> of Bas de Gaay Fortman</w:t>
      </w:r>
      <w:r w:rsidRPr="00F700B8">
        <w:rPr>
          <w:rFonts w:ascii="Times New Roman" w:hAnsi="Times New Roman"/>
        </w:rPr>
        <w:t xml:space="preserve">, The Hague: Kluwer Law International, 2003. </w:t>
      </w:r>
    </w:p>
  </w:footnote>
  <w:footnote w:id="60">
    <w:p w14:paraId="344CCC58" w14:textId="17571ACC" w:rsidR="0034620E" w:rsidRPr="00A71B1D" w:rsidRDefault="0034620E" w:rsidP="00557D96">
      <w:pPr>
        <w:pStyle w:val="Kop2"/>
        <w:jc w:val="both"/>
        <w:rPr>
          <w:sz w:val="20"/>
          <w:szCs w:val="20"/>
          <w:lang w:val="en-US"/>
        </w:rPr>
      </w:pPr>
      <w:r w:rsidRPr="00A71B1D">
        <w:rPr>
          <w:rStyle w:val="Voetnootmarkering"/>
          <w:b w:val="0"/>
          <w:sz w:val="20"/>
          <w:szCs w:val="20"/>
        </w:rPr>
        <w:footnoteRef/>
      </w:r>
      <w:r w:rsidRPr="00A71B1D">
        <w:rPr>
          <w:b w:val="0"/>
          <w:sz w:val="20"/>
          <w:szCs w:val="20"/>
          <w:lang w:val="en-US"/>
        </w:rPr>
        <w:t xml:space="preserve"> </w:t>
      </w:r>
      <w:r w:rsidRPr="00A71B1D">
        <w:rPr>
          <w:b w:val="0"/>
          <w:color w:val="000000" w:themeColor="text1"/>
          <w:sz w:val="20"/>
          <w:szCs w:val="20"/>
          <w:lang w:val="en-US"/>
        </w:rPr>
        <w:t xml:space="preserve">S. </w:t>
      </w:r>
      <w:proofErr w:type="spellStart"/>
      <w:r w:rsidRPr="00A71B1D">
        <w:rPr>
          <w:b w:val="0"/>
          <w:color w:val="000000" w:themeColor="text1"/>
          <w:sz w:val="20"/>
          <w:szCs w:val="20"/>
          <w:lang w:val="en-US"/>
        </w:rPr>
        <w:t>Mansoob</w:t>
      </w:r>
      <w:proofErr w:type="spellEnd"/>
      <w:r w:rsidRPr="00A71B1D">
        <w:rPr>
          <w:b w:val="0"/>
          <w:color w:val="000000" w:themeColor="text1"/>
          <w:sz w:val="20"/>
          <w:szCs w:val="20"/>
          <w:lang w:val="en-US"/>
        </w:rPr>
        <w:t xml:space="preserve"> </w:t>
      </w:r>
      <w:proofErr w:type="spellStart"/>
      <w:r w:rsidRPr="00A71B1D">
        <w:rPr>
          <w:b w:val="0"/>
          <w:color w:val="000000" w:themeColor="text1"/>
          <w:sz w:val="20"/>
          <w:szCs w:val="20"/>
          <w:lang w:val="en-US"/>
        </w:rPr>
        <w:t>Murshed</w:t>
      </w:r>
      <w:proofErr w:type="spellEnd"/>
      <w:r w:rsidRPr="00A71B1D">
        <w:rPr>
          <w:b w:val="0"/>
          <w:color w:val="000000" w:themeColor="text1"/>
          <w:sz w:val="20"/>
          <w:szCs w:val="20"/>
          <w:lang w:val="en-US"/>
        </w:rPr>
        <w:t xml:space="preserve"> </w:t>
      </w:r>
      <w:r w:rsidR="00C42851" w:rsidRPr="00A71B1D">
        <w:rPr>
          <w:b w:val="0"/>
          <w:color w:val="000000" w:themeColor="text1"/>
          <w:sz w:val="20"/>
          <w:szCs w:val="20"/>
          <w:lang w:val="en-US"/>
        </w:rPr>
        <w:t xml:space="preserve">and </w:t>
      </w:r>
      <w:r w:rsidR="00C42851" w:rsidRPr="00A71B1D">
        <w:rPr>
          <w:b w:val="0"/>
          <w:color w:val="000000" w:themeColor="text1"/>
          <w:sz w:val="20"/>
          <w:szCs w:val="20"/>
          <w:lang w:val="en"/>
        </w:rPr>
        <w:t xml:space="preserve">Scott Gates </w:t>
      </w:r>
      <w:r w:rsidRPr="00A71B1D">
        <w:rPr>
          <w:b w:val="0"/>
          <w:color w:val="000000" w:themeColor="text1"/>
          <w:sz w:val="20"/>
          <w:szCs w:val="20"/>
          <w:lang w:val="en-US"/>
        </w:rPr>
        <w:t xml:space="preserve">call this spatial-horizontal inequality. </w:t>
      </w:r>
      <w:r w:rsidR="00C42851" w:rsidRPr="00A71B1D">
        <w:rPr>
          <w:b w:val="0"/>
          <w:color w:val="000000" w:themeColor="text1"/>
          <w:sz w:val="20"/>
          <w:szCs w:val="20"/>
          <w:lang w:val="en-US"/>
        </w:rPr>
        <w:t xml:space="preserve">See their article </w:t>
      </w:r>
      <w:r w:rsidR="00272E72">
        <w:rPr>
          <w:b w:val="0"/>
          <w:color w:val="000000" w:themeColor="text1"/>
          <w:sz w:val="20"/>
          <w:szCs w:val="20"/>
          <w:lang w:val="en-US"/>
        </w:rPr>
        <w:t>‘</w:t>
      </w:r>
      <w:r w:rsidR="00C42851" w:rsidRPr="00A71B1D">
        <w:rPr>
          <w:b w:val="0"/>
          <w:color w:val="000000" w:themeColor="text1"/>
          <w:sz w:val="20"/>
          <w:szCs w:val="20"/>
          <w:lang w:val="en"/>
        </w:rPr>
        <w:t>Spatial–Horizontal Inequality and the Maoist Insurgency in Nepal</w:t>
      </w:r>
      <w:r w:rsidR="00272E72">
        <w:rPr>
          <w:b w:val="0"/>
          <w:color w:val="000000" w:themeColor="text1"/>
          <w:sz w:val="20"/>
          <w:szCs w:val="20"/>
          <w:lang w:val="en"/>
        </w:rPr>
        <w:t>’</w:t>
      </w:r>
      <w:r w:rsidR="00A71B1D" w:rsidRPr="00A71B1D">
        <w:rPr>
          <w:b w:val="0"/>
          <w:color w:val="000000" w:themeColor="text1"/>
          <w:sz w:val="20"/>
          <w:szCs w:val="20"/>
          <w:lang w:val="en"/>
        </w:rPr>
        <w:t xml:space="preserve">, </w:t>
      </w:r>
      <w:r w:rsidR="00A71B1D" w:rsidRPr="00A71B1D">
        <w:rPr>
          <w:b w:val="0"/>
          <w:i/>
          <w:color w:val="000000" w:themeColor="text1"/>
          <w:sz w:val="20"/>
          <w:szCs w:val="20"/>
          <w:lang w:val="en"/>
        </w:rPr>
        <w:t xml:space="preserve">Review of </w:t>
      </w:r>
      <w:r w:rsidR="00A71B1D" w:rsidRPr="007A3BEC">
        <w:rPr>
          <w:b w:val="0"/>
          <w:i/>
          <w:color w:val="000000" w:themeColor="text1"/>
          <w:sz w:val="20"/>
          <w:szCs w:val="20"/>
          <w:lang w:val="en"/>
        </w:rPr>
        <w:t>Development Economics</w:t>
      </w:r>
      <w:r w:rsidR="00A71B1D" w:rsidRPr="007A3BEC">
        <w:rPr>
          <w:b w:val="0"/>
          <w:color w:val="000000" w:themeColor="text1"/>
          <w:sz w:val="20"/>
          <w:szCs w:val="20"/>
          <w:lang w:val="en"/>
        </w:rPr>
        <w:t xml:space="preserve">, </w:t>
      </w:r>
      <w:r w:rsidR="00794DA9">
        <w:fldChar w:fldCharType="begin"/>
      </w:r>
      <w:r w:rsidR="00794DA9" w:rsidRPr="00794DA9">
        <w:rPr>
          <w:lang w:val="en-US"/>
        </w:rPr>
        <w:instrText xml:space="preserve"> HYPERLINK "http://onlinelibrary.wiley.com/doi/10.1111/rode.2005.9.issue-1/issuetoc" </w:instrText>
      </w:r>
      <w:r w:rsidR="00794DA9">
        <w:fldChar w:fldCharType="separate"/>
      </w:r>
      <w:r w:rsidR="00A71B1D" w:rsidRPr="007A3BEC">
        <w:rPr>
          <w:rStyle w:val="Hyperlink"/>
          <w:b w:val="0"/>
          <w:color w:val="000000" w:themeColor="text1"/>
          <w:sz w:val="20"/>
          <w:szCs w:val="20"/>
          <w:u w:val="none"/>
          <w:lang w:val="en"/>
        </w:rPr>
        <w:t xml:space="preserve">Volume 9, Issue 1, </w:t>
      </w:r>
      <w:r w:rsidR="00794DA9">
        <w:rPr>
          <w:rStyle w:val="Hyperlink"/>
          <w:b w:val="0"/>
          <w:color w:val="000000" w:themeColor="text1"/>
          <w:sz w:val="20"/>
          <w:szCs w:val="20"/>
          <w:u w:val="none"/>
          <w:lang w:val="en"/>
        </w:rPr>
        <w:fldChar w:fldCharType="end"/>
      </w:r>
      <w:r w:rsidR="00A71B1D" w:rsidRPr="007A3BEC">
        <w:rPr>
          <w:b w:val="0"/>
          <w:color w:val="000000" w:themeColor="text1"/>
          <w:sz w:val="20"/>
          <w:szCs w:val="20"/>
          <w:lang w:val="en"/>
        </w:rPr>
        <w:t>pp. 121–134, February 2005</w:t>
      </w:r>
      <w:r w:rsidR="00482C43" w:rsidRPr="007A3BEC">
        <w:rPr>
          <w:b w:val="0"/>
          <w:color w:val="000000" w:themeColor="text1"/>
          <w:sz w:val="20"/>
          <w:szCs w:val="20"/>
          <w:lang w:val="en"/>
        </w:rPr>
        <w:t xml:space="preserve">. See also L-E. </w:t>
      </w:r>
      <w:proofErr w:type="spellStart"/>
      <w:r w:rsidR="00482C43" w:rsidRPr="007A3BEC">
        <w:rPr>
          <w:b w:val="0"/>
          <w:color w:val="000000" w:themeColor="text1"/>
          <w:sz w:val="20"/>
          <w:szCs w:val="20"/>
          <w:lang w:val="en"/>
        </w:rPr>
        <w:t>Cederman</w:t>
      </w:r>
      <w:proofErr w:type="spellEnd"/>
      <w:r w:rsidR="00482C43" w:rsidRPr="007A3BEC">
        <w:rPr>
          <w:b w:val="0"/>
          <w:color w:val="000000" w:themeColor="text1"/>
          <w:sz w:val="20"/>
          <w:szCs w:val="20"/>
          <w:lang w:val="en"/>
        </w:rPr>
        <w:t xml:space="preserve">, K.S. </w:t>
      </w:r>
      <w:proofErr w:type="spellStart"/>
      <w:r w:rsidR="00482C43" w:rsidRPr="007A3BEC">
        <w:rPr>
          <w:b w:val="0"/>
          <w:color w:val="000000" w:themeColor="text1"/>
          <w:sz w:val="20"/>
          <w:szCs w:val="20"/>
          <w:lang w:val="en"/>
        </w:rPr>
        <w:t>Gleditsch</w:t>
      </w:r>
      <w:proofErr w:type="spellEnd"/>
      <w:r w:rsidR="00482C43" w:rsidRPr="007A3BEC">
        <w:rPr>
          <w:b w:val="0"/>
          <w:color w:val="000000" w:themeColor="text1"/>
          <w:sz w:val="20"/>
          <w:szCs w:val="20"/>
          <w:lang w:val="en"/>
        </w:rPr>
        <w:t xml:space="preserve"> and H. </w:t>
      </w:r>
      <w:proofErr w:type="spellStart"/>
      <w:r w:rsidR="00482C43" w:rsidRPr="007A3BEC">
        <w:rPr>
          <w:b w:val="0"/>
          <w:color w:val="000000" w:themeColor="text1"/>
          <w:sz w:val="20"/>
          <w:szCs w:val="20"/>
          <w:lang w:val="en"/>
        </w:rPr>
        <w:t>Buhaug</w:t>
      </w:r>
      <w:proofErr w:type="spellEnd"/>
      <w:r w:rsidR="00482C43" w:rsidRPr="007A3BEC">
        <w:rPr>
          <w:b w:val="0"/>
          <w:color w:val="000000" w:themeColor="text1"/>
          <w:sz w:val="20"/>
          <w:szCs w:val="20"/>
          <w:lang w:val="en"/>
        </w:rPr>
        <w:t xml:space="preserve">, </w:t>
      </w:r>
      <w:r w:rsidR="00482C43" w:rsidRPr="007A3BEC">
        <w:rPr>
          <w:b w:val="0"/>
          <w:i/>
          <w:color w:val="000000" w:themeColor="text1"/>
          <w:sz w:val="20"/>
          <w:szCs w:val="20"/>
          <w:lang w:val="en"/>
        </w:rPr>
        <w:t>Inequality, Grievances and Civil War</w:t>
      </w:r>
      <w:r w:rsidR="00482C43" w:rsidRPr="007A3BEC">
        <w:rPr>
          <w:b w:val="0"/>
          <w:color w:val="000000" w:themeColor="text1"/>
          <w:sz w:val="20"/>
          <w:szCs w:val="20"/>
          <w:lang w:val="en"/>
        </w:rPr>
        <w:t xml:space="preserve">, </w:t>
      </w:r>
      <w:r w:rsidR="009E5431" w:rsidRPr="007A3BEC">
        <w:rPr>
          <w:b w:val="0"/>
          <w:color w:val="000000" w:themeColor="text1"/>
          <w:sz w:val="20"/>
          <w:szCs w:val="20"/>
          <w:lang w:val="en"/>
        </w:rPr>
        <w:t xml:space="preserve">Cambridge: C.U.P. 2013, </w:t>
      </w:r>
      <w:r w:rsidR="00482C43" w:rsidRPr="007A3BEC">
        <w:rPr>
          <w:b w:val="0"/>
          <w:color w:val="000000" w:themeColor="text1"/>
          <w:sz w:val="20"/>
          <w:szCs w:val="20"/>
          <w:lang w:val="en"/>
        </w:rPr>
        <w:t>p. 30 ff.</w:t>
      </w:r>
    </w:p>
  </w:footnote>
  <w:footnote w:id="61">
    <w:p w14:paraId="01481E2B" w14:textId="5C57A024" w:rsidR="0034620E" w:rsidRPr="00954B19" w:rsidRDefault="0034620E" w:rsidP="005028A4">
      <w:pPr>
        <w:tabs>
          <w:tab w:val="left" w:pos="8364"/>
        </w:tabs>
        <w:autoSpaceDE w:val="0"/>
        <w:autoSpaceDN w:val="0"/>
        <w:adjustRightInd w:val="0"/>
        <w:jc w:val="both"/>
        <w:rPr>
          <w:rFonts w:eastAsiaTheme="minorHAnsi"/>
          <w:i/>
          <w:iCs/>
          <w:sz w:val="20"/>
          <w:szCs w:val="20"/>
        </w:rPr>
      </w:pPr>
      <w:r w:rsidRPr="00F700B8">
        <w:rPr>
          <w:rStyle w:val="Voetnootmarkering"/>
          <w:sz w:val="20"/>
          <w:szCs w:val="20"/>
        </w:rPr>
        <w:footnoteRef/>
      </w:r>
      <w:r w:rsidRPr="00F700B8">
        <w:rPr>
          <w:sz w:val="20"/>
          <w:szCs w:val="20"/>
        </w:rPr>
        <w:t xml:space="preserve"> </w:t>
      </w:r>
      <w:r w:rsidRPr="00963C00">
        <w:rPr>
          <w:rFonts w:eastAsiaTheme="minorHAnsi"/>
          <w:sz w:val="20"/>
          <w:szCs w:val="20"/>
        </w:rPr>
        <w:t>United Nations Development Program</w:t>
      </w:r>
      <w:r w:rsidRPr="00B11868">
        <w:rPr>
          <w:rFonts w:eastAsiaTheme="minorHAnsi"/>
          <w:sz w:val="20"/>
          <w:szCs w:val="20"/>
        </w:rPr>
        <w:t>,</w:t>
      </w:r>
      <w:r w:rsidRPr="00DD67B0">
        <w:rPr>
          <w:rFonts w:eastAsiaTheme="minorHAnsi"/>
          <w:sz w:val="20"/>
          <w:szCs w:val="20"/>
        </w:rPr>
        <w:t xml:space="preserve"> </w:t>
      </w:r>
      <w:r w:rsidRPr="00954B19">
        <w:rPr>
          <w:rFonts w:eastAsiaTheme="minorHAnsi"/>
          <w:i/>
          <w:iCs/>
          <w:sz w:val="20"/>
          <w:szCs w:val="20"/>
        </w:rPr>
        <w:t>Integrating Human Rights with Sustainable</w:t>
      </w:r>
    </w:p>
    <w:p w14:paraId="46BA1510" w14:textId="3A684FAC" w:rsidR="0034620E" w:rsidRPr="00963C00" w:rsidRDefault="0034620E" w:rsidP="005028A4">
      <w:pPr>
        <w:pStyle w:val="Voetnoottekst"/>
        <w:tabs>
          <w:tab w:val="left" w:pos="8364"/>
        </w:tabs>
        <w:jc w:val="both"/>
        <w:rPr>
          <w:rFonts w:ascii="Times New Roman" w:hAnsi="Times New Roman"/>
        </w:rPr>
      </w:pPr>
      <w:r w:rsidRPr="00954B19">
        <w:rPr>
          <w:rFonts w:ascii="Times New Roman" w:eastAsiaTheme="minorHAnsi" w:hAnsi="Times New Roman"/>
          <w:i/>
          <w:iCs/>
        </w:rPr>
        <w:t>Development</w:t>
      </w:r>
      <w:r w:rsidRPr="00954B19">
        <w:rPr>
          <w:rFonts w:ascii="Times New Roman" w:eastAsiaTheme="minorHAnsi" w:hAnsi="Times New Roman"/>
          <w:i/>
        </w:rPr>
        <w:t>,</w:t>
      </w:r>
      <w:r w:rsidRPr="00F700B8">
        <w:rPr>
          <w:rFonts w:ascii="Times New Roman" w:eastAsiaTheme="minorHAnsi" w:hAnsi="Times New Roman"/>
        </w:rPr>
        <w:t xml:space="preserve"> (New York: United Nations, 1998), p. 27.</w:t>
      </w:r>
    </w:p>
  </w:footnote>
  <w:footnote w:id="62">
    <w:p w14:paraId="6BC6DE8D" w14:textId="7366936B" w:rsidR="0034620E" w:rsidRPr="00001CD0" w:rsidRDefault="0034620E" w:rsidP="00557D96">
      <w:pPr>
        <w:autoSpaceDE w:val="0"/>
        <w:autoSpaceDN w:val="0"/>
        <w:adjustRightInd w:val="0"/>
        <w:jc w:val="both"/>
        <w:rPr>
          <w:sz w:val="20"/>
          <w:szCs w:val="20"/>
        </w:rPr>
      </w:pPr>
      <w:r w:rsidRPr="00F700B8">
        <w:rPr>
          <w:rStyle w:val="Voetnootmarkering"/>
          <w:sz w:val="20"/>
          <w:szCs w:val="20"/>
        </w:rPr>
        <w:footnoteRef/>
      </w:r>
      <w:r w:rsidRPr="00963C00">
        <w:rPr>
          <w:rFonts w:eastAsiaTheme="minorHAnsi"/>
          <w:sz w:val="20"/>
          <w:szCs w:val="20"/>
          <w:lang w:val="de-DE"/>
        </w:rPr>
        <w:t xml:space="preserve"> </w:t>
      </w:r>
      <w:proofErr w:type="spellStart"/>
      <w:r w:rsidRPr="00963C00">
        <w:rPr>
          <w:rFonts w:eastAsiaTheme="minorHAnsi"/>
          <w:sz w:val="20"/>
          <w:szCs w:val="20"/>
          <w:lang w:val="de-DE"/>
        </w:rPr>
        <w:t>Deepa</w:t>
      </w:r>
      <w:proofErr w:type="spellEnd"/>
      <w:r w:rsidRPr="00963C00">
        <w:rPr>
          <w:rFonts w:eastAsiaTheme="minorHAnsi"/>
          <w:sz w:val="20"/>
          <w:szCs w:val="20"/>
          <w:lang w:val="de-DE"/>
        </w:rPr>
        <w:t>,</w:t>
      </w:r>
      <w:r>
        <w:rPr>
          <w:rFonts w:eastAsiaTheme="minorHAnsi"/>
          <w:sz w:val="20"/>
          <w:szCs w:val="20"/>
          <w:lang w:val="de-DE"/>
        </w:rPr>
        <w:t xml:space="preserve"> </w:t>
      </w:r>
      <w:proofErr w:type="spellStart"/>
      <w:r w:rsidRPr="00963C00">
        <w:rPr>
          <w:rFonts w:eastAsiaTheme="minorHAnsi"/>
          <w:sz w:val="20"/>
          <w:szCs w:val="20"/>
          <w:lang w:val="de-DE"/>
        </w:rPr>
        <w:t>Narayan</w:t>
      </w:r>
      <w:proofErr w:type="spellEnd"/>
      <w:r w:rsidRPr="00963C00">
        <w:rPr>
          <w:rFonts w:eastAsiaTheme="minorHAnsi"/>
          <w:sz w:val="20"/>
          <w:szCs w:val="20"/>
          <w:lang w:val="de-DE"/>
        </w:rPr>
        <w:t xml:space="preserve"> R. Patel, K. Schafft, A. Rademacher </w:t>
      </w:r>
      <w:proofErr w:type="spellStart"/>
      <w:r w:rsidRPr="00963C00">
        <w:rPr>
          <w:rFonts w:eastAsiaTheme="minorHAnsi"/>
          <w:sz w:val="20"/>
          <w:szCs w:val="20"/>
          <w:lang w:val="de-DE"/>
        </w:rPr>
        <w:t>and</w:t>
      </w:r>
      <w:proofErr w:type="spellEnd"/>
      <w:r w:rsidRPr="00963C00">
        <w:rPr>
          <w:rFonts w:eastAsiaTheme="minorHAnsi"/>
          <w:sz w:val="20"/>
          <w:szCs w:val="20"/>
          <w:lang w:val="de-DE"/>
        </w:rPr>
        <w:t xml:space="preserve"> S. Koch-Schulte. </w:t>
      </w:r>
      <w:r w:rsidRPr="00B11868">
        <w:rPr>
          <w:rFonts w:eastAsiaTheme="minorHAnsi"/>
          <w:sz w:val="20"/>
          <w:szCs w:val="20"/>
        </w:rPr>
        <w:t xml:space="preserve">2000a, </w:t>
      </w:r>
      <w:r w:rsidRPr="002F7F9B">
        <w:rPr>
          <w:rFonts w:eastAsiaTheme="minorHAnsi"/>
          <w:i/>
          <w:iCs/>
          <w:sz w:val="20"/>
          <w:szCs w:val="20"/>
        </w:rPr>
        <w:t>Voices</w:t>
      </w:r>
      <w:r w:rsidR="0001783B">
        <w:rPr>
          <w:rFonts w:eastAsiaTheme="minorHAnsi"/>
          <w:i/>
          <w:iCs/>
          <w:sz w:val="20"/>
          <w:szCs w:val="20"/>
        </w:rPr>
        <w:t xml:space="preserve"> </w:t>
      </w:r>
      <w:r w:rsidRPr="002F7F9B">
        <w:rPr>
          <w:rFonts w:eastAsiaTheme="minorHAnsi"/>
          <w:i/>
          <w:iCs/>
          <w:sz w:val="20"/>
          <w:szCs w:val="20"/>
        </w:rPr>
        <w:t>of the Poor.</w:t>
      </w:r>
      <w:r w:rsidRPr="00DD67B0">
        <w:rPr>
          <w:rFonts w:eastAsiaTheme="minorHAnsi"/>
          <w:i/>
          <w:iCs/>
          <w:sz w:val="20"/>
          <w:szCs w:val="20"/>
        </w:rPr>
        <w:t xml:space="preserve"> Can Anyone Hear Us? </w:t>
      </w:r>
      <w:r w:rsidRPr="004B3803">
        <w:rPr>
          <w:rFonts w:eastAsiaTheme="minorHAnsi"/>
          <w:sz w:val="20"/>
          <w:szCs w:val="20"/>
        </w:rPr>
        <w:t xml:space="preserve">Oxford: Oxford University Press (for the World Bank); and Narayan, Deepa, R. Chambers, M.K. Shah and P. </w:t>
      </w:r>
      <w:proofErr w:type="spellStart"/>
      <w:r w:rsidRPr="004B3803">
        <w:rPr>
          <w:rFonts w:eastAsiaTheme="minorHAnsi"/>
          <w:sz w:val="20"/>
          <w:szCs w:val="20"/>
        </w:rPr>
        <w:t>Petesch</w:t>
      </w:r>
      <w:proofErr w:type="spellEnd"/>
      <w:r w:rsidRPr="004B3803">
        <w:rPr>
          <w:rFonts w:eastAsiaTheme="minorHAnsi"/>
          <w:sz w:val="20"/>
          <w:szCs w:val="20"/>
        </w:rPr>
        <w:t xml:space="preserve">. 2000b, </w:t>
      </w:r>
      <w:r w:rsidRPr="0070004A">
        <w:rPr>
          <w:rFonts w:eastAsiaTheme="minorHAnsi"/>
          <w:i/>
          <w:iCs/>
          <w:sz w:val="20"/>
          <w:szCs w:val="20"/>
        </w:rPr>
        <w:t>Voices of the Poor</w:t>
      </w:r>
      <w:r w:rsidR="0001783B">
        <w:rPr>
          <w:rFonts w:eastAsiaTheme="minorHAnsi"/>
          <w:i/>
          <w:iCs/>
          <w:sz w:val="20"/>
          <w:szCs w:val="20"/>
        </w:rPr>
        <w:t xml:space="preserve">. </w:t>
      </w:r>
      <w:r w:rsidRPr="0070004A">
        <w:rPr>
          <w:rFonts w:eastAsiaTheme="minorHAnsi"/>
          <w:i/>
          <w:iCs/>
          <w:sz w:val="20"/>
          <w:szCs w:val="20"/>
        </w:rPr>
        <w:t xml:space="preserve"> Crying Out for Change</w:t>
      </w:r>
      <w:r w:rsidRPr="002A6BC0">
        <w:rPr>
          <w:rFonts w:eastAsiaTheme="minorHAnsi"/>
          <w:sz w:val="20"/>
          <w:szCs w:val="20"/>
        </w:rPr>
        <w:t>, Oxford: Oxford University Press (for the World Bank).</w:t>
      </w:r>
      <w:r w:rsidR="005028A4">
        <w:rPr>
          <w:rFonts w:eastAsiaTheme="minorHAns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25FF"/>
    <w:multiLevelType w:val="hybridMultilevel"/>
    <w:tmpl w:val="C4B61B3C"/>
    <w:lvl w:ilvl="0" w:tplc="0413000F">
      <w:start w:val="1"/>
      <w:numFmt w:val="decimal"/>
      <w:lvlText w:val="%1."/>
      <w:lvlJc w:val="left"/>
      <w:pPr>
        <w:ind w:left="720" w:hanging="360"/>
      </w:pPr>
    </w:lvl>
    <w:lvl w:ilvl="1" w:tplc="17B26BA0">
      <w:start w:val="1"/>
      <w:numFmt w:val="lowerLetter"/>
      <w:lvlText w:val="%2."/>
      <w:lvlJc w:val="left"/>
      <w:pPr>
        <w:ind w:left="1440" w:hanging="360"/>
      </w:pPr>
      <w:rPr>
        <w:b w:val="0"/>
      </w:rPr>
    </w:lvl>
    <w:lvl w:ilvl="2" w:tplc="AD922A46">
      <w:start w:val="1"/>
      <w:numFmt w:val="lowerRoman"/>
      <w:lvlText w:val="%3."/>
      <w:lvlJc w:val="right"/>
      <w:pPr>
        <w:ind w:left="2160" w:hanging="180"/>
      </w:pPr>
      <w:rPr>
        <w:b w:val="0"/>
      </w:rPr>
    </w:lvl>
    <w:lvl w:ilvl="3" w:tplc="35008E42">
      <w:start w:val="1"/>
      <w:numFmt w:val="decimal"/>
      <w:lvlText w:val="%4."/>
      <w:lvlJc w:val="left"/>
      <w:pPr>
        <w:ind w:left="2880" w:hanging="360"/>
      </w:pPr>
      <w:rPr>
        <w:b w:val="0"/>
      </w:r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3A"/>
    <w:rsid w:val="00001CD0"/>
    <w:rsid w:val="0001783B"/>
    <w:rsid w:val="00024529"/>
    <w:rsid w:val="000307FD"/>
    <w:rsid w:val="00041898"/>
    <w:rsid w:val="000460AC"/>
    <w:rsid w:val="000546DC"/>
    <w:rsid w:val="000775BC"/>
    <w:rsid w:val="00090CCD"/>
    <w:rsid w:val="000A457B"/>
    <w:rsid w:val="000A6C71"/>
    <w:rsid w:val="000B7B8D"/>
    <w:rsid w:val="000C7D36"/>
    <w:rsid w:val="000D50DE"/>
    <w:rsid w:val="000D5138"/>
    <w:rsid w:val="00107E43"/>
    <w:rsid w:val="0011068F"/>
    <w:rsid w:val="0011392D"/>
    <w:rsid w:val="00127EB6"/>
    <w:rsid w:val="00132924"/>
    <w:rsid w:val="00137DDB"/>
    <w:rsid w:val="00152999"/>
    <w:rsid w:val="001559BE"/>
    <w:rsid w:val="00171792"/>
    <w:rsid w:val="00187975"/>
    <w:rsid w:val="00193E10"/>
    <w:rsid w:val="001A3926"/>
    <w:rsid w:val="001C1EF8"/>
    <w:rsid w:val="001D31D7"/>
    <w:rsid w:val="001D540F"/>
    <w:rsid w:val="001D6F08"/>
    <w:rsid w:val="001E3A18"/>
    <w:rsid w:val="001E672D"/>
    <w:rsid w:val="00200C07"/>
    <w:rsid w:val="002138B9"/>
    <w:rsid w:val="00230564"/>
    <w:rsid w:val="002360B1"/>
    <w:rsid w:val="002361CE"/>
    <w:rsid w:val="00251193"/>
    <w:rsid w:val="00262F6C"/>
    <w:rsid w:val="00272E72"/>
    <w:rsid w:val="00273ABD"/>
    <w:rsid w:val="002933C0"/>
    <w:rsid w:val="002A6BC0"/>
    <w:rsid w:val="002B3F72"/>
    <w:rsid w:val="002C2F07"/>
    <w:rsid w:val="002D374C"/>
    <w:rsid w:val="002E33EC"/>
    <w:rsid w:val="002F0231"/>
    <w:rsid w:val="002F7F9B"/>
    <w:rsid w:val="00300BFB"/>
    <w:rsid w:val="00310D90"/>
    <w:rsid w:val="0032617E"/>
    <w:rsid w:val="00343B15"/>
    <w:rsid w:val="0034620E"/>
    <w:rsid w:val="00347013"/>
    <w:rsid w:val="0035081E"/>
    <w:rsid w:val="00352B7B"/>
    <w:rsid w:val="0035375F"/>
    <w:rsid w:val="003541FC"/>
    <w:rsid w:val="0036751B"/>
    <w:rsid w:val="00391398"/>
    <w:rsid w:val="003B014D"/>
    <w:rsid w:val="003B4E18"/>
    <w:rsid w:val="003C1508"/>
    <w:rsid w:val="003C2C97"/>
    <w:rsid w:val="003E5C0E"/>
    <w:rsid w:val="003F0B52"/>
    <w:rsid w:val="003F1D6D"/>
    <w:rsid w:val="003F465D"/>
    <w:rsid w:val="003F7F48"/>
    <w:rsid w:val="00400DA9"/>
    <w:rsid w:val="0041145E"/>
    <w:rsid w:val="004145E4"/>
    <w:rsid w:val="00424DB7"/>
    <w:rsid w:val="00426DD7"/>
    <w:rsid w:val="0044399C"/>
    <w:rsid w:val="004440C1"/>
    <w:rsid w:val="004570CE"/>
    <w:rsid w:val="00462703"/>
    <w:rsid w:val="004660F9"/>
    <w:rsid w:val="00480B55"/>
    <w:rsid w:val="004812CD"/>
    <w:rsid w:val="00482C43"/>
    <w:rsid w:val="00484AAF"/>
    <w:rsid w:val="0049400E"/>
    <w:rsid w:val="004A23FC"/>
    <w:rsid w:val="004A667C"/>
    <w:rsid w:val="004B3803"/>
    <w:rsid w:val="004B6A73"/>
    <w:rsid w:val="004B6DF4"/>
    <w:rsid w:val="004C3FE7"/>
    <w:rsid w:val="004C6009"/>
    <w:rsid w:val="004D6087"/>
    <w:rsid w:val="004E1610"/>
    <w:rsid w:val="004E1E58"/>
    <w:rsid w:val="004F0822"/>
    <w:rsid w:val="004F2196"/>
    <w:rsid w:val="005028A4"/>
    <w:rsid w:val="00513C3A"/>
    <w:rsid w:val="00515CC9"/>
    <w:rsid w:val="00520A82"/>
    <w:rsid w:val="005214E4"/>
    <w:rsid w:val="005301A3"/>
    <w:rsid w:val="00537628"/>
    <w:rsid w:val="00537BCC"/>
    <w:rsid w:val="00544135"/>
    <w:rsid w:val="00557D96"/>
    <w:rsid w:val="00565F63"/>
    <w:rsid w:val="00567803"/>
    <w:rsid w:val="0057424C"/>
    <w:rsid w:val="00582D07"/>
    <w:rsid w:val="00583456"/>
    <w:rsid w:val="00585221"/>
    <w:rsid w:val="0059651E"/>
    <w:rsid w:val="0059799C"/>
    <w:rsid w:val="005D493A"/>
    <w:rsid w:val="005E1A5C"/>
    <w:rsid w:val="005E3613"/>
    <w:rsid w:val="005E71DC"/>
    <w:rsid w:val="0060073C"/>
    <w:rsid w:val="0061450A"/>
    <w:rsid w:val="006217BF"/>
    <w:rsid w:val="0062195C"/>
    <w:rsid w:val="00644E8C"/>
    <w:rsid w:val="00650EAD"/>
    <w:rsid w:val="006605D6"/>
    <w:rsid w:val="00661390"/>
    <w:rsid w:val="00670891"/>
    <w:rsid w:val="0067116E"/>
    <w:rsid w:val="006730CD"/>
    <w:rsid w:val="0068396B"/>
    <w:rsid w:val="0068404E"/>
    <w:rsid w:val="00691DC2"/>
    <w:rsid w:val="006968A5"/>
    <w:rsid w:val="00696BED"/>
    <w:rsid w:val="006A15BF"/>
    <w:rsid w:val="006D128A"/>
    <w:rsid w:val="0070004A"/>
    <w:rsid w:val="00700A14"/>
    <w:rsid w:val="00715D5C"/>
    <w:rsid w:val="00717394"/>
    <w:rsid w:val="007357C2"/>
    <w:rsid w:val="00762383"/>
    <w:rsid w:val="00781C72"/>
    <w:rsid w:val="007831D5"/>
    <w:rsid w:val="00791A82"/>
    <w:rsid w:val="00792F78"/>
    <w:rsid w:val="00794DA9"/>
    <w:rsid w:val="00797334"/>
    <w:rsid w:val="007A30B1"/>
    <w:rsid w:val="007A3BEC"/>
    <w:rsid w:val="007A3E39"/>
    <w:rsid w:val="007A5678"/>
    <w:rsid w:val="007A64BD"/>
    <w:rsid w:val="007B1B17"/>
    <w:rsid w:val="007B4F1E"/>
    <w:rsid w:val="007B5C80"/>
    <w:rsid w:val="007B5E44"/>
    <w:rsid w:val="007B691D"/>
    <w:rsid w:val="007B7F0C"/>
    <w:rsid w:val="007C41C9"/>
    <w:rsid w:val="007C75D9"/>
    <w:rsid w:val="007D08B6"/>
    <w:rsid w:val="007D6F99"/>
    <w:rsid w:val="007F0F66"/>
    <w:rsid w:val="007F5E73"/>
    <w:rsid w:val="007F6404"/>
    <w:rsid w:val="00807758"/>
    <w:rsid w:val="00811E08"/>
    <w:rsid w:val="008135B1"/>
    <w:rsid w:val="008272C8"/>
    <w:rsid w:val="0083447C"/>
    <w:rsid w:val="00834E01"/>
    <w:rsid w:val="008354DC"/>
    <w:rsid w:val="008410E3"/>
    <w:rsid w:val="0084338E"/>
    <w:rsid w:val="008468EC"/>
    <w:rsid w:val="00850622"/>
    <w:rsid w:val="00855343"/>
    <w:rsid w:val="008A6221"/>
    <w:rsid w:val="008D468E"/>
    <w:rsid w:val="0091299D"/>
    <w:rsid w:val="0091366C"/>
    <w:rsid w:val="009165FA"/>
    <w:rsid w:val="00917E80"/>
    <w:rsid w:val="00923979"/>
    <w:rsid w:val="009313ED"/>
    <w:rsid w:val="00934C0D"/>
    <w:rsid w:val="00954B19"/>
    <w:rsid w:val="00957894"/>
    <w:rsid w:val="009607AB"/>
    <w:rsid w:val="00963C00"/>
    <w:rsid w:val="00966D62"/>
    <w:rsid w:val="009849BB"/>
    <w:rsid w:val="009926A4"/>
    <w:rsid w:val="0099604E"/>
    <w:rsid w:val="009A3F94"/>
    <w:rsid w:val="009A45BB"/>
    <w:rsid w:val="009C7A15"/>
    <w:rsid w:val="009D570A"/>
    <w:rsid w:val="009E5431"/>
    <w:rsid w:val="009F3A8E"/>
    <w:rsid w:val="00A00803"/>
    <w:rsid w:val="00A01C23"/>
    <w:rsid w:val="00A027C3"/>
    <w:rsid w:val="00A07BBB"/>
    <w:rsid w:val="00A32A5F"/>
    <w:rsid w:val="00A343E7"/>
    <w:rsid w:val="00A45686"/>
    <w:rsid w:val="00A50363"/>
    <w:rsid w:val="00A539CB"/>
    <w:rsid w:val="00A543CB"/>
    <w:rsid w:val="00A6454F"/>
    <w:rsid w:val="00A6738E"/>
    <w:rsid w:val="00A71B1D"/>
    <w:rsid w:val="00A73385"/>
    <w:rsid w:val="00A77B1C"/>
    <w:rsid w:val="00A85804"/>
    <w:rsid w:val="00A86F9D"/>
    <w:rsid w:val="00AA4AB1"/>
    <w:rsid w:val="00AA72B8"/>
    <w:rsid w:val="00AB5468"/>
    <w:rsid w:val="00AC4133"/>
    <w:rsid w:val="00AD6827"/>
    <w:rsid w:val="00AE6385"/>
    <w:rsid w:val="00AF0068"/>
    <w:rsid w:val="00AF2F61"/>
    <w:rsid w:val="00AF354E"/>
    <w:rsid w:val="00AF76AC"/>
    <w:rsid w:val="00B00634"/>
    <w:rsid w:val="00B013CF"/>
    <w:rsid w:val="00B11868"/>
    <w:rsid w:val="00B135F4"/>
    <w:rsid w:val="00B15C50"/>
    <w:rsid w:val="00B40FA6"/>
    <w:rsid w:val="00B47B87"/>
    <w:rsid w:val="00B51F40"/>
    <w:rsid w:val="00B62289"/>
    <w:rsid w:val="00B64D7A"/>
    <w:rsid w:val="00B67E0C"/>
    <w:rsid w:val="00B7746A"/>
    <w:rsid w:val="00B93F94"/>
    <w:rsid w:val="00B9483B"/>
    <w:rsid w:val="00B970D8"/>
    <w:rsid w:val="00BA192B"/>
    <w:rsid w:val="00BA5DEF"/>
    <w:rsid w:val="00BA6ECE"/>
    <w:rsid w:val="00BD29B8"/>
    <w:rsid w:val="00BF35EA"/>
    <w:rsid w:val="00BF56C4"/>
    <w:rsid w:val="00C0407A"/>
    <w:rsid w:val="00C04E15"/>
    <w:rsid w:val="00C11E0A"/>
    <w:rsid w:val="00C1255C"/>
    <w:rsid w:val="00C228E4"/>
    <w:rsid w:val="00C24591"/>
    <w:rsid w:val="00C252AF"/>
    <w:rsid w:val="00C268F2"/>
    <w:rsid w:val="00C42851"/>
    <w:rsid w:val="00C44247"/>
    <w:rsid w:val="00C52BCA"/>
    <w:rsid w:val="00C54B65"/>
    <w:rsid w:val="00C616F5"/>
    <w:rsid w:val="00C62B29"/>
    <w:rsid w:val="00C62BCB"/>
    <w:rsid w:val="00C65FD8"/>
    <w:rsid w:val="00C67BCB"/>
    <w:rsid w:val="00C830A6"/>
    <w:rsid w:val="00C83467"/>
    <w:rsid w:val="00C96D32"/>
    <w:rsid w:val="00CA3049"/>
    <w:rsid w:val="00CE15DE"/>
    <w:rsid w:val="00CE4B37"/>
    <w:rsid w:val="00D12888"/>
    <w:rsid w:val="00D15ECD"/>
    <w:rsid w:val="00D2178F"/>
    <w:rsid w:val="00D237B8"/>
    <w:rsid w:val="00D273DF"/>
    <w:rsid w:val="00D37C49"/>
    <w:rsid w:val="00D66C44"/>
    <w:rsid w:val="00D7051E"/>
    <w:rsid w:val="00D904FD"/>
    <w:rsid w:val="00DA30BD"/>
    <w:rsid w:val="00DA5968"/>
    <w:rsid w:val="00DB7577"/>
    <w:rsid w:val="00DC45DC"/>
    <w:rsid w:val="00DC794B"/>
    <w:rsid w:val="00DD4DD2"/>
    <w:rsid w:val="00DD67B0"/>
    <w:rsid w:val="00DE066F"/>
    <w:rsid w:val="00DE2564"/>
    <w:rsid w:val="00DE6322"/>
    <w:rsid w:val="00DF2D21"/>
    <w:rsid w:val="00DF575F"/>
    <w:rsid w:val="00E02BD5"/>
    <w:rsid w:val="00E20EA0"/>
    <w:rsid w:val="00E304C6"/>
    <w:rsid w:val="00E44DE4"/>
    <w:rsid w:val="00E510B6"/>
    <w:rsid w:val="00E520F9"/>
    <w:rsid w:val="00E6642C"/>
    <w:rsid w:val="00E706C0"/>
    <w:rsid w:val="00E70BF6"/>
    <w:rsid w:val="00E76596"/>
    <w:rsid w:val="00E92085"/>
    <w:rsid w:val="00EA0144"/>
    <w:rsid w:val="00EA74A3"/>
    <w:rsid w:val="00EC7477"/>
    <w:rsid w:val="00ED6646"/>
    <w:rsid w:val="00ED6DD9"/>
    <w:rsid w:val="00EF39D4"/>
    <w:rsid w:val="00F10AC6"/>
    <w:rsid w:val="00F1651D"/>
    <w:rsid w:val="00F26664"/>
    <w:rsid w:val="00F35C91"/>
    <w:rsid w:val="00F41A08"/>
    <w:rsid w:val="00F700B8"/>
    <w:rsid w:val="00F854A9"/>
    <w:rsid w:val="00F8614B"/>
    <w:rsid w:val="00F92926"/>
    <w:rsid w:val="00F9748D"/>
    <w:rsid w:val="00FA1A88"/>
    <w:rsid w:val="00FA720D"/>
    <w:rsid w:val="00FB0382"/>
    <w:rsid w:val="00FB39DD"/>
    <w:rsid w:val="00FD3217"/>
    <w:rsid w:val="00FE6B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C3A"/>
    <w:pPr>
      <w:spacing w:after="0" w:line="240" w:lineRule="auto"/>
    </w:pPr>
    <w:rPr>
      <w:rFonts w:ascii="Times New Roman" w:eastAsiaTheme="minorEastAsia" w:hAnsi="Times New Roman" w:cs="Times New Roman"/>
      <w:sz w:val="24"/>
      <w:szCs w:val="24"/>
      <w:lang w:val="en-US"/>
    </w:rPr>
  </w:style>
  <w:style w:type="paragraph" w:styleId="Kop2">
    <w:name w:val="heading 2"/>
    <w:basedOn w:val="Standaard"/>
    <w:link w:val="Kop2Char"/>
    <w:uiPriority w:val="9"/>
    <w:qFormat/>
    <w:rsid w:val="00A71B1D"/>
    <w:pPr>
      <w:spacing w:before="100" w:beforeAutospacing="1" w:after="100" w:afterAutospacing="1"/>
      <w:outlineLvl w:val="1"/>
    </w:pPr>
    <w:rPr>
      <w:rFonts w:eastAsia="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4_G"/>
    <w:rsid w:val="00513C3A"/>
    <w:rPr>
      <w:vertAlign w:val="superscript"/>
    </w:rPr>
  </w:style>
  <w:style w:type="paragraph" w:styleId="Voetnoottekst">
    <w:name w:val="footnote text"/>
    <w:basedOn w:val="Standaard"/>
    <w:link w:val="VoetnoottekstChar"/>
    <w:uiPriority w:val="99"/>
    <w:rsid w:val="00513C3A"/>
    <w:pPr>
      <w:widowControl w:val="0"/>
      <w:suppressAutoHyphens/>
      <w:spacing w:after="200" w:line="276" w:lineRule="auto"/>
    </w:pPr>
    <w:rPr>
      <w:rFonts w:ascii="Calibri" w:eastAsia="Calibri" w:hAnsi="Calibri"/>
      <w:sz w:val="20"/>
      <w:szCs w:val="20"/>
      <w:lang w:eastAsia="ar-SA"/>
    </w:rPr>
  </w:style>
  <w:style w:type="character" w:customStyle="1" w:styleId="VoetnoottekstChar">
    <w:name w:val="Voetnoottekst Char"/>
    <w:basedOn w:val="Standaardalinea-lettertype"/>
    <w:link w:val="Voetnoottekst"/>
    <w:uiPriority w:val="99"/>
    <w:rsid w:val="00513C3A"/>
    <w:rPr>
      <w:rFonts w:ascii="Calibri" w:eastAsia="Calibri" w:hAnsi="Calibri" w:cs="Times New Roman"/>
      <w:sz w:val="20"/>
      <w:szCs w:val="20"/>
      <w:lang w:val="en-US" w:eastAsia="ar-SA"/>
    </w:rPr>
  </w:style>
  <w:style w:type="character" w:styleId="Hyperlink">
    <w:name w:val="Hyperlink"/>
    <w:uiPriority w:val="99"/>
    <w:rsid w:val="00513C3A"/>
    <w:rPr>
      <w:rFonts w:ascii="Times New Roman" w:hAnsi="Times New Roman" w:cs="Times New Roman"/>
      <w:color w:val="0000FF"/>
      <w:u w:val="single"/>
    </w:rPr>
  </w:style>
  <w:style w:type="character" w:styleId="Verwijzingopmerking">
    <w:name w:val="annotation reference"/>
    <w:basedOn w:val="Standaardalinea-lettertype"/>
    <w:uiPriority w:val="99"/>
    <w:semiHidden/>
    <w:unhideWhenUsed/>
    <w:rsid w:val="00513C3A"/>
    <w:rPr>
      <w:sz w:val="16"/>
      <w:szCs w:val="16"/>
    </w:rPr>
  </w:style>
  <w:style w:type="paragraph" w:styleId="Tekstopmerking">
    <w:name w:val="annotation text"/>
    <w:basedOn w:val="Standaard"/>
    <w:link w:val="TekstopmerkingChar"/>
    <w:uiPriority w:val="99"/>
    <w:unhideWhenUsed/>
    <w:rsid w:val="00513C3A"/>
    <w:rPr>
      <w:sz w:val="20"/>
      <w:szCs w:val="20"/>
    </w:rPr>
  </w:style>
  <w:style w:type="character" w:customStyle="1" w:styleId="TekstopmerkingChar">
    <w:name w:val="Tekst opmerking Char"/>
    <w:basedOn w:val="Standaardalinea-lettertype"/>
    <w:link w:val="Tekstopmerking"/>
    <w:uiPriority w:val="99"/>
    <w:rsid w:val="00513C3A"/>
    <w:rPr>
      <w:rFonts w:ascii="Times New Roman" w:eastAsiaTheme="minorEastAsia" w:hAnsi="Times New Roman" w:cs="Times New Roman"/>
      <w:sz w:val="20"/>
      <w:szCs w:val="20"/>
      <w:lang w:val="en-US"/>
    </w:rPr>
  </w:style>
  <w:style w:type="paragraph" w:customStyle="1" w:styleId="extla">
    <w:name w:val="extla"/>
    <w:basedOn w:val="Standaard"/>
    <w:rsid w:val="00513C3A"/>
    <w:pPr>
      <w:suppressAutoHyphens/>
      <w:spacing w:before="120" w:line="360" w:lineRule="auto"/>
      <w:ind w:left="1134"/>
      <w:jc w:val="both"/>
    </w:pPr>
    <w:rPr>
      <w:rFonts w:eastAsia="Times New Roman"/>
      <w:sz w:val="26"/>
      <w:szCs w:val="20"/>
      <w:lang w:val="en-GB" w:eastAsia="en-GB"/>
    </w:rPr>
  </w:style>
  <w:style w:type="paragraph" w:customStyle="1" w:styleId="ex1s">
    <w:name w:val="ex1s"/>
    <w:basedOn w:val="extla"/>
    <w:rsid w:val="00513C3A"/>
    <w:pPr>
      <w:spacing w:before="0" w:after="100"/>
      <w:jc w:val="right"/>
    </w:pPr>
  </w:style>
  <w:style w:type="paragraph" w:customStyle="1" w:styleId="exl1l">
    <w:name w:val="exl1l"/>
    <w:basedOn w:val="Standaard"/>
    <w:rsid w:val="00513C3A"/>
    <w:pPr>
      <w:suppressAutoHyphens/>
      <w:spacing w:before="120" w:line="360" w:lineRule="auto"/>
      <w:ind w:left="1701" w:hanging="567"/>
      <w:jc w:val="both"/>
    </w:pPr>
    <w:rPr>
      <w:rFonts w:eastAsia="Times New Roman"/>
      <w:sz w:val="26"/>
      <w:szCs w:val="20"/>
      <w:lang w:val="en-GB" w:eastAsia="en-GB"/>
    </w:rPr>
  </w:style>
  <w:style w:type="character" w:customStyle="1" w:styleId="wsNote">
    <w:name w:val="wsNote"/>
    <w:rsid w:val="00513C3A"/>
    <w:rPr>
      <w:vertAlign w:val="superscript"/>
    </w:rPr>
  </w:style>
  <w:style w:type="paragraph" w:styleId="Ballontekst">
    <w:name w:val="Balloon Text"/>
    <w:basedOn w:val="Standaard"/>
    <w:link w:val="BallontekstChar"/>
    <w:uiPriority w:val="99"/>
    <w:semiHidden/>
    <w:unhideWhenUsed/>
    <w:rsid w:val="00513C3A"/>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C3A"/>
    <w:rPr>
      <w:rFonts w:ascii="Tahoma" w:eastAsiaTheme="minorEastAsia" w:hAnsi="Tahoma" w:cs="Tahoma"/>
      <w:sz w:val="16"/>
      <w:szCs w:val="16"/>
      <w:lang w:val="en-US"/>
    </w:rPr>
  </w:style>
  <w:style w:type="paragraph" w:customStyle="1" w:styleId="biblio">
    <w:name w:val="biblio"/>
    <w:basedOn w:val="Standaard"/>
    <w:rsid w:val="00AF0068"/>
    <w:pPr>
      <w:suppressAutoHyphens/>
      <w:spacing w:line="360" w:lineRule="auto"/>
      <w:ind w:left="567" w:hanging="567"/>
      <w:jc w:val="both"/>
    </w:pPr>
    <w:rPr>
      <w:rFonts w:eastAsia="Times New Roman"/>
      <w:szCs w:val="20"/>
      <w:lang w:val="en-GB" w:eastAsia="en-GB"/>
    </w:rPr>
  </w:style>
  <w:style w:type="paragraph" w:styleId="Lijstalinea">
    <w:name w:val="List Paragraph"/>
    <w:basedOn w:val="Standaard"/>
    <w:uiPriority w:val="34"/>
    <w:qFormat/>
    <w:rsid w:val="003C1508"/>
    <w:pPr>
      <w:spacing w:after="200" w:line="276" w:lineRule="auto"/>
      <w:ind w:left="720"/>
      <w:contextualSpacing/>
    </w:pPr>
    <w:rPr>
      <w:rFonts w:asciiTheme="minorHAnsi" w:eastAsiaTheme="minorHAnsi" w:hAnsiTheme="minorHAnsi" w:cstheme="minorBidi"/>
      <w:sz w:val="22"/>
      <w:szCs w:val="22"/>
      <w:lang w:val="nl-NL"/>
    </w:rPr>
  </w:style>
  <w:style w:type="paragraph" w:customStyle="1" w:styleId="textnormal">
    <w:name w:val="textnormal"/>
    <w:basedOn w:val="Standaard"/>
    <w:uiPriority w:val="99"/>
    <w:rsid w:val="002E33EC"/>
    <w:pPr>
      <w:widowControl w:val="0"/>
      <w:suppressAutoHyphens/>
      <w:spacing w:line="360" w:lineRule="auto"/>
      <w:jc w:val="both"/>
    </w:pPr>
    <w:rPr>
      <w:rFonts w:eastAsia="Times New Roman" w:cs="Calibri"/>
      <w:sz w:val="20"/>
      <w:szCs w:val="20"/>
      <w:lang w:eastAsia="ar-SA"/>
    </w:rPr>
  </w:style>
  <w:style w:type="paragraph" w:customStyle="1" w:styleId="s32b251d">
    <w:name w:val="s32b251d"/>
    <w:basedOn w:val="Standaard"/>
    <w:uiPriority w:val="99"/>
    <w:rsid w:val="00C52BCA"/>
    <w:pPr>
      <w:spacing w:before="100" w:beforeAutospacing="1" w:after="100" w:afterAutospacing="1"/>
    </w:pPr>
    <w:rPr>
      <w:rFonts w:eastAsia="Times New Roman"/>
      <w:lang w:val="nl-NL" w:eastAsia="nl-NL"/>
    </w:rPr>
  </w:style>
  <w:style w:type="character" w:customStyle="1" w:styleId="s7d2086b4">
    <w:name w:val="s7d2086b4"/>
    <w:uiPriority w:val="99"/>
    <w:rsid w:val="00C52BCA"/>
  </w:style>
  <w:style w:type="character" w:customStyle="1" w:styleId="s6b621b36">
    <w:name w:val="s6b621b36"/>
    <w:uiPriority w:val="99"/>
    <w:rsid w:val="00C52BCA"/>
  </w:style>
  <w:style w:type="character" w:customStyle="1" w:styleId="sb8d990e2">
    <w:name w:val="sb8d990e2"/>
    <w:uiPriority w:val="99"/>
    <w:rsid w:val="00C52BCA"/>
  </w:style>
  <w:style w:type="paragraph" w:styleId="Onderwerpvanopmerking">
    <w:name w:val="annotation subject"/>
    <w:basedOn w:val="Tekstopmerking"/>
    <w:next w:val="Tekstopmerking"/>
    <w:link w:val="OnderwerpvanopmerkingChar"/>
    <w:uiPriority w:val="99"/>
    <w:semiHidden/>
    <w:unhideWhenUsed/>
    <w:rsid w:val="00EC7477"/>
    <w:rPr>
      <w:b/>
      <w:bCs/>
    </w:rPr>
  </w:style>
  <w:style w:type="character" w:customStyle="1" w:styleId="OnderwerpvanopmerkingChar">
    <w:name w:val="Onderwerp van opmerking Char"/>
    <w:basedOn w:val="TekstopmerkingChar"/>
    <w:link w:val="Onderwerpvanopmerking"/>
    <w:uiPriority w:val="99"/>
    <w:semiHidden/>
    <w:rsid w:val="00EC7477"/>
    <w:rPr>
      <w:rFonts w:ascii="Times New Roman" w:eastAsiaTheme="minorEastAsia" w:hAnsi="Times New Roman" w:cs="Times New Roman"/>
      <w:b/>
      <w:bCs/>
      <w:sz w:val="20"/>
      <w:szCs w:val="20"/>
      <w:lang w:val="en-US"/>
    </w:rPr>
  </w:style>
  <w:style w:type="character" w:customStyle="1" w:styleId="hbodytext1">
    <w:name w:val="h_body_text1"/>
    <w:basedOn w:val="Standaardalinea-lettertype"/>
    <w:rsid w:val="00132924"/>
    <w:rPr>
      <w:rFonts w:ascii="Tahoma" w:hAnsi="Tahoma" w:cs="Tahoma" w:hint="default"/>
      <w:b w:val="0"/>
      <w:bCs w:val="0"/>
      <w:smallCaps w:val="0"/>
      <w:strike w:val="0"/>
      <w:dstrike w:val="0"/>
      <w:color w:val="000000"/>
      <w:sz w:val="18"/>
      <w:szCs w:val="18"/>
      <w:u w:val="none"/>
      <w:effect w:val="none"/>
    </w:rPr>
  </w:style>
  <w:style w:type="paragraph" w:styleId="Koptekst">
    <w:name w:val="header"/>
    <w:basedOn w:val="Standaard"/>
    <w:link w:val="KoptekstChar"/>
    <w:uiPriority w:val="99"/>
    <w:unhideWhenUsed/>
    <w:rsid w:val="00024529"/>
    <w:pPr>
      <w:tabs>
        <w:tab w:val="center" w:pos="4320"/>
        <w:tab w:val="right" w:pos="8640"/>
      </w:tabs>
    </w:pPr>
  </w:style>
  <w:style w:type="character" w:customStyle="1" w:styleId="KoptekstChar">
    <w:name w:val="Koptekst Char"/>
    <w:basedOn w:val="Standaardalinea-lettertype"/>
    <w:link w:val="Koptekst"/>
    <w:uiPriority w:val="99"/>
    <w:rsid w:val="00024529"/>
    <w:rPr>
      <w:rFonts w:ascii="Times New Roman" w:eastAsiaTheme="minorEastAsia" w:hAnsi="Times New Roman" w:cs="Times New Roman"/>
      <w:sz w:val="24"/>
      <w:szCs w:val="24"/>
      <w:lang w:val="en-US"/>
    </w:rPr>
  </w:style>
  <w:style w:type="paragraph" w:styleId="Voettekst">
    <w:name w:val="footer"/>
    <w:basedOn w:val="Standaard"/>
    <w:link w:val="VoettekstChar"/>
    <w:uiPriority w:val="99"/>
    <w:unhideWhenUsed/>
    <w:rsid w:val="00024529"/>
    <w:pPr>
      <w:tabs>
        <w:tab w:val="center" w:pos="4320"/>
        <w:tab w:val="right" w:pos="8640"/>
      </w:tabs>
    </w:pPr>
  </w:style>
  <w:style w:type="character" w:customStyle="1" w:styleId="VoettekstChar">
    <w:name w:val="Voettekst Char"/>
    <w:basedOn w:val="Standaardalinea-lettertype"/>
    <w:link w:val="Voettekst"/>
    <w:uiPriority w:val="99"/>
    <w:rsid w:val="00024529"/>
    <w:rPr>
      <w:rFonts w:ascii="Times New Roman" w:eastAsiaTheme="minorEastAsia" w:hAnsi="Times New Roman" w:cs="Times New Roman"/>
      <w:sz w:val="24"/>
      <w:szCs w:val="24"/>
      <w:lang w:val="en-US"/>
    </w:rPr>
  </w:style>
  <w:style w:type="character" w:styleId="GevolgdeHyperlink">
    <w:name w:val="FollowedHyperlink"/>
    <w:basedOn w:val="Standaardalinea-lettertype"/>
    <w:uiPriority w:val="99"/>
    <w:semiHidden/>
    <w:unhideWhenUsed/>
    <w:rsid w:val="00791A82"/>
    <w:rPr>
      <w:color w:val="800080" w:themeColor="followedHyperlink"/>
      <w:u w:val="single"/>
    </w:rPr>
  </w:style>
  <w:style w:type="character" w:customStyle="1" w:styleId="Kop2Char">
    <w:name w:val="Kop 2 Char"/>
    <w:basedOn w:val="Standaardalinea-lettertype"/>
    <w:link w:val="Kop2"/>
    <w:uiPriority w:val="9"/>
    <w:rsid w:val="00A71B1D"/>
    <w:rPr>
      <w:rFonts w:ascii="Times New Roman" w:eastAsia="Times New Roman" w:hAnsi="Times New Roman" w:cs="Times New Roman"/>
      <w:b/>
      <w:bCs/>
      <w:sz w:val="36"/>
      <w:szCs w:val="36"/>
      <w:lang w:eastAsia="nl-NL"/>
    </w:rPr>
  </w:style>
  <w:style w:type="paragraph" w:customStyle="1" w:styleId="articledetails">
    <w:name w:val="articledetails"/>
    <w:basedOn w:val="Standaard"/>
    <w:rsid w:val="00A71B1D"/>
    <w:pPr>
      <w:spacing w:before="100" w:beforeAutospacing="1" w:after="100" w:afterAutospacing="1"/>
    </w:pPr>
    <w:rPr>
      <w:rFonts w:eastAsia="Times New Roman"/>
      <w:lang w:val="nl-NL" w:eastAsia="nl-NL"/>
    </w:rPr>
  </w:style>
  <w:style w:type="paragraph" w:styleId="Normaalweb">
    <w:name w:val="Normal (Web)"/>
    <w:basedOn w:val="Standaard"/>
    <w:rsid w:val="00794DA9"/>
    <w:pPr>
      <w:spacing w:before="100" w:beforeAutospacing="1" w:after="100" w:afterAutospacing="1"/>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C3A"/>
    <w:pPr>
      <w:spacing w:after="0" w:line="240" w:lineRule="auto"/>
    </w:pPr>
    <w:rPr>
      <w:rFonts w:ascii="Times New Roman" w:eastAsiaTheme="minorEastAsia" w:hAnsi="Times New Roman" w:cs="Times New Roman"/>
      <w:sz w:val="24"/>
      <w:szCs w:val="24"/>
      <w:lang w:val="en-US"/>
    </w:rPr>
  </w:style>
  <w:style w:type="paragraph" w:styleId="Kop2">
    <w:name w:val="heading 2"/>
    <w:basedOn w:val="Standaard"/>
    <w:link w:val="Kop2Char"/>
    <w:uiPriority w:val="9"/>
    <w:qFormat/>
    <w:rsid w:val="00A71B1D"/>
    <w:pPr>
      <w:spacing w:before="100" w:beforeAutospacing="1" w:after="100" w:afterAutospacing="1"/>
      <w:outlineLvl w:val="1"/>
    </w:pPr>
    <w:rPr>
      <w:rFonts w:eastAsia="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4_G"/>
    <w:rsid w:val="00513C3A"/>
    <w:rPr>
      <w:vertAlign w:val="superscript"/>
    </w:rPr>
  </w:style>
  <w:style w:type="paragraph" w:styleId="Voetnoottekst">
    <w:name w:val="footnote text"/>
    <w:basedOn w:val="Standaard"/>
    <w:link w:val="VoetnoottekstChar"/>
    <w:uiPriority w:val="99"/>
    <w:rsid w:val="00513C3A"/>
    <w:pPr>
      <w:widowControl w:val="0"/>
      <w:suppressAutoHyphens/>
      <w:spacing w:after="200" w:line="276" w:lineRule="auto"/>
    </w:pPr>
    <w:rPr>
      <w:rFonts w:ascii="Calibri" w:eastAsia="Calibri" w:hAnsi="Calibri"/>
      <w:sz w:val="20"/>
      <w:szCs w:val="20"/>
      <w:lang w:eastAsia="ar-SA"/>
    </w:rPr>
  </w:style>
  <w:style w:type="character" w:customStyle="1" w:styleId="VoetnoottekstChar">
    <w:name w:val="Voetnoottekst Char"/>
    <w:basedOn w:val="Standaardalinea-lettertype"/>
    <w:link w:val="Voetnoottekst"/>
    <w:uiPriority w:val="99"/>
    <w:rsid w:val="00513C3A"/>
    <w:rPr>
      <w:rFonts w:ascii="Calibri" w:eastAsia="Calibri" w:hAnsi="Calibri" w:cs="Times New Roman"/>
      <w:sz w:val="20"/>
      <w:szCs w:val="20"/>
      <w:lang w:val="en-US" w:eastAsia="ar-SA"/>
    </w:rPr>
  </w:style>
  <w:style w:type="character" w:styleId="Hyperlink">
    <w:name w:val="Hyperlink"/>
    <w:uiPriority w:val="99"/>
    <w:rsid w:val="00513C3A"/>
    <w:rPr>
      <w:rFonts w:ascii="Times New Roman" w:hAnsi="Times New Roman" w:cs="Times New Roman"/>
      <w:color w:val="0000FF"/>
      <w:u w:val="single"/>
    </w:rPr>
  </w:style>
  <w:style w:type="character" w:styleId="Verwijzingopmerking">
    <w:name w:val="annotation reference"/>
    <w:basedOn w:val="Standaardalinea-lettertype"/>
    <w:uiPriority w:val="99"/>
    <w:semiHidden/>
    <w:unhideWhenUsed/>
    <w:rsid w:val="00513C3A"/>
    <w:rPr>
      <w:sz w:val="16"/>
      <w:szCs w:val="16"/>
    </w:rPr>
  </w:style>
  <w:style w:type="paragraph" w:styleId="Tekstopmerking">
    <w:name w:val="annotation text"/>
    <w:basedOn w:val="Standaard"/>
    <w:link w:val="TekstopmerkingChar"/>
    <w:uiPriority w:val="99"/>
    <w:unhideWhenUsed/>
    <w:rsid w:val="00513C3A"/>
    <w:rPr>
      <w:sz w:val="20"/>
      <w:szCs w:val="20"/>
    </w:rPr>
  </w:style>
  <w:style w:type="character" w:customStyle="1" w:styleId="TekstopmerkingChar">
    <w:name w:val="Tekst opmerking Char"/>
    <w:basedOn w:val="Standaardalinea-lettertype"/>
    <w:link w:val="Tekstopmerking"/>
    <w:uiPriority w:val="99"/>
    <w:rsid w:val="00513C3A"/>
    <w:rPr>
      <w:rFonts w:ascii="Times New Roman" w:eastAsiaTheme="minorEastAsia" w:hAnsi="Times New Roman" w:cs="Times New Roman"/>
      <w:sz w:val="20"/>
      <w:szCs w:val="20"/>
      <w:lang w:val="en-US"/>
    </w:rPr>
  </w:style>
  <w:style w:type="paragraph" w:customStyle="1" w:styleId="extla">
    <w:name w:val="extla"/>
    <w:basedOn w:val="Standaard"/>
    <w:rsid w:val="00513C3A"/>
    <w:pPr>
      <w:suppressAutoHyphens/>
      <w:spacing w:before="120" w:line="360" w:lineRule="auto"/>
      <w:ind w:left="1134"/>
      <w:jc w:val="both"/>
    </w:pPr>
    <w:rPr>
      <w:rFonts w:eastAsia="Times New Roman"/>
      <w:sz w:val="26"/>
      <w:szCs w:val="20"/>
      <w:lang w:val="en-GB" w:eastAsia="en-GB"/>
    </w:rPr>
  </w:style>
  <w:style w:type="paragraph" w:customStyle="1" w:styleId="ex1s">
    <w:name w:val="ex1s"/>
    <w:basedOn w:val="extla"/>
    <w:rsid w:val="00513C3A"/>
    <w:pPr>
      <w:spacing w:before="0" w:after="100"/>
      <w:jc w:val="right"/>
    </w:pPr>
  </w:style>
  <w:style w:type="paragraph" w:customStyle="1" w:styleId="exl1l">
    <w:name w:val="exl1l"/>
    <w:basedOn w:val="Standaard"/>
    <w:rsid w:val="00513C3A"/>
    <w:pPr>
      <w:suppressAutoHyphens/>
      <w:spacing w:before="120" w:line="360" w:lineRule="auto"/>
      <w:ind w:left="1701" w:hanging="567"/>
      <w:jc w:val="both"/>
    </w:pPr>
    <w:rPr>
      <w:rFonts w:eastAsia="Times New Roman"/>
      <w:sz w:val="26"/>
      <w:szCs w:val="20"/>
      <w:lang w:val="en-GB" w:eastAsia="en-GB"/>
    </w:rPr>
  </w:style>
  <w:style w:type="character" w:customStyle="1" w:styleId="wsNote">
    <w:name w:val="wsNote"/>
    <w:rsid w:val="00513C3A"/>
    <w:rPr>
      <w:vertAlign w:val="superscript"/>
    </w:rPr>
  </w:style>
  <w:style w:type="paragraph" w:styleId="Ballontekst">
    <w:name w:val="Balloon Text"/>
    <w:basedOn w:val="Standaard"/>
    <w:link w:val="BallontekstChar"/>
    <w:uiPriority w:val="99"/>
    <w:semiHidden/>
    <w:unhideWhenUsed/>
    <w:rsid w:val="00513C3A"/>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C3A"/>
    <w:rPr>
      <w:rFonts w:ascii="Tahoma" w:eastAsiaTheme="minorEastAsia" w:hAnsi="Tahoma" w:cs="Tahoma"/>
      <w:sz w:val="16"/>
      <w:szCs w:val="16"/>
      <w:lang w:val="en-US"/>
    </w:rPr>
  </w:style>
  <w:style w:type="paragraph" w:customStyle="1" w:styleId="biblio">
    <w:name w:val="biblio"/>
    <w:basedOn w:val="Standaard"/>
    <w:rsid w:val="00AF0068"/>
    <w:pPr>
      <w:suppressAutoHyphens/>
      <w:spacing w:line="360" w:lineRule="auto"/>
      <w:ind w:left="567" w:hanging="567"/>
      <w:jc w:val="both"/>
    </w:pPr>
    <w:rPr>
      <w:rFonts w:eastAsia="Times New Roman"/>
      <w:szCs w:val="20"/>
      <w:lang w:val="en-GB" w:eastAsia="en-GB"/>
    </w:rPr>
  </w:style>
  <w:style w:type="paragraph" w:styleId="Lijstalinea">
    <w:name w:val="List Paragraph"/>
    <w:basedOn w:val="Standaard"/>
    <w:uiPriority w:val="34"/>
    <w:qFormat/>
    <w:rsid w:val="003C1508"/>
    <w:pPr>
      <w:spacing w:after="200" w:line="276" w:lineRule="auto"/>
      <w:ind w:left="720"/>
      <w:contextualSpacing/>
    </w:pPr>
    <w:rPr>
      <w:rFonts w:asciiTheme="minorHAnsi" w:eastAsiaTheme="minorHAnsi" w:hAnsiTheme="minorHAnsi" w:cstheme="minorBidi"/>
      <w:sz w:val="22"/>
      <w:szCs w:val="22"/>
      <w:lang w:val="nl-NL"/>
    </w:rPr>
  </w:style>
  <w:style w:type="paragraph" w:customStyle="1" w:styleId="textnormal">
    <w:name w:val="textnormal"/>
    <w:basedOn w:val="Standaard"/>
    <w:uiPriority w:val="99"/>
    <w:rsid w:val="002E33EC"/>
    <w:pPr>
      <w:widowControl w:val="0"/>
      <w:suppressAutoHyphens/>
      <w:spacing w:line="360" w:lineRule="auto"/>
      <w:jc w:val="both"/>
    </w:pPr>
    <w:rPr>
      <w:rFonts w:eastAsia="Times New Roman" w:cs="Calibri"/>
      <w:sz w:val="20"/>
      <w:szCs w:val="20"/>
      <w:lang w:eastAsia="ar-SA"/>
    </w:rPr>
  </w:style>
  <w:style w:type="paragraph" w:customStyle="1" w:styleId="s32b251d">
    <w:name w:val="s32b251d"/>
    <w:basedOn w:val="Standaard"/>
    <w:uiPriority w:val="99"/>
    <w:rsid w:val="00C52BCA"/>
    <w:pPr>
      <w:spacing w:before="100" w:beforeAutospacing="1" w:after="100" w:afterAutospacing="1"/>
    </w:pPr>
    <w:rPr>
      <w:rFonts w:eastAsia="Times New Roman"/>
      <w:lang w:val="nl-NL" w:eastAsia="nl-NL"/>
    </w:rPr>
  </w:style>
  <w:style w:type="character" w:customStyle="1" w:styleId="s7d2086b4">
    <w:name w:val="s7d2086b4"/>
    <w:uiPriority w:val="99"/>
    <w:rsid w:val="00C52BCA"/>
  </w:style>
  <w:style w:type="character" w:customStyle="1" w:styleId="s6b621b36">
    <w:name w:val="s6b621b36"/>
    <w:uiPriority w:val="99"/>
    <w:rsid w:val="00C52BCA"/>
  </w:style>
  <w:style w:type="character" w:customStyle="1" w:styleId="sb8d990e2">
    <w:name w:val="sb8d990e2"/>
    <w:uiPriority w:val="99"/>
    <w:rsid w:val="00C52BCA"/>
  </w:style>
  <w:style w:type="paragraph" w:styleId="Onderwerpvanopmerking">
    <w:name w:val="annotation subject"/>
    <w:basedOn w:val="Tekstopmerking"/>
    <w:next w:val="Tekstopmerking"/>
    <w:link w:val="OnderwerpvanopmerkingChar"/>
    <w:uiPriority w:val="99"/>
    <w:semiHidden/>
    <w:unhideWhenUsed/>
    <w:rsid w:val="00EC7477"/>
    <w:rPr>
      <w:b/>
      <w:bCs/>
    </w:rPr>
  </w:style>
  <w:style w:type="character" w:customStyle="1" w:styleId="OnderwerpvanopmerkingChar">
    <w:name w:val="Onderwerp van opmerking Char"/>
    <w:basedOn w:val="TekstopmerkingChar"/>
    <w:link w:val="Onderwerpvanopmerking"/>
    <w:uiPriority w:val="99"/>
    <w:semiHidden/>
    <w:rsid w:val="00EC7477"/>
    <w:rPr>
      <w:rFonts w:ascii="Times New Roman" w:eastAsiaTheme="minorEastAsia" w:hAnsi="Times New Roman" w:cs="Times New Roman"/>
      <w:b/>
      <w:bCs/>
      <w:sz w:val="20"/>
      <w:szCs w:val="20"/>
      <w:lang w:val="en-US"/>
    </w:rPr>
  </w:style>
  <w:style w:type="character" w:customStyle="1" w:styleId="hbodytext1">
    <w:name w:val="h_body_text1"/>
    <w:basedOn w:val="Standaardalinea-lettertype"/>
    <w:rsid w:val="00132924"/>
    <w:rPr>
      <w:rFonts w:ascii="Tahoma" w:hAnsi="Tahoma" w:cs="Tahoma" w:hint="default"/>
      <w:b w:val="0"/>
      <w:bCs w:val="0"/>
      <w:smallCaps w:val="0"/>
      <w:strike w:val="0"/>
      <w:dstrike w:val="0"/>
      <w:color w:val="000000"/>
      <w:sz w:val="18"/>
      <w:szCs w:val="18"/>
      <w:u w:val="none"/>
      <w:effect w:val="none"/>
    </w:rPr>
  </w:style>
  <w:style w:type="paragraph" w:styleId="Koptekst">
    <w:name w:val="header"/>
    <w:basedOn w:val="Standaard"/>
    <w:link w:val="KoptekstChar"/>
    <w:uiPriority w:val="99"/>
    <w:unhideWhenUsed/>
    <w:rsid w:val="00024529"/>
    <w:pPr>
      <w:tabs>
        <w:tab w:val="center" w:pos="4320"/>
        <w:tab w:val="right" w:pos="8640"/>
      </w:tabs>
    </w:pPr>
  </w:style>
  <w:style w:type="character" w:customStyle="1" w:styleId="KoptekstChar">
    <w:name w:val="Koptekst Char"/>
    <w:basedOn w:val="Standaardalinea-lettertype"/>
    <w:link w:val="Koptekst"/>
    <w:uiPriority w:val="99"/>
    <w:rsid w:val="00024529"/>
    <w:rPr>
      <w:rFonts w:ascii="Times New Roman" w:eastAsiaTheme="minorEastAsia" w:hAnsi="Times New Roman" w:cs="Times New Roman"/>
      <w:sz w:val="24"/>
      <w:szCs w:val="24"/>
      <w:lang w:val="en-US"/>
    </w:rPr>
  </w:style>
  <w:style w:type="paragraph" w:styleId="Voettekst">
    <w:name w:val="footer"/>
    <w:basedOn w:val="Standaard"/>
    <w:link w:val="VoettekstChar"/>
    <w:uiPriority w:val="99"/>
    <w:unhideWhenUsed/>
    <w:rsid w:val="00024529"/>
    <w:pPr>
      <w:tabs>
        <w:tab w:val="center" w:pos="4320"/>
        <w:tab w:val="right" w:pos="8640"/>
      </w:tabs>
    </w:pPr>
  </w:style>
  <w:style w:type="character" w:customStyle="1" w:styleId="VoettekstChar">
    <w:name w:val="Voettekst Char"/>
    <w:basedOn w:val="Standaardalinea-lettertype"/>
    <w:link w:val="Voettekst"/>
    <w:uiPriority w:val="99"/>
    <w:rsid w:val="00024529"/>
    <w:rPr>
      <w:rFonts w:ascii="Times New Roman" w:eastAsiaTheme="minorEastAsia" w:hAnsi="Times New Roman" w:cs="Times New Roman"/>
      <w:sz w:val="24"/>
      <w:szCs w:val="24"/>
      <w:lang w:val="en-US"/>
    </w:rPr>
  </w:style>
  <w:style w:type="character" w:styleId="GevolgdeHyperlink">
    <w:name w:val="FollowedHyperlink"/>
    <w:basedOn w:val="Standaardalinea-lettertype"/>
    <w:uiPriority w:val="99"/>
    <w:semiHidden/>
    <w:unhideWhenUsed/>
    <w:rsid w:val="00791A82"/>
    <w:rPr>
      <w:color w:val="800080" w:themeColor="followedHyperlink"/>
      <w:u w:val="single"/>
    </w:rPr>
  </w:style>
  <w:style w:type="character" w:customStyle="1" w:styleId="Kop2Char">
    <w:name w:val="Kop 2 Char"/>
    <w:basedOn w:val="Standaardalinea-lettertype"/>
    <w:link w:val="Kop2"/>
    <w:uiPriority w:val="9"/>
    <w:rsid w:val="00A71B1D"/>
    <w:rPr>
      <w:rFonts w:ascii="Times New Roman" w:eastAsia="Times New Roman" w:hAnsi="Times New Roman" w:cs="Times New Roman"/>
      <w:b/>
      <w:bCs/>
      <w:sz w:val="36"/>
      <w:szCs w:val="36"/>
      <w:lang w:eastAsia="nl-NL"/>
    </w:rPr>
  </w:style>
  <w:style w:type="paragraph" w:customStyle="1" w:styleId="articledetails">
    <w:name w:val="articledetails"/>
    <w:basedOn w:val="Standaard"/>
    <w:rsid w:val="00A71B1D"/>
    <w:pPr>
      <w:spacing w:before="100" w:beforeAutospacing="1" w:after="100" w:afterAutospacing="1"/>
    </w:pPr>
    <w:rPr>
      <w:rFonts w:eastAsia="Times New Roman"/>
      <w:lang w:val="nl-NL" w:eastAsia="nl-NL"/>
    </w:rPr>
  </w:style>
  <w:style w:type="paragraph" w:styleId="Normaalweb">
    <w:name w:val="Normal (Web)"/>
    <w:basedOn w:val="Standaard"/>
    <w:rsid w:val="00794DA9"/>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69273">
      <w:bodyDiv w:val="1"/>
      <w:marLeft w:val="0"/>
      <w:marRight w:val="0"/>
      <w:marTop w:val="0"/>
      <w:marBottom w:val="0"/>
      <w:divBdr>
        <w:top w:val="none" w:sz="0" w:space="0" w:color="auto"/>
        <w:left w:val="none" w:sz="0" w:space="0" w:color="auto"/>
        <w:bottom w:val="none" w:sz="0" w:space="0" w:color="auto"/>
        <w:right w:val="none" w:sz="0" w:space="0" w:color="auto"/>
      </w:divBdr>
      <w:divsChild>
        <w:div w:id="100689922">
          <w:marLeft w:val="0"/>
          <w:marRight w:val="0"/>
          <w:marTop w:val="0"/>
          <w:marBottom w:val="0"/>
          <w:divBdr>
            <w:top w:val="none" w:sz="0" w:space="0" w:color="auto"/>
            <w:left w:val="none" w:sz="0" w:space="0" w:color="auto"/>
            <w:bottom w:val="none" w:sz="0" w:space="0" w:color="auto"/>
            <w:right w:val="none" w:sz="0" w:space="0" w:color="auto"/>
          </w:divBdr>
          <w:divsChild>
            <w:div w:id="417866184">
              <w:marLeft w:val="0"/>
              <w:marRight w:val="0"/>
              <w:marTop w:val="0"/>
              <w:marBottom w:val="0"/>
              <w:divBdr>
                <w:top w:val="none" w:sz="0" w:space="0" w:color="auto"/>
                <w:left w:val="none" w:sz="0" w:space="0" w:color="auto"/>
                <w:bottom w:val="none" w:sz="0" w:space="0" w:color="auto"/>
                <w:right w:val="none" w:sz="0" w:space="0" w:color="auto"/>
              </w:divBdr>
              <w:divsChild>
                <w:div w:id="506752855">
                  <w:marLeft w:val="0"/>
                  <w:marRight w:val="0"/>
                  <w:marTop w:val="0"/>
                  <w:marBottom w:val="0"/>
                  <w:divBdr>
                    <w:top w:val="none" w:sz="0" w:space="0" w:color="auto"/>
                    <w:left w:val="none" w:sz="0" w:space="0" w:color="auto"/>
                    <w:bottom w:val="none" w:sz="0" w:space="0" w:color="auto"/>
                    <w:right w:val="none" w:sz="0" w:space="0" w:color="auto"/>
                  </w:divBdr>
                  <w:divsChild>
                    <w:div w:id="1853103927">
                      <w:marLeft w:val="0"/>
                      <w:marRight w:val="0"/>
                      <w:marTop w:val="0"/>
                      <w:marBottom w:val="0"/>
                      <w:divBdr>
                        <w:top w:val="none" w:sz="0" w:space="0" w:color="auto"/>
                        <w:left w:val="none" w:sz="0" w:space="0" w:color="auto"/>
                        <w:bottom w:val="none" w:sz="0" w:space="0" w:color="auto"/>
                        <w:right w:val="none" w:sz="0" w:space="0" w:color="auto"/>
                      </w:divBdr>
                      <w:divsChild>
                        <w:div w:id="2042894904">
                          <w:marLeft w:val="0"/>
                          <w:marRight w:val="0"/>
                          <w:marTop w:val="0"/>
                          <w:marBottom w:val="0"/>
                          <w:divBdr>
                            <w:top w:val="none" w:sz="0" w:space="0" w:color="auto"/>
                            <w:left w:val="none" w:sz="0" w:space="0" w:color="auto"/>
                            <w:bottom w:val="none" w:sz="0" w:space="0" w:color="auto"/>
                            <w:right w:val="none" w:sz="0" w:space="0" w:color="auto"/>
                          </w:divBdr>
                          <w:divsChild>
                            <w:div w:id="881668299">
                              <w:marLeft w:val="0"/>
                              <w:marRight w:val="0"/>
                              <w:marTop w:val="0"/>
                              <w:marBottom w:val="0"/>
                              <w:divBdr>
                                <w:top w:val="none" w:sz="0" w:space="0" w:color="auto"/>
                                <w:left w:val="none" w:sz="0" w:space="0" w:color="auto"/>
                                <w:bottom w:val="none" w:sz="0" w:space="0" w:color="auto"/>
                                <w:right w:val="none" w:sz="0" w:space="0" w:color="auto"/>
                              </w:divBdr>
                              <w:divsChild>
                                <w:div w:id="623001933">
                                  <w:marLeft w:val="0"/>
                                  <w:marRight w:val="0"/>
                                  <w:marTop w:val="0"/>
                                  <w:marBottom w:val="0"/>
                                  <w:divBdr>
                                    <w:top w:val="none" w:sz="0" w:space="0" w:color="auto"/>
                                    <w:left w:val="none" w:sz="0" w:space="0" w:color="auto"/>
                                    <w:bottom w:val="none" w:sz="0" w:space="0" w:color="auto"/>
                                    <w:right w:val="none" w:sz="0" w:space="0" w:color="auto"/>
                                  </w:divBdr>
                                  <w:divsChild>
                                    <w:div w:id="976761496">
                                      <w:marLeft w:val="0"/>
                                      <w:marRight w:val="0"/>
                                      <w:marTop w:val="0"/>
                                      <w:marBottom w:val="0"/>
                                      <w:divBdr>
                                        <w:top w:val="none" w:sz="0" w:space="0" w:color="auto"/>
                                        <w:left w:val="none" w:sz="0" w:space="0" w:color="auto"/>
                                        <w:bottom w:val="none" w:sz="0" w:space="0" w:color="auto"/>
                                        <w:right w:val="none" w:sz="0" w:space="0" w:color="auto"/>
                                      </w:divBdr>
                                    </w:div>
                                    <w:div w:id="16899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826159">
      <w:bodyDiv w:val="1"/>
      <w:marLeft w:val="0"/>
      <w:marRight w:val="0"/>
      <w:marTop w:val="0"/>
      <w:marBottom w:val="0"/>
      <w:divBdr>
        <w:top w:val="none" w:sz="0" w:space="0" w:color="auto"/>
        <w:left w:val="none" w:sz="0" w:space="0" w:color="auto"/>
        <w:bottom w:val="none" w:sz="0" w:space="0" w:color="auto"/>
        <w:right w:val="none" w:sz="0" w:space="0" w:color="auto"/>
      </w:divBdr>
      <w:divsChild>
        <w:div w:id="1920559724">
          <w:marLeft w:val="0"/>
          <w:marRight w:val="0"/>
          <w:marTop w:val="0"/>
          <w:marBottom w:val="0"/>
          <w:divBdr>
            <w:top w:val="none" w:sz="0" w:space="0" w:color="auto"/>
            <w:left w:val="none" w:sz="0" w:space="0" w:color="auto"/>
            <w:bottom w:val="none" w:sz="0" w:space="0" w:color="auto"/>
            <w:right w:val="none" w:sz="0" w:space="0" w:color="auto"/>
          </w:divBdr>
          <w:divsChild>
            <w:div w:id="2127657969">
              <w:marLeft w:val="0"/>
              <w:marRight w:val="0"/>
              <w:marTop w:val="0"/>
              <w:marBottom w:val="0"/>
              <w:divBdr>
                <w:top w:val="none" w:sz="0" w:space="0" w:color="auto"/>
                <w:left w:val="none" w:sz="0" w:space="0" w:color="auto"/>
                <w:bottom w:val="none" w:sz="0" w:space="0" w:color="auto"/>
                <w:right w:val="none" w:sz="0" w:space="0" w:color="auto"/>
              </w:divBdr>
              <w:divsChild>
                <w:div w:id="1954970806">
                  <w:marLeft w:val="0"/>
                  <w:marRight w:val="0"/>
                  <w:marTop w:val="0"/>
                  <w:marBottom w:val="0"/>
                  <w:divBdr>
                    <w:top w:val="none" w:sz="0" w:space="0" w:color="auto"/>
                    <w:left w:val="none" w:sz="0" w:space="0" w:color="auto"/>
                    <w:bottom w:val="none" w:sz="0" w:space="0" w:color="auto"/>
                    <w:right w:val="none" w:sz="0" w:space="0" w:color="auto"/>
                  </w:divBdr>
                  <w:divsChild>
                    <w:div w:id="791821479">
                      <w:marLeft w:val="0"/>
                      <w:marRight w:val="0"/>
                      <w:marTop w:val="0"/>
                      <w:marBottom w:val="0"/>
                      <w:divBdr>
                        <w:top w:val="none" w:sz="0" w:space="0" w:color="auto"/>
                        <w:left w:val="none" w:sz="0" w:space="0" w:color="auto"/>
                        <w:bottom w:val="none" w:sz="0" w:space="0" w:color="auto"/>
                        <w:right w:val="none" w:sz="0" w:space="0" w:color="auto"/>
                      </w:divBdr>
                      <w:divsChild>
                        <w:div w:id="1485779562">
                          <w:marLeft w:val="0"/>
                          <w:marRight w:val="0"/>
                          <w:marTop w:val="0"/>
                          <w:marBottom w:val="0"/>
                          <w:divBdr>
                            <w:top w:val="none" w:sz="0" w:space="0" w:color="auto"/>
                            <w:left w:val="none" w:sz="0" w:space="0" w:color="auto"/>
                            <w:bottom w:val="none" w:sz="0" w:space="0" w:color="auto"/>
                            <w:right w:val="none" w:sz="0" w:space="0" w:color="auto"/>
                          </w:divBdr>
                          <w:divsChild>
                            <w:div w:id="982193536">
                              <w:marLeft w:val="0"/>
                              <w:marRight w:val="0"/>
                              <w:marTop w:val="0"/>
                              <w:marBottom w:val="0"/>
                              <w:divBdr>
                                <w:top w:val="none" w:sz="0" w:space="0" w:color="auto"/>
                                <w:left w:val="none" w:sz="0" w:space="0" w:color="auto"/>
                                <w:bottom w:val="none" w:sz="0" w:space="0" w:color="auto"/>
                                <w:right w:val="none" w:sz="0" w:space="0" w:color="auto"/>
                              </w:divBdr>
                              <w:divsChild>
                                <w:div w:id="89156934">
                                  <w:marLeft w:val="0"/>
                                  <w:marRight w:val="0"/>
                                  <w:marTop w:val="0"/>
                                  <w:marBottom w:val="0"/>
                                  <w:divBdr>
                                    <w:top w:val="none" w:sz="0" w:space="0" w:color="auto"/>
                                    <w:left w:val="none" w:sz="0" w:space="0" w:color="auto"/>
                                    <w:bottom w:val="none" w:sz="0" w:space="0" w:color="auto"/>
                                    <w:right w:val="none" w:sz="0" w:space="0" w:color="auto"/>
                                  </w:divBdr>
                                  <w:divsChild>
                                    <w:div w:id="214313503">
                                      <w:marLeft w:val="0"/>
                                      <w:marRight w:val="0"/>
                                      <w:marTop w:val="0"/>
                                      <w:marBottom w:val="0"/>
                                      <w:divBdr>
                                        <w:top w:val="none" w:sz="0" w:space="0" w:color="auto"/>
                                        <w:left w:val="none" w:sz="0" w:space="0" w:color="auto"/>
                                        <w:bottom w:val="none" w:sz="0" w:space="0" w:color="auto"/>
                                        <w:right w:val="none" w:sz="0" w:space="0" w:color="auto"/>
                                      </w:divBdr>
                                      <w:divsChild>
                                        <w:div w:id="277301050">
                                          <w:marLeft w:val="0"/>
                                          <w:marRight w:val="0"/>
                                          <w:marTop w:val="0"/>
                                          <w:marBottom w:val="0"/>
                                          <w:divBdr>
                                            <w:top w:val="none" w:sz="0" w:space="0" w:color="auto"/>
                                            <w:left w:val="none" w:sz="0" w:space="0" w:color="auto"/>
                                            <w:bottom w:val="none" w:sz="0" w:space="0" w:color="auto"/>
                                            <w:right w:val="none" w:sz="0" w:space="0" w:color="auto"/>
                                          </w:divBdr>
                                          <w:divsChild>
                                            <w:div w:id="9991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jstor.org/sici?origin=utrecht&amp;sici=0002-9300(198310)77:4%3c848:HDAANC%3e2.0.CO" TargetMode="External"/><Relationship Id="rId13" Type="http://schemas.openxmlformats.org/officeDocument/2006/relationships/hyperlink" Target="http://www.aprodev.eu/files/Development_policy/Dev-RBA/budgeting_human_rights-Jan%202007.pdf" TargetMode="External"/><Relationship Id="rId3" Type="http://schemas.openxmlformats.org/officeDocument/2006/relationships/hyperlink" Target="http://www.fordham.edu/halsall/mod/senecafalls.asp" TargetMode="External"/><Relationship Id="rId7" Type="http://schemas.openxmlformats.org/officeDocument/2006/relationships/hyperlink" Target="http://www.clcbd.org/journal/13.html" TargetMode="External"/><Relationship Id="rId12" Type="http://schemas.openxmlformats.org/officeDocument/2006/relationships/hyperlink" Target="http://www.innocenceproject.org/news/" TargetMode="External"/><Relationship Id="rId2" Type="http://schemas.openxmlformats.org/officeDocument/2006/relationships/hyperlink" Target="http://www.un.org/womenwatch/daw/cedaw/recommendations/recomm.htm" TargetMode="External"/><Relationship Id="rId1" Type="http://schemas.openxmlformats.org/officeDocument/2006/relationships/hyperlink" Target="http://www.un.org/documents/ga/res/48/a48r104.htm" TargetMode="External"/><Relationship Id="rId6" Type="http://schemas.openxmlformats.org/officeDocument/2006/relationships/hyperlink" Target="http://www.universalrights.net/main/creation.htm" TargetMode="External"/><Relationship Id="rId11" Type="http://schemas.openxmlformats.org/officeDocument/2006/relationships/hyperlink" Target="http://www.equalitynow.org/ourwork" TargetMode="External"/><Relationship Id="rId5" Type="http://schemas.openxmlformats.org/officeDocument/2006/relationships/hyperlink" Target="http://www.jstor.org/sici?origin=utrecht&amp;sici=0002-9300(198310)77:4%3c848:HDAANC%3e2.0.CO" TargetMode="External"/><Relationship Id="rId10" Type="http://schemas.openxmlformats.org/officeDocument/2006/relationships/hyperlink" Target="http://www.un.org/esa/gopher-data/conf/fwcw/conf/gov/950905175653.txt" TargetMode="External"/><Relationship Id="rId4" Type="http://schemas.openxmlformats.org/officeDocument/2006/relationships/hyperlink" Target="http://www.facinghistory.org/sites/facinghistory.org/files/PartIII_essay_and_documents_0.pdf" TargetMode="External"/><Relationship Id="rId9" Type="http://schemas.openxmlformats.org/officeDocument/2006/relationships/hyperlink" Target="http://www.un.org/cyberschoolbus/humanrights/declaration/1.asp" TargetMode="External"/><Relationship Id="rId14" Type="http://schemas.openxmlformats.org/officeDocument/2006/relationships/hyperlink" Target="http://hrbaportal.org/archives/tools/budgeting-human-righ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F8B3-D6EF-471B-8AB9-41AE0EF0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5361</Words>
  <Characters>29488</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Gaay Fortman</dc:creator>
  <cp:lastModifiedBy>De Gaay Fortman</cp:lastModifiedBy>
  <cp:revision>3</cp:revision>
  <cp:lastPrinted>2014-09-26T10:45:00Z</cp:lastPrinted>
  <dcterms:created xsi:type="dcterms:W3CDTF">2014-10-07T16:13:00Z</dcterms:created>
  <dcterms:modified xsi:type="dcterms:W3CDTF">2016-02-05T17:45:00Z</dcterms:modified>
</cp:coreProperties>
</file>